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p>
      <w:pPr>
        <w:pStyle w:val="Heading1"/>
      </w:pPr>
      <w:r>
        <w:t>Implementation Status Note 75 (8 September 2026) — Product Catalogue for Morise Milling Ltd + Branch-Tagged Product Registration (Doc 23)</w:t>
      </w:r>
    </w:p>
    <w:p>
      <w:pPr/>
      <w:r>
        <w:t>An administrator asked to add products to Morise Milling Ltd, the sixth subsidiary (seeded Update 93 with zero products). prisma/seed.ts gains a 24-SKU catalogue across 7 new categories: 20 priced finished goods and services (maize/wheat/millet flour lines, by-products, toll-milling and grain services) plus 4 internal raw-grain/packaging items seeded with no unit price so they stay off the customer storefront while still tracked in Admin Inventory. Batch tracking and min/max stock levels follow docx/23 sections 2.2 and 2.5-2.6.</w:t>
      </w:r>
    </w:p>
    <w:p>
      <w:pPr/>
      <w:r>
        <w:t>Product registration is generalised at the same time: CreateProductDto and UpdateProductDto gain an optional branchId (Product.branchId has existed since 29 August 2026, but only the seed could set it), validated by ProductsService.assertReferencesBelongTo to belong to the product's own company; every product read now returns companyName and branchName.</w:t>
      </w:r>
    </w:p>
    <w:p>
      <w:pPr/>
      <w:r>
        <w:t>The Admin Products screen is rebuilt: a subsidiary filter, Company / Branch dropdown pickers replacing a pasted company UUID, Branch and Stock columns, and a new Edit Product modal exposing PATCH /products/:id (live since Sprint 4, previously with no screen). No new endpoint, migration or permission. Verified end to end — 24 rows confirmed in Postgres with correct branch attribution, nest build clean, openapi.json regenerated at the same 378 paths / 481 operations / 188 schemas. Group catalogue now 58 products / 25 categories; all six operating subsidiaries sell at least one item.</w:t>
      </w:r>
    </w:p>
    <w:p>
      <w:pPr/>
      <w:r>
        <w:t>Backend: prisma/seed.ts (Morise Milling Ltd product catalogue), src/products/dto/product.dto.ts (branchId on both DTOs), src/products/products.service.ts (assertReferencesBelongTo, companyName/branchName on every read), openapi.json (regenerated).</w:t>
      </w:r>
    </w:p>
    <w:p>
      <w:pPr/>
      <w:r>
        <w:t>Frontend: mbms/frontend/src/pages/Products.jsx (subsidiary filter, Company/Branch dropdowns, Branch/Stock columns, Edit Product modal).</w:t>
      </w:r>
    </w:p>
    <w:p>
      <w:pPr>
        <w:pStyle w:val="Heading1"/>
      </w:pPr>
      <w:r>
        <w:t>Implementation Status Note 76 (9 September 2026) — Morise Research &amp; Consultancy Ltd — Seventh Subsidiary + RC-MIS Specification (New Doc 25)</w:t>
      </w:r>
    </w:p>
    <w:p>
      <w:pPr/>
      <w:r>
        <w:t>An administrator asked to add a subsidiary for research and other types of consultancy, based on docx/Research_and_Consultancy_Software_Development_Features.docx. Morise Research &amp; Consultancy Ltd is seeded as the seventh wholly-owned (100%) subsidiary (company a1...008), registered in Kololo, Kampala, created and managed by the Managing Director under the existing subsidiary-lifecycle capability, the same way as every prior subsidiary.</w:t>
      </w:r>
    </w:p>
    <w:p>
      <w:pPr/>
      <w:r>
        <w:t>Five sites/branches (Kampala Head Office plus regional field offices in Gulu, Mbale, Mbarara, and a Karamoja field station); twelve departments condensing the client's fourteen-node RC-MIS architecture; six starter policies covering research ethics, data protection, fieldwork safety, data quality, conflict-of-interest and contract/grant compliance. seed.ts only, no code, schema or permission change; not a storefront seller (0 products).</w:t>
      </w:r>
    </w:p>
    <w:p>
      <w:pPr/>
      <w:r>
        <w:t>The RC-MIS (fourteen modules) is a specification, not built: new docx/25 restates the client attachment in house format — feature modules, non-functional requirements, architecture, integration points, user roles, technology stack, the organisation as built, a five-phase roadmap, and its relationship to the existing MBMS platform. corporate.js gains a SUBSIDIARY_META / SUBSIDIARY_BANNER / News entry; a new indigo-accent brand/banners/subsidiary-research-consultancy.svg is mirrored into both apps. Verified end to end — company, 5 branches, 12 departments and 6 policies confirmed in Postgres and via the Admin organisation API; the public overview endpoint and both banner assets confirmed live. No new endpoint, migration or permission; openapi.json unchanged.</w:t>
      </w:r>
    </w:p>
    <w:p>
      <w:pPr/>
      <w:r>
        <w:t>Backend: prisma/seed.ts (Morise Research &amp; Consultancy Ltd company, branches, departments, policies).</w:t>
      </w:r>
    </w:p>
    <w:p>
      <w:pPr/>
      <w:r>
        <w:t>Frontend: mbms/storefront/src/lib/corporate.js (SUBSIDIARY_META / SUBSIDIARY_BANNER / NEWS entries), brand/banners/subsidiary-research-consultancy.svg (new, mirrored into mbms/frontend/public/brand/banners/ and mbms/storefront/public/brand/banners/), brand/README.md (banner table row).</w:t>
      </w:r>
    </w:p>
    <w:p>
      <w:pPr>
        <w:pStyle w:val="Heading1"/>
      </w:pPr>
      <w:r>
        <w:t>Implementation Status Note 77 (9 September 2026) — Services Catalogue for Morise Research &amp; Consultancy Ltd (Doc 25)</w:t>
      </w:r>
    </w:p>
    <w:p>
      <w:pPr/>
      <w:r>
        <w:t>An administrator asked to add products to Morise Research &amp; Consultancy Ltd, the seventh subsidiary (seeded Update 99 with zero products, on the reasoning that a consultancy is billed on contracts and timesheets). Following the precedent of Morise Collateral Management Ltd (also contract-billed, priced services catalogue since Update 60), prisma/seed.ts gains 23 services (RC-7001-7051) across 6 categories: Research &amp; Evaluation Studies, Field Data Collection, Data Management &amp; Analysis, Monitoring &amp; Evaluation Services, Technical &amp; Policy Consultancy, and Training &amp; Capacity Building.</w:t>
      </w:r>
    </w:p>
    <w:p>
      <w:pPr/>
      <w:r>
        <w:t>Every line is productType 'service' with a unitPrice (UGX, per study/session/dataset/day), so the whole catalogue is storefront-visible. Kampala Head Office holds study design, analysis, policy advisory and the day-rate line; fieldwork-heavy lines are spread across the Gulu, Mbale, Mbarara and Karamoja field offices. Seed-only, reusing the existing ensureService()/ensureCategory() helpers — no schema, code, endpoint or permission change.</w:t>
      </w:r>
    </w:p>
    <w:p>
      <w:pPr/>
      <w:r>
        <w:t>Verified end to end — 23 rows confirmed in Postgres with correct branch/category attribution; the Admin Products screen filtered to the subsidiary screenshot-verified with no console errors; nest build clean; openapi.json regenerated byte-identical (378 paths / 481 operations / 188 schemas). Group catalogue now 81 products / 31 categories (76 storefront-priced, 5 internal-only); all seven subsidiaries sell at least one item.</w:t>
      </w:r>
    </w:p>
    <w:p>
      <w:pPr/>
      <w:r>
        <w:t>Backend: prisma/seed.ts (Morise Research &amp; Consultancy Ltd services catalogue).</w:t>
      </w:r>
    </w:p>
    <w:p>
      <w:pPr>
        <w:pStyle w:val="Heading1"/>
      </w:pPr>
      <w:r>
        <w:t>Implementation Status Note 78 (9 September 2026) — Dockerized Backend, Admin App and Customer Storefront</w:t>
      </w:r>
    </w:p>
    <w:p>
      <w:pPr/>
      <w:r>
        <w:t>An administrator asked to dockerize the backend, the Admin app and the Customer Storefront. Each gains a Dockerfile: backend/Dockerfile is a two-stage build on node:20-bookworm-slim (not Alpine, to avoid a glibc/musl Prisma query-engine mismatch) — npm ci, prisma generate, npm run build (nest build, preserving the Swagger CLI plugin's OpenAPI schema generation), then a runtime stage with only dist/, the generated Prisma Client and production node_modules. frontend/Dockerfile and storefront/Dockerfile build on node:20-alpine and serve the Vite static bundle via nginx:1.27-alpine, reverse-proxying /api/* to the backend container by Compose service name (mirrors vite.config.js's dev-server proxy, so no CORS change).</w:t>
      </w:r>
    </w:p>
    <w:p>
      <w:pPr/>
      <w:r>
        <w:t>docker-compose.yml gains backend/frontend/storefront services; backend waits on a new Postgres healthcheck and gets DATABASE_URL/PORT overridden to the in-network host; frontend/storefront are exposed on the same ports (5173/5174) their Vite dev servers already used. Migrations and seeding stay a host-run step (prisma migrate deploy + prisma db seed), unchanged from before. Verified end to end — all three images build clean, all five containers come up healthy, existing seeded data survives a Postgres container recreate (named volume), and a login/page load through each frontend succeeds via the nginx proxy with zero console errors. No schema, endpoint or permission change; openapi.json unchanged.</w:t>
      </w:r>
    </w:p>
    <w:p>
      <w:pPr/>
      <w:r>
        <w:t>Backend/Frontend: mbms/backend/Dockerfile, mbms/backend/.dockerignore, mbms/frontend/Dockerfile, mbms/frontend/nginx.conf, mbms/frontend/.dockerignore, mbms/storefront/Dockerfile, mbms/storefront/nginx.conf, mbms/storefront/.dockerignore, mbms/docker-compose.yml (backend/frontend/storefront services + a Postgres healthcheck).</w:t>
      </w:r>
    </w:p>
    <w:p>
      <w:pPr>
        <w:pStyle w:val="Heading1"/>
      </w:pPr>
      <w:r>
        <w:t>Implementation Status Note 79 (9 September 2026) — Storefront Language Set Scoped to 9 Official Languages</w:t>
      </w:r>
    </w:p>
    <w:p>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 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r>
        <w:t>Backend/Frontend: mbms/storefront/src/locales/index.js.</w:t>
      </w:r>
    </w:p>
    <w:p>
      <w:pPr>
        <w:pStyle w:val="Heading1"/>
      </w:pPr>
      <w:r>
        <w:t>Implementation Status Note 80 (9 September 2026) — Every Non-English Official Language Reaches 100% Key Parity</w:t>
      </w:r>
    </w:p>
    <w:p>
      <w:pPr/>
      <w:r>
        <w:t>An administrator clarified Update 102's scope: every word on the Customer Storefront — apart from proper nouns such as “Morise Holdings” and a subsidiary's own name — must change with the chosen language, for all 9 official languages. 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r>
        <w:t>Backend/Frontend: mbms/storefront/src/locales/eu.js, mbms/storefront/src/locales/regional.js.</w:t>
      </w:r>
    </w:p>
    <w:p>
      <w:pPr>
        <w:pStyle w:val="Heading1"/>
      </w:pPr>
      <w:r>
        <w:t>Implementation Status Note 81 (9 September 2026) — Admin App and Customer Storefront Connected to Netlify</w:t>
      </w:r>
    </w:p>
    <w:p>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 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r>
        <w:t>Backend/Frontend: mbms/frontend/netlify.toml, mbms/storefront/netlify.toml, .gitignore.</w:t>
      </w:r>
    </w:p>
    <w:p>
      <w:pPr>
        <w:pStyle w:val="Heading1"/>
      </w:pPr>
      <w:r>
        <w:t>Implementation Status Note 82 (9 September 2026) — Promo Banner Wordings Now Change With the Storefront Language</w:t>
      </w:r>
    </w:p>
    <w:p>
      <w:pPr/>
      <w:r>
        <w:t>An administrator asked that banner wordings on the Customer Storefront also change for the customer's chosen language, across all 9 official languages (Update 102). 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r>
        <w:t>All 6 missing glossary entries (2 banners x heading/body/link label) are now added, in all 8 non-English languages, reusing established vocabulary (Fuel / Freight Services already in the glossary from the clearing/forwarding categories).</w:t>
      </w:r>
    </w:p>
    <w:p>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r>
        <w:t>Backend/Frontend: mbms/backend/src/common/translation/content-glossary.ts.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