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Feasibility — confirmed additive: the four new tables and the four asset columns shipped without changing the existing depreciation, transfer or disposal logic; the history log is a light write added to methods that already ran.</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Feasibility — confirmed: a self-contained module (nine tables, one permission pair) that reuses the Asset link for insurance / inspection / value rather than duplicating them, and the Employee record for drivers. No change to existing modules.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Feasibility — confirmed: the outstanding sections are additive modules on the same NestJS + Prisma + Postgres base. The distributed architecture (Kafka, microservices, tracing stack) stays deferred for the proof-of-concept, with the event seam already in place. The alert feed needed no schema and no permission — pure aggregation.</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Feasibility — confirmed: the answer layer is a thin aggregator over the DashboardService financials and a handful of scoped queries; it needed no new tables and no new permission, and it inherits the BR-01 scoping the rest of the system already enforces.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Feasibility — a one-line change: the self-service payslip query already existed and was scoped per employee; only its run-status filter was broadened and two already-stored fields (status, approvedAt) surfaced. No new tables, endpoints or permissions.</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Feasibility — no scheduler was needed: the mirror runs lazily at the top of the two notification read endpoints the bell already calls, is best-effort and throttled to one reconcile per user every two minutes, and reuses the existing AlertsService collector. One nullable column and an index.</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Feasibility — the fix is a two-property CSS change on the dropdown panel plus an ordered-keyword loop in the router; no data or API change.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Feasibility — one new single-row table and four endpoints on an existing controller under existing permissions; no scheduler, no new dependency, and the per-channel table is untouched.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Feasibility — a UNIQUE constraint on `social_links.platform` (with an in-migration de-dupe) plus two endpoints on an existing controller; no new permission, dependency or infrastructure.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Feasibility - no feasibility impact: the card model reuses the existing Employee record, the audit service and the permission / scoping machinery; the photo is a text reference (the object-storage gap already recorded) and the QR block is a deterministic placeholder pending a real encoder.</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