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Morise Holdings Limited</w:t>
      </w:r>
    </w:p>
    <w:p>
      <w:pPr>
        <w:pStyle w:val="BodyText"/>
        <w:bidi w:val="0"/>
        <w:spacing w:before="30" w:after="283"/>
        <w:ind w:hanging="0" w:left="0" w:right="0"/>
        <w:jc w:val="left"/>
        <w:rPr>
          <w:color w:val="444444"/>
          <w:sz w:val="24"/>
        </w:rPr>
      </w:pPr>
      <w:r>
        <w:rPr>
          <w:color w:val="444444"/>
          <w:sz w:val="24"/>
        </w:rPr>
        <w:t>Feasibility Study</w:t>
      </w:r>
    </w:p>
    <w:p>
      <w:pPr>
        <w:pStyle w:val="BodyText"/>
        <w:bidi w:val="0"/>
        <w:spacing w:before="30" w:after="283"/>
        <w:ind w:hanging="0" w:left="0" w:right="0"/>
        <w:jc w:val="left"/>
        <w:rPr>
          <w:color w:val="444444"/>
          <w:sz w:val="24"/>
        </w:rPr>
      </w:pPr>
      <w:r>
        <w:rPr>
          <w:color w:val="444444"/>
          <w:sz w:val="24"/>
        </w:rPr>
        <w:t>Morise Holdings Limited Business Management System (MBMS)</w:t>
      </w:r>
    </w:p>
    <w:tbl>
      <w:tblPr>
        <w:tblW w:w="11339" w:type="dxa"/>
        <w:jc w:val="left"/>
        <w:tblInd w:w="28" w:type="dxa"/>
        <w:tblLayout w:type="fixed"/>
        <w:tblCellMar>
          <w:top w:w="28" w:type="dxa"/>
          <w:left w:w="28" w:type="dxa"/>
          <w:bottom w:w="28" w:type="dxa"/>
          <w:right w:w="28" w:type="dxa"/>
        </w:tblCellMar>
      </w:tblPr>
      <w:tblGrid>
        <w:gridCol w:w="2202"/>
        <w:gridCol w:w="9137"/>
      </w:tblGrid>
      <w:tr>
        <w:trPr/>
        <w:tc>
          <w:tcPr>
            <w:tcW w:w="2202" w:type="dxa"/>
            <w:tcBorders/>
            <w:vAlign w:val="center"/>
          </w:tcPr>
          <w:p>
            <w:pPr>
              <w:pStyle w:val="TableContents"/>
              <w:bidi w:val="0"/>
              <w:spacing w:before="0" w:after="283"/>
              <w:jc w:val="left"/>
              <w:rPr>
                <w:b/>
              </w:rPr>
            </w:pPr>
            <w:r>
              <w:rPr>
                <w:b/>
              </w:rPr>
              <w:t>Document Type:</w:t>
            </w:r>
          </w:p>
        </w:tc>
        <w:tc>
          <w:tcPr>
            <w:tcW w:w="9137" w:type="dxa"/>
            <w:tcBorders/>
            <w:vAlign w:val="center"/>
          </w:tcPr>
          <w:p>
            <w:pPr>
              <w:pStyle w:val="TableContents"/>
              <w:bidi w:val="0"/>
              <w:spacing w:before="0" w:after="283"/>
              <w:jc w:val="left"/>
              <w:rPr/>
            </w:pPr>
            <w:r>
              <w:rPr/>
              <w:t>Feasibility Study</w:t>
            </w:r>
          </w:p>
        </w:tc>
      </w:tr>
      <w:tr>
        <w:trPr/>
        <w:tc>
          <w:tcPr>
            <w:tcW w:w="2202" w:type="dxa"/>
            <w:tcBorders/>
            <w:vAlign w:val="center"/>
          </w:tcPr>
          <w:p>
            <w:pPr>
              <w:pStyle w:val="TableContents"/>
              <w:bidi w:val="0"/>
              <w:spacing w:before="0" w:after="283"/>
              <w:jc w:val="left"/>
              <w:rPr>
                <w:b/>
              </w:rPr>
            </w:pPr>
            <w:r>
              <w:rPr>
                <w:b/>
              </w:rPr>
              <w:t>Purpose:</w:t>
            </w:r>
          </w:p>
        </w:tc>
        <w:tc>
          <w:tcPr>
            <w:tcW w:w="9137" w:type="dxa"/>
            <w:tcBorders/>
            <w:vAlign w:val="center"/>
          </w:tcPr>
          <w:p>
            <w:pPr>
              <w:pStyle w:val="TableContents"/>
              <w:bidi w:val="0"/>
              <w:spacing w:before="0" w:after="283"/>
              <w:jc w:val="left"/>
              <w:rPr/>
            </w:pPr>
            <w:r>
              <w:rPr/>
              <w:t>Determines technical, operational and economic viability</w:t>
            </w:r>
          </w:p>
        </w:tc>
      </w:tr>
      <w:tr>
        <w:trPr/>
        <w:tc>
          <w:tcPr>
            <w:tcW w:w="2202" w:type="dxa"/>
            <w:tcBorders/>
            <w:vAlign w:val="center"/>
          </w:tcPr>
          <w:p>
            <w:pPr>
              <w:pStyle w:val="TableContents"/>
              <w:bidi w:val="0"/>
              <w:spacing w:before="0" w:after="283"/>
              <w:jc w:val="left"/>
              <w:rPr>
                <w:b/>
              </w:rPr>
            </w:pPr>
            <w:r>
              <w:rPr>
                <w:b/>
              </w:rPr>
              <w:t>Version:</w:t>
            </w:r>
          </w:p>
        </w:tc>
        <w:tc>
          <w:tcPr>
            <w:tcW w:w="9137" w:type="dxa"/>
            <w:tcBorders/>
            <w:vAlign w:val="center"/>
          </w:tcPr>
          <w:p>
            <w:pPr>
              <w:pStyle w:val="TableContents"/>
              <w:bidi w:val="0"/>
              <w:spacing w:before="0" w:after="283"/>
              <w:jc w:val="left"/>
              <w:rPr/>
            </w:pPr>
            <w:r>
              <w:rPr/>
              <w:t>1.3 (Draft — Section 3.1 superseded, see note)</w:t>
            </w:r>
          </w:p>
        </w:tc>
      </w:tr>
      <w:tr>
        <w:trPr/>
        <w:tc>
          <w:tcPr>
            <w:tcW w:w="2202" w:type="dxa"/>
            <w:tcBorders/>
            <w:vAlign w:val="center"/>
          </w:tcPr>
          <w:p>
            <w:pPr>
              <w:pStyle w:val="TableContents"/>
              <w:bidi w:val="0"/>
              <w:spacing w:before="0" w:after="283"/>
              <w:jc w:val="left"/>
              <w:rPr>
                <w:b/>
              </w:rPr>
            </w:pPr>
            <w:r>
              <w:rPr>
                <w:b/>
              </w:rPr>
              <w:t>Date:</w:t>
            </w:r>
          </w:p>
        </w:tc>
        <w:tc>
          <w:tcPr>
            <w:tcW w:w="9137" w:type="dxa"/>
            <w:tcBorders/>
            <w:vAlign w:val="center"/>
          </w:tcPr>
          <w:p>
            <w:pPr>
              <w:pStyle w:val="TableContents"/>
              <w:bidi w:val="0"/>
              <w:spacing w:before="0" w:after="283"/>
              <w:jc w:val="left"/>
              <w:rPr/>
            </w:pPr>
            <w:r>
              <w:rPr/>
              <w:t>18 August 2026</w:t>
            </w:r>
          </w:p>
        </w:tc>
      </w:tr>
      <w:tr>
        <w:trPr/>
        <w:tc>
          <w:tcPr>
            <w:tcW w:w="2202" w:type="dxa"/>
            <w:tcBorders/>
            <w:vAlign w:val="center"/>
          </w:tcPr>
          <w:p>
            <w:pPr>
              <w:pStyle w:val="TableContents"/>
              <w:bidi w:val="0"/>
              <w:spacing w:before="0" w:after="283"/>
              <w:jc w:val="left"/>
              <w:rPr>
                <w:b/>
              </w:rPr>
            </w:pPr>
            <w:r>
              <w:rPr>
                <w:b/>
              </w:rPr>
              <w:t>Prepared by:</w:t>
            </w:r>
          </w:p>
        </w:tc>
        <w:tc>
          <w:tcPr>
            <w:tcW w:w="9137" w:type="dxa"/>
            <w:tcBorders/>
            <w:vAlign w:val="center"/>
          </w:tcPr>
          <w:p>
            <w:pPr>
              <w:pStyle w:val="TableContents"/>
              <w:bidi w:val="0"/>
              <w:spacing w:before="0" w:after="283"/>
              <w:jc w:val="left"/>
              <w:rPr/>
            </w:pPr>
            <w:r>
              <w:rPr/>
              <w:t>Obeke Godfrey, Director</w:t>
            </w:r>
          </w:p>
        </w:tc>
      </w:tr>
      <w:tr>
        <w:trPr/>
        <w:tc>
          <w:tcPr>
            <w:tcW w:w="2202" w:type="dxa"/>
            <w:tcBorders/>
            <w:vAlign w:val="center"/>
          </w:tcPr>
          <w:p>
            <w:pPr>
              <w:pStyle w:val="TableContents"/>
              <w:bidi w:val="0"/>
              <w:spacing w:before="0" w:after="283"/>
              <w:jc w:val="left"/>
              <w:rPr>
                <w:b/>
              </w:rPr>
            </w:pPr>
            <w:r>
              <w:rPr>
                <w:b/>
              </w:rPr>
              <w:t>Prepared for:</w:t>
            </w:r>
          </w:p>
        </w:tc>
        <w:tc>
          <w:tcPr>
            <w:tcW w:w="9137" w:type="dxa"/>
            <w:tcBorders/>
            <w:vAlign w:val="center"/>
          </w:tcPr>
          <w:p>
            <w:pPr>
              <w:pStyle w:val="TableContents"/>
              <w:bidi w:val="0"/>
              <w:spacing w:before="0" w:after="283"/>
              <w:jc w:val="left"/>
              <w:rPr/>
            </w:pPr>
            <w:r>
              <w:rPr/>
              <w:t>Board of Directors, Morise Holdings Limited</w:t>
            </w:r>
          </w:p>
        </w:tc>
      </w:tr>
      <w:tr>
        <w:trPr/>
        <w:tc>
          <w:tcPr>
            <w:tcW w:w="2202" w:type="dxa"/>
            <w:tcBorders/>
            <w:vAlign w:val="center"/>
          </w:tcPr>
          <w:p>
            <w:pPr>
              <w:pStyle w:val="TableContents"/>
              <w:bidi w:val="0"/>
              <w:spacing w:before="0" w:after="283"/>
              <w:jc w:val="left"/>
              <w:rPr>
                <w:b/>
              </w:rPr>
            </w:pPr>
            <w:r>
              <w:rPr>
                <w:b/>
              </w:rPr>
              <w:t>Related documents:</w:t>
            </w:r>
          </w:p>
        </w:tc>
        <w:tc>
          <w:tcPr>
            <w:tcW w:w="9137" w:type="dxa"/>
            <w:tcBorders/>
            <w:vAlign w:val="center"/>
          </w:tcPr>
          <w:p>
            <w:pPr>
              <w:pStyle w:val="TableContents"/>
              <w:bidi w:val="0"/>
              <w:spacing w:before="0" w:after="283"/>
              <w:jc w:val="left"/>
              <w:rPr/>
            </w:pPr>
            <w:r>
              <w:rPr/>
              <w:t>01_Project Proposal; 02_Project Charter / Business Case; 07_System Design Document (v2.0)</w:t>
            </w:r>
          </w:p>
        </w:tc>
      </w:tr>
    </w:tbl>
    <w:p>
      <w:pPr>
        <w:pStyle w:val="BodyText"/>
        <w:bidi w:val="0"/>
        <w:spacing w:before="150" w:after="150"/>
        <w:ind w:hanging="0" w:left="150" w:right="150"/>
        <w:jc w:val="left"/>
        <w:rPr>
          <w:sz w:val="21"/>
          <w:bdr w:val="single" w:sz="24" w:space="9" w:color="1F3864"/>
          <w:shd w:fill="EAF1FB" w:val="clear"/>
        </w:rPr>
      </w:pPr>
      <w:r>
        <w:rPr>
          <w:b/>
          <w:sz w:val="21"/>
          <w:bdr w:val="single" w:sz="24" w:space="9" w:color="1F3864"/>
          <w:shd w:fill="EAF1FB" w:val="clear"/>
        </w:rPr>
        <w:t>Note on this version:</w:t>
      </w:r>
      <w:r>
        <w:rPr>
          <w:sz w:val="21"/>
          <w:bdr w:val="single" w:sz="24" w:space="9" w:color="1F3864"/>
          <w:shd w:fill="EAF1FB" w:val="clear"/>
        </w:rPr>
        <w:t xml:space="preserve"> Section 3.1.1's recommendation to build Phase 1 as a modular monolith, with Kafka/observability/Ansible deferred, has been </w:t>
      </w:r>
      <w:r>
        <w:rPr>
          <w:b/>
          <w:sz w:val="21"/>
          <w:bdr w:val="single" w:sz="24" w:space="9" w:color="1F3864"/>
          <w:shd w:fill="EAF1FB" w:val="clear"/>
        </w:rPr>
        <w:t>superseded by Group direction</w:t>
      </w:r>
      <w:r>
        <w:rPr>
          <w:sz w:val="21"/>
          <w:bdr w:val="single" w:sz="24" w:space="9" w:color="1F3864"/>
          <w:shd w:fill="EAF1FB" w:val="clear"/>
        </w:rPr>
        <w:t xml:space="preserve"> to adopt full microservices for Phase 1 instead. That decision, and the design that implements it, is now formally recorded in 07_System Design Document (v2.0). Sections 3.1.1, 3.5, 9, 10 and 11 below are retained largely as originally written, with clear annotations of what changed and why, so the Board can see both the original technical assessment and the direction ultimately taken.</w:t>
      </w:r>
    </w:p>
    <w:p>
      <w:pPr>
        <w:pStyle w:val="Heading2"/>
        <w:bidi w:val="0"/>
        <w:jc w:val="left"/>
        <w:rPr/>
      </w:pPr>
      <w:r>
        <w:rPr/>
        <w:t>1. Purpose and Background</w:t>
      </w:r>
    </w:p>
    <w:p>
      <w:pPr>
        <w:pStyle w:val="BodyText"/>
        <w:bidi w:val="0"/>
        <w:jc w:val="left"/>
        <w:rPr/>
      </w:pPr>
      <w:r>
        <w:rPr/>
        <w:t>The Board-submitted Project Proposal for the Morise Holdings Limited Business Management System (MBMS) recommended that, before any development funding beyond the requirements stage is committed, the Group confirm the project's viability across four dimensions: technical, operational, economic and schedule, together with relevant legal/regulatory considerations. This Feasibility Study performs that assessment.</w:t>
      </w:r>
    </w:p>
    <w:p>
      <w:pPr>
        <w:pStyle w:val="BodyText"/>
        <w:bidi w:val="0"/>
        <w:jc w:val="left"/>
        <w:rPr/>
      </w:pPr>
      <w:r>
        <w:rPr/>
        <w:t>It draws on the same source material used to prepare the Proposal and Charter — the Group's 2019 Board Resolution, the MBMS system scope document (morise.docx), and the Group's software development procedures and implementation blueprint — and identifies where those documents already answer a feasibility question, and where a decision or further investigation is still required before Phase 1 development can responsibly begin.</w:t>
      </w:r>
    </w:p>
    <w:p>
      <w:pPr>
        <w:pStyle w:val="Heading2"/>
        <w:bidi w:val="0"/>
        <w:jc w:val="left"/>
        <w:rPr/>
      </w:pPr>
      <w:r>
        <w:rPr/>
        <w:t>2. Scope of This Assessment</w:t>
      </w:r>
    </w:p>
    <w:p>
      <w:pPr>
        <w:pStyle w:val="BodyText"/>
        <w:bidi w:val="0"/>
        <w:jc w:val="left"/>
        <w:rPr/>
      </w:pPr>
      <w:r>
        <w:rPr/>
        <w:t xml:space="preserve">This study assesses feasibility for </w:t>
      </w:r>
      <w:r>
        <w:rPr>
          <w:b/>
        </w:rPr>
        <w:t>Phase 1 (Core/MVP)</w:t>
      </w:r>
      <w:r>
        <w:rPr/>
        <w:t xml:space="preserve"> as defined in the Proposal — company/branch/department management, user and role management, dashboard, employees, customers, suppliers, products and basic accounting — since that is the only phase for which the Board is being asked to consider committing development resources at this stage. Later phases (2–5) will require their own feasibility check at the point they are proposed, as cost, team composition and integration needs differ by phase.</w:t>
      </w:r>
    </w:p>
    <w:p>
      <w:pPr>
        <w:pStyle w:val="Heading2"/>
        <w:bidi w:val="0"/>
        <w:jc w:val="left"/>
        <w:rPr/>
      </w:pPr>
      <w:r>
        <w:rPr/>
        <w:t>3. Technical Feasibility</w:t>
      </w:r>
    </w:p>
    <w:p>
      <w:pPr>
        <w:pStyle w:val="Heading3"/>
        <w:bidi w:val="0"/>
        <w:jc w:val="left"/>
        <w:rPr/>
      </w:pPr>
      <w:r>
        <w:rPr/>
        <w:t>3.1 Technology Stack — Confirmed by the System Scope Document</w:t>
      </w:r>
    </w:p>
    <w:p>
      <w:pPr>
        <w:pStyle w:val="BodyText"/>
        <w:bidi w:val="0"/>
        <w:jc w:val="left"/>
        <w:rPr/>
      </w:pPr>
      <w:r>
        <w:rPr/>
        <w:t>An earlier version of this study identified an inconsistency between two technology stacks recommended across the Group's planning documents. The system scope document has since been updated (System Architecture section) to specify a single, distributed technology stack, matching what the Group's software development procedures already recommended in their System Architecture phase: Node.js/NestJS/Fastify, PostgreSQL, Redis, Kafka, Docker, GitLab CI, Prometheus/Grafana, Jaeger, EFK Stack, Ansible, Certbot, iRedMail, Zulip/Slack.</w:t>
      </w:r>
    </w:p>
    <w:p>
      <w:pPr>
        <w:pStyle w:val="BodyText"/>
        <w:bidi w:val="0"/>
        <w:spacing w:before="150" w:after="150"/>
        <w:ind w:hanging="0" w:left="150" w:right="150"/>
        <w:jc w:val="left"/>
        <w:rPr>
          <w:sz w:val="21"/>
          <w:bdr w:val="single" w:sz="24" w:space="9" w:color="D98C00"/>
          <w:shd w:fill="FFF4E5" w:val="clear"/>
        </w:rPr>
      </w:pPr>
      <w:r>
        <w:rPr>
          <w:b/>
          <w:sz w:val="21"/>
          <w:bdr w:val="single" w:sz="24" w:space="9" w:color="D98C00"/>
          <w:shd w:fill="FFF4E5" w:val="clear"/>
        </w:rPr>
        <w:t>Residual inconsistency:</w:t>
      </w:r>
      <w:r>
        <w:rPr>
          <w:sz w:val="21"/>
          <w:bdr w:val="single" w:sz="24" w:space="9" w:color="D98C00"/>
          <w:shd w:fill="FFF4E5" w:val="clear"/>
        </w:rPr>
        <w:t xml:space="preserve"> the Group's software development procedures document still lists a separate "Development Environment" recommendation of PHP, Laravel, Composer and MySQL/MariaDB for local development tooling, which conflicts with the confirmed stack above. The Group should update or retire that section.</w:t>
      </w:r>
    </w:p>
    <w:p>
      <w:pPr>
        <w:pStyle w:val="Heading3"/>
        <w:bidi w:val="0"/>
        <w:jc w:val="left"/>
        <w:rPr/>
      </w:pPr>
      <w:r>
        <w:rPr/>
        <w:t xml:space="preserve">3.1.1 Original Assessment and Phased-Adoption Recommendation </w:t>
      </w:r>
      <w:r>
        <w:rPr>
          <w:i/>
        </w:rPr>
        <w:t>(superseded — see note above and Section 3.1.2)</w:t>
      </w:r>
    </w:p>
    <w:p>
      <w:pPr>
        <w:pStyle w:val="BodyText"/>
        <w:bidi w:val="0"/>
        <w:jc w:val="left"/>
        <w:rPr/>
      </w:pPr>
      <w:r>
        <w:rPr/>
        <w:t>The confirmed stack is a mature, capable architecture well suited to the system's eventual scale. This study originally assessed that its full form — independent microservices, Kafka event streaming, a three-part observability stack, and Ansible-driven infrastructure automation — represented substantial operational complexity for a Phase 1 team delivering a single MVP release, and recommended building Phase 1 as a modular monolith instead, deferring service decomposition to Phase 2+.</w:t>
      </w:r>
    </w:p>
    <w:p>
      <w:pPr>
        <w:pStyle w:val="Heading3"/>
        <w:bidi w:val="0"/>
        <w:jc w:val="left"/>
        <w:rPr/>
      </w:pPr>
      <w:r>
        <w:rPr/>
        <w:t>3.1.2 Superseding Decision</w:t>
      </w:r>
    </w:p>
    <w:p>
      <w:pPr>
        <w:pStyle w:val="BodyText"/>
        <w:bidi w:val="0"/>
        <w:spacing w:before="150" w:after="150"/>
        <w:ind w:hanging="0" w:left="150" w:right="150"/>
        <w:jc w:val="left"/>
        <w:rPr>
          <w:sz w:val="21"/>
          <w:bdr w:val="single" w:sz="24" w:space="9" w:color="1F3864"/>
          <w:shd w:fill="EAF1FB" w:val="clear"/>
        </w:rPr>
      </w:pPr>
      <w:r>
        <w:rPr>
          <w:sz w:val="21"/>
          <w:bdr w:val="single" w:sz="24" w:space="9" w:color="1F3864"/>
          <w:shd w:fill="EAF1FB" w:val="clear"/>
        </w:rPr>
        <w:t>The Group has since directed that Phase 1 be built as full microservices from the outset, accepting the complexity trade-off this study flagged in Section 3.1.1. 07_System Design Document (v2.0) records the resulting architecture in detail — eight services plus an API Gateway, Kafka-based event propagation, and the full observability stack adopted as Phase 1 infrastructure rather than deferred. This study's role from this point is to make sure the associated risks (Section 3.4, Section 9) are visible to the Board, not to re-litigate the architecture choice.</w:t>
      </w:r>
    </w:p>
    <w:p>
      <w:pPr>
        <w:pStyle w:val="Heading3"/>
        <w:bidi w:val="0"/>
        <w:jc w:val="left"/>
        <w:rPr/>
      </w:pPr>
      <w:r>
        <w:rPr/>
        <w:t>3.2 Infrastructure Feasibility</w:t>
      </w:r>
    </w:p>
    <w:p>
      <w:pPr>
        <w:pStyle w:val="BodyText"/>
        <w:numPr>
          <w:ilvl w:val="0"/>
          <w:numId w:val="1"/>
        </w:numPr>
        <w:tabs>
          <w:tab w:val="clear" w:pos="1134"/>
          <w:tab w:val="left" w:pos="709" w:leader="none"/>
        </w:tabs>
        <w:bidi w:val="0"/>
        <w:spacing w:before="0" w:after="0"/>
        <w:ind w:hanging="283" w:left="709"/>
        <w:jc w:val="left"/>
        <w:rPr/>
      </w:pPr>
      <w:r>
        <w:rPr/>
        <w:t xml:space="preserve">Cloud hosting on AWS is technically available and commonly used for web applications serving Uganda/East Africa; a specific region/provider decision is deferred to the System Design Document. </w:t>
      </w:r>
    </w:p>
    <w:p>
      <w:pPr>
        <w:pStyle w:val="BodyText"/>
        <w:numPr>
          <w:ilvl w:val="0"/>
          <w:numId w:val="1"/>
        </w:numPr>
        <w:tabs>
          <w:tab w:val="clear" w:pos="1134"/>
          <w:tab w:val="left" w:pos="709" w:leader="none"/>
        </w:tabs>
        <w:bidi w:val="0"/>
        <w:spacing w:before="0" w:after="0"/>
        <w:ind w:hanging="283" w:left="709"/>
        <w:jc w:val="left"/>
        <w:rPr/>
      </w:pPr>
      <w:r>
        <w:rPr/>
        <w:t xml:space="preserve">Under the now-adopted microservices architecture, infrastructure feasibility depends on more components than the monolith design assumed: multiple ECS services, one or more RDS instances, a Kafka deployment (managed or self-hosted), and a full observability stack, all from Phase 1 — see 07_System Design Document, Sections 8 and 11, for the detailed design and cost implications. </w:t>
      </w:r>
    </w:p>
    <w:p>
      <w:pPr>
        <w:pStyle w:val="BodyText"/>
        <w:numPr>
          <w:ilvl w:val="0"/>
          <w:numId w:val="1"/>
        </w:numPr>
        <w:tabs>
          <w:tab w:val="clear" w:pos="1134"/>
          <w:tab w:val="left" w:pos="709" w:leader="none"/>
        </w:tabs>
        <w:bidi w:val="0"/>
        <w:ind w:hanging="283" w:left="709"/>
        <w:jc w:val="left"/>
        <w:rPr/>
      </w:pPr>
      <w:r>
        <w:rPr/>
        <w:t xml:space="preserve">Internet connectivity reliability at each company/branch location should be confirmed during requirements gathering, since the system is web-based and branch staff will depend on it for daily operations. </w:t>
      </w:r>
    </w:p>
    <w:p>
      <w:pPr>
        <w:pStyle w:val="Heading3"/>
        <w:bidi w:val="0"/>
        <w:jc w:val="left"/>
        <w:rPr/>
      </w:pPr>
      <w:r>
        <w:rPr/>
        <w:t>3.3 Integration Feasibility</w:t>
      </w:r>
    </w:p>
    <w:p>
      <w:pPr>
        <w:pStyle w:val="BodyText"/>
        <w:bidi w:val="0"/>
        <w:jc w:val="left"/>
        <w:rPr/>
      </w:pPr>
      <w:r>
        <w:rPr/>
        <w:t xml:space="preserve">The system scope document lists banks, mobile money, payment gateways, email/SMS gateways, tax systems and biometric/GPS devices as possible future integrations. All are technically feasible with mature, well-documented APIs, but </w:t>
      </w:r>
      <w:r>
        <w:rPr>
          <w:b/>
        </w:rPr>
        <w:t>none are required for Phase 1</w:t>
      </w:r>
      <w:r>
        <w:rPr/>
        <w:t xml:space="preserve"> — they fall under Phase 5 (Integration and Security) in the phased roadmap. For Phase 1 transactional email, a managed email-sending service is recommended over the confirmed stack's self-hosted iRedMail mail server, which is better suited to a later phase.</w:t>
      </w:r>
    </w:p>
    <w:p>
      <w:pPr>
        <w:pStyle w:val="Heading3"/>
        <w:bidi w:val="0"/>
        <w:jc w:val="left"/>
        <w:rPr/>
      </w:pPr>
      <w:r>
        <w:rPr/>
        <w:t>3.4 Skills and Resourcing Feasibility</w:t>
      </w:r>
    </w:p>
    <w:p>
      <w:pPr>
        <w:pStyle w:val="BodyText"/>
        <w:bidi w:val="0"/>
        <w:spacing w:before="150" w:after="150"/>
        <w:ind w:hanging="0" w:left="150" w:right="150"/>
        <w:jc w:val="left"/>
        <w:rPr>
          <w:sz w:val="21"/>
          <w:bdr w:val="single" w:sz="24" w:space="9" w:color="D98C00"/>
          <w:shd w:fill="FFF4E5" w:val="clear"/>
        </w:rPr>
      </w:pPr>
      <w:r>
        <w:rPr>
          <w:b/>
          <w:sz w:val="21"/>
          <w:bdr w:val="single" w:sz="24" w:space="9" w:color="D98C00"/>
          <w:shd w:fill="FFF4E5" w:val="clear"/>
        </w:rPr>
        <w:t>Updated for the microservices decision:</w:t>
      </w:r>
      <w:r>
        <w:rPr>
          <w:sz w:val="21"/>
          <w:bdr w:val="single" w:sz="24" w:space="9" w:color="D98C00"/>
          <w:shd w:fill="FFF4E5" w:val="clear"/>
        </w:rPr>
        <w:t xml:space="preserve"> Phase 1 now requires the development team to have demonstrated experience with Kafka, distributed tracing (Jaeger), centralized logging (EFK) and container orchestration (AWS ECS) — not only Node.js/NestJS application development. This is a materially higher skills bar than the modular-monolith design would have required, and the smaller local hiring pool already noted below is more acute for this fuller skill set. 07_System Design Document, Section 12 records this as an explicit condition to confirm before development starts.</w:t>
      </w:r>
    </w:p>
    <w:p>
      <w:pPr>
        <w:pStyle w:val="BodyText"/>
        <w:numPr>
          <w:ilvl w:val="0"/>
          <w:numId w:val="2"/>
        </w:numPr>
        <w:tabs>
          <w:tab w:val="clear" w:pos="1134"/>
          <w:tab w:val="left" w:pos="709" w:leader="none"/>
        </w:tabs>
        <w:bidi w:val="0"/>
        <w:spacing w:before="0" w:after="0"/>
        <w:ind w:hanging="283" w:left="709"/>
        <w:jc w:val="left"/>
        <w:rPr/>
      </w:pPr>
      <w:r>
        <w:rPr/>
        <w:t xml:space="preserve">Developers skilled in Node.js, TypeScript and NestJS are available in the Ugandan/East African market, though this pool is smaller and more specialist than a PHP/Laravel-based hiring pool would have been. </w:t>
      </w:r>
    </w:p>
    <w:p>
      <w:pPr>
        <w:pStyle w:val="BodyText"/>
        <w:numPr>
          <w:ilvl w:val="0"/>
          <w:numId w:val="2"/>
        </w:numPr>
        <w:tabs>
          <w:tab w:val="clear" w:pos="1134"/>
          <w:tab w:val="left" w:pos="709" w:leader="none"/>
        </w:tabs>
        <w:bidi w:val="0"/>
        <w:spacing w:before="0" w:after="0"/>
        <w:ind w:hanging="283" w:left="709"/>
        <w:jc w:val="left"/>
        <w:rPr/>
      </w:pPr>
      <w:r>
        <w:rPr/>
        <w:t xml:space="preserve">Developers with hands-on production experience operating Kafka-based microservices are a narrower pool still; the Group should expect a longer sourcing lead time, or specifically prioritize an external development partner with demonstrated microservices delivery experience over a generalist web development shop. </w:t>
      </w:r>
    </w:p>
    <w:p>
      <w:pPr>
        <w:pStyle w:val="BodyText"/>
        <w:numPr>
          <w:ilvl w:val="0"/>
          <w:numId w:val="2"/>
        </w:numPr>
        <w:tabs>
          <w:tab w:val="clear" w:pos="1134"/>
          <w:tab w:val="left" w:pos="709" w:leader="none"/>
        </w:tabs>
        <w:bidi w:val="0"/>
        <w:ind w:hanging="283" w:left="709"/>
        <w:jc w:val="left"/>
        <w:rPr/>
      </w:pPr>
      <w:r>
        <w:rPr/>
        <w:t xml:space="preserve">An IT Administrator (or, more realistically for this architecture, a small platform/DevOps function) will be needed from Phase 1 onward to operate containers, the Kafka cluster, observability tooling and multiple databases. </w:t>
      </w:r>
    </w:p>
    <w:p>
      <w:pPr>
        <w:pStyle w:val="Heading3"/>
        <w:bidi w:val="0"/>
        <w:jc w:val="left"/>
        <w:rPr/>
      </w:pPr>
      <w:r>
        <w:rPr/>
        <w:t>3.5 Technical Feasibility Verdict</w:t>
      </w:r>
    </w:p>
    <w:tbl>
      <w:tblPr>
        <w:tblW w:w="11339" w:type="dxa"/>
        <w:jc w:val="left"/>
        <w:tblInd w:w="28" w:type="dxa"/>
        <w:tblLayout w:type="fixed"/>
        <w:tblCellMar>
          <w:top w:w="28" w:type="dxa"/>
          <w:left w:w="28" w:type="dxa"/>
          <w:bottom w:w="28" w:type="dxa"/>
          <w:right w:w="28" w:type="dxa"/>
        </w:tblCellMar>
      </w:tblPr>
      <w:tblGrid>
        <w:gridCol w:w="3049"/>
        <w:gridCol w:w="8290"/>
      </w:tblGrid>
      <w:tr>
        <w:trPr/>
        <w:tc>
          <w:tcPr>
            <w:tcW w:w="3049" w:type="dxa"/>
            <w:tcBorders/>
            <w:vAlign w:val="center"/>
          </w:tcPr>
          <w:p>
            <w:pPr>
              <w:pStyle w:val="TableContents"/>
              <w:bidi w:val="0"/>
              <w:spacing w:before="0" w:after="283"/>
              <w:jc w:val="left"/>
              <w:rPr>
                <w:b/>
              </w:rPr>
            </w:pPr>
            <w:r>
              <w:rPr>
                <w:b/>
              </w:rPr>
              <w:t>Feasible, with materially higher Phase 1 complexity and skills risk than originally recommended</w:t>
            </w:r>
          </w:p>
        </w:tc>
        <w:tc>
          <w:tcPr>
            <w:tcW w:w="8290" w:type="dxa"/>
            <w:tcBorders/>
            <w:vAlign w:val="center"/>
          </w:tcPr>
          <w:p>
            <w:pPr>
              <w:pStyle w:val="TableContents"/>
              <w:bidi w:val="0"/>
              <w:spacing w:before="0" w:after="283"/>
              <w:jc w:val="left"/>
              <w:rPr/>
            </w:pPr>
            <w:r>
              <w:rPr/>
              <w:t>Phase 1 is technically achievable using the confirmed microservices architecture (07_System Design Document v2.0), but this study's original phased-adoption recommendation (Section 3.1.1) was made specifically to avoid the complexity now being accepted. The Board should treat Section 3.4's skills condition and Section 9's updated risk as live items to manage, not as resolved by the architecture decision alone.</w:t>
            </w:r>
          </w:p>
        </w:tc>
      </w:tr>
    </w:tbl>
    <w:p>
      <w:pPr>
        <w:pStyle w:val="Heading2"/>
        <w:bidi w:val="0"/>
        <w:jc w:val="left"/>
        <w:rPr/>
      </w:pPr>
      <w:r>
        <w:rPr/>
        <w:t>4. Operational Feasibility</w:t>
      </w:r>
    </w:p>
    <w:p>
      <w:pPr>
        <w:pStyle w:val="Heading3"/>
        <w:bidi w:val="0"/>
        <w:jc w:val="left"/>
        <w:rPr/>
      </w:pPr>
      <w:r>
        <w:rPr/>
        <w:t>4.1 Organizational Readiness</w:t>
      </w:r>
    </w:p>
    <w:p>
      <w:pPr>
        <w:pStyle w:val="BodyText"/>
        <w:numPr>
          <w:ilvl w:val="0"/>
          <w:numId w:val="3"/>
        </w:numPr>
        <w:tabs>
          <w:tab w:val="clear" w:pos="1134"/>
          <w:tab w:val="left" w:pos="709" w:leader="none"/>
        </w:tabs>
        <w:bidi w:val="0"/>
        <w:spacing w:before="0" w:after="0"/>
        <w:ind w:hanging="283" w:left="709"/>
        <w:jc w:val="left"/>
        <w:rPr/>
      </w:pPr>
      <w:r>
        <w:rPr/>
        <w:t xml:space="preserve">The Group currently operates with manual and spreadsheet-based processes across companies and branches; moving to a centralized system is a meaningful operational change requiring active change management, not only a technical rollout. </w:t>
      </w:r>
    </w:p>
    <w:p>
      <w:pPr>
        <w:pStyle w:val="BodyText"/>
        <w:numPr>
          <w:ilvl w:val="0"/>
          <w:numId w:val="3"/>
        </w:numPr>
        <w:tabs>
          <w:tab w:val="clear" w:pos="1134"/>
          <w:tab w:val="left" w:pos="709" w:leader="none"/>
        </w:tabs>
        <w:bidi w:val="0"/>
        <w:ind w:hanging="283" w:left="709"/>
        <w:jc w:val="left"/>
        <w:rPr/>
      </w:pPr>
      <w:r>
        <w:rPr/>
        <w:t xml:space="preserve">A defined role structure already exists conceptually in the system scope document, which maps cleanly onto the system's proposed role-based access model. </w:t>
      </w:r>
    </w:p>
    <w:p>
      <w:pPr>
        <w:pStyle w:val="Heading3"/>
        <w:bidi w:val="0"/>
        <w:jc w:val="left"/>
        <w:rPr/>
      </w:pPr>
      <w:r>
        <w:rPr/>
        <w:t>4.2 Data Readiness</w:t>
      </w:r>
    </w:p>
    <w:p>
      <w:pPr>
        <w:pStyle w:val="BodyText"/>
        <w:numPr>
          <w:ilvl w:val="0"/>
          <w:numId w:val="4"/>
        </w:numPr>
        <w:tabs>
          <w:tab w:val="clear" w:pos="1134"/>
          <w:tab w:val="left" w:pos="709" w:leader="none"/>
        </w:tabs>
        <w:bidi w:val="0"/>
        <w:spacing w:before="0" w:after="0"/>
        <w:ind w:hanging="283" w:left="709"/>
        <w:jc w:val="left"/>
        <w:rPr/>
      </w:pPr>
      <w:r>
        <w:rPr/>
        <w:t xml:space="preserve">Existing employee, customer, supplier and product records are assumed to be held in spreadsheets or manual records, meaning there is no legacy database to migrate technically, but data completeness and accuracy have not yet been verified. </w:t>
      </w:r>
    </w:p>
    <w:p>
      <w:pPr>
        <w:pStyle w:val="BodyText"/>
        <w:numPr>
          <w:ilvl w:val="0"/>
          <w:numId w:val="4"/>
        </w:numPr>
        <w:tabs>
          <w:tab w:val="clear" w:pos="1134"/>
          <w:tab w:val="left" w:pos="709" w:leader="none"/>
        </w:tabs>
        <w:bidi w:val="0"/>
        <w:ind w:hanging="283" w:left="709"/>
        <w:jc w:val="left"/>
        <w:rPr/>
      </w:pPr>
      <w:r>
        <w:rPr/>
        <w:t xml:space="preserve">A structured data migration process (clean → validate → test import → user verification → production import) is already anticipated in the Group's procedures. </w:t>
      </w:r>
    </w:p>
    <w:p>
      <w:pPr>
        <w:pStyle w:val="Heading3"/>
        <w:bidi w:val="0"/>
        <w:jc w:val="left"/>
        <w:rPr/>
      </w:pPr>
      <w:r>
        <w:rPr/>
        <w:t>4.3 Training and Support Readiness</w:t>
      </w:r>
    </w:p>
    <w:p>
      <w:pPr>
        <w:pStyle w:val="BodyText"/>
        <w:numPr>
          <w:ilvl w:val="0"/>
          <w:numId w:val="5"/>
        </w:numPr>
        <w:tabs>
          <w:tab w:val="clear" w:pos="1134"/>
          <w:tab w:val="left" w:pos="709" w:leader="none"/>
        </w:tabs>
        <w:bidi w:val="0"/>
        <w:spacing w:before="0" w:after="0"/>
        <w:ind w:hanging="283" w:left="709"/>
        <w:jc w:val="left"/>
        <w:rPr/>
      </w:pPr>
      <w:r>
        <w:rPr/>
        <w:t xml:space="preserve">The Group's procedures document already anticipates role-based training — this study confirms that plan is appropriate for Phase 1's user groups. </w:t>
      </w:r>
    </w:p>
    <w:p>
      <w:pPr>
        <w:pStyle w:val="BodyText"/>
        <w:numPr>
          <w:ilvl w:val="0"/>
          <w:numId w:val="5"/>
        </w:numPr>
        <w:tabs>
          <w:tab w:val="clear" w:pos="1134"/>
          <w:tab w:val="left" w:pos="709" w:leader="none"/>
        </w:tabs>
        <w:bidi w:val="0"/>
        <w:ind w:hanging="283" w:left="709"/>
        <w:jc w:val="left"/>
        <w:rPr/>
      </w:pPr>
      <w:r>
        <w:rPr/>
        <w:t xml:space="preserve">Ongoing user support after go-live requires a designated internal or contracted support function; under the microservices design this function now also needs to triage which of several services an issue originates in (aided by the observability stack in 07_System Design Document, Section 8). </w:t>
      </w:r>
    </w:p>
    <w:p>
      <w:pPr>
        <w:pStyle w:val="Heading3"/>
        <w:bidi w:val="0"/>
        <w:jc w:val="left"/>
        <w:rPr/>
      </w:pPr>
      <w:r>
        <w:rPr/>
        <w:t>4.4 Governance Readiness</w:t>
      </w:r>
    </w:p>
    <w:p>
      <w:pPr>
        <w:pStyle w:val="BodyText"/>
        <w:bidi w:val="0"/>
        <w:jc w:val="left"/>
        <w:rPr/>
      </w:pPr>
      <w:r>
        <w:rPr/>
        <w:t>The Secretary/alternate-signatory position recorded in the 2019 Board Resolution is held by the late Mrs. Okurut Rhonah Bagonza. If project funding release requires the same multi-signatory authorization used for the Group's banking transactions, an unresolved signatory gap could stall Phase 1 funding disbursement after work has already started. This should be resolved before, not during, Phase 1.</w:t>
      </w:r>
    </w:p>
    <w:p>
      <w:pPr>
        <w:pStyle w:val="Heading3"/>
        <w:bidi w:val="0"/>
        <w:jc w:val="left"/>
        <w:rPr/>
      </w:pPr>
      <w:r>
        <w:rPr/>
        <w:t>4.5 Operational Feasibility Verdict</w:t>
      </w:r>
    </w:p>
    <w:tbl>
      <w:tblPr>
        <w:tblW w:w="11339" w:type="dxa"/>
        <w:jc w:val="left"/>
        <w:tblInd w:w="28" w:type="dxa"/>
        <w:tblLayout w:type="fixed"/>
        <w:tblCellMar>
          <w:top w:w="28" w:type="dxa"/>
          <w:left w:w="28" w:type="dxa"/>
          <w:bottom w:w="28" w:type="dxa"/>
          <w:right w:w="28" w:type="dxa"/>
        </w:tblCellMar>
      </w:tblPr>
      <w:tblGrid>
        <w:gridCol w:w="1572"/>
        <w:gridCol w:w="9767"/>
      </w:tblGrid>
      <w:tr>
        <w:trPr/>
        <w:tc>
          <w:tcPr>
            <w:tcW w:w="1572" w:type="dxa"/>
            <w:tcBorders/>
            <w:vAlign w:val="center"/>
          </w:tcPr>
          <w:p>
            <w:pPr>
              <w:pStyle w:val="TableContents"/>
              <w:bidi w:val="0"/>
              <w:spacing w:before="0" w:after="283"/>
              <w:jc w:val="left"/>
              <w:rPr>
                <w:b/>
              </w:rPr>
            </w:pPr>
            <w:r>
              <w:rPr>
                <w:b/>
              </w:rPr>
              <w:t>Feasible, with conditions</w:t>
            </w:r>
          </w:p>
        </w:tc>
        <w:tc>
          <w:tcPr>
            <w:tcW w:w="9767" w:type="dxa"/>
            <w:tcBorders/>
            <w:vAlign w:val="center"/>
          </w:tcPr>
          <w:p>
            <w:pPr>
              <w:pStyle w:val="TableContents"/>
              <w:bidi w:val="0"/>
              <w:spacing w:before="0" w:after="283"/>
              <w:jc w:val="left"/>
              <w:rPr/>
            </w:pPr>
            <w:r>
              <w:rPr/>
              <w:t>Phase 1 is operationally feasible provided that: (a) a change-management/training plan is resourced; (b) a data migration exercise is scheduled and owned; (c) an ongoing support function capable of operating a multi-service system is assigned before go-live; and (d) the Board resolves the Secretary/signatory gap ahead of fund disbursement.</w:t>
            </w:r>
          </w:p>
        </w:tc>
      </w:tr>
    </w:tbl>
    <w:p>
      <w:pPr>
        <w:pStyle w:val="Heading2"/>
        <w:bidi w:val="0"/>
        <w:jc w:val="left"/>
        <w:rPr/>
      </w:pPr>
      <w:r>
        <w:rPr/>
        <w:t>5. Economic Feasibility</w:t>
      </w:r>
    </w:p>
    <w:p>
      <w:pPr>
        <w:pStyle w:val="Heading3"/>
        <w:bidi w:val="0"/>
        <w:jc w:val="left"/>
        <w:rPr/>
      </w:pPr>
      <w:r>
        <w:rPr/>
        <w:t>5.1 Cost Basis</w:t>
      </w:r>
    </w:p>
    <w:p>
      <w:pPr>
        <w:pStyle w:val="BodyText"/>
        <w:bidi w:val="0"/>
        <w:jc w:val="left"/>
        <w:rPr/>
      </w:pPr>
      <w:r>
        <w:rPr/>
        <w:t>No development, hosting or licensing quotations have been obtained at the time of this study. The microservices decision (Section 3.1.2) materially changes what those quotations need to price — multiple services, multiple databases, an event bus, and a full observability stack, rather than a single application and database — so quotations sought under 01_Project Proposal, Section 9.3 should now be scoped against 07_System Design Document (v2.0), not the original monolith design.</w:t>
      </w:r>
    </w:p>
    <w:p>
      <w:pPr>
        <w:pStyle w:val="Heading3"/>
        <w:bidi w:val="0"/>
        <w:jc w:val="left"/>
        <w:rPr/>
      </w:pPr>
      <w:r>
        <w:rPr/>
        <w:t>5.2 Qualitative Cost-Benefit Assessment</w:t>
      </w:r>
    </w:p>
    <w:tbl>
      <w:tblPr>
        <w:tblW w:w="11339" w:type="dxa"/>
        <w:jc w:val="left"/>
        <w:tblInd w:w="28" w:type="dxa"/>
        <w:tblLayout w:type="fixed"/>
        <w:tblCellMar>
          <w:top w:w="28" w:type="dxa"/>
          <w:left w:w="28" w:type="dxa"/>
          <w:bottom w:w="28" w:type="dxa"/>
          <w:right w:w="28" w:type="dxa"/>
        </w:tblCellMar>
      </w:tblPr>
      <w:tblGrid>
        <w:gridCol w:w="3517"/>
        <w:gridCol w:w="7822"/>
      </w:tblGrid>
      <w:tr>
        <w:trPr/>
        <w:tc>
          <w:tcPr>
            <w:tcW w:w="3517" w:type="dxa"/>
            <w:tcBorders/>
            <w:vAlign w:val="center"/>
          </w:tcPr>
          <w:p>
            <w:pPr>
              <w:pStyle w:val="TableHeading"/>
              <w:suppressLineNumbers/>
              <w:shd w:fill="1F3864" w:val="clear"/>
              <w:bidi w:val="0"/>
              <w:spacing w:before="0" w:after="283"/>
              <w:jc w:val="left"/>
              <w:rPr/>
            </w:pPr>
            <w:r>
              <w:rPr/>
              <w:t>Benefit Area</w:t>
            </w:r>
          </w:p>
        </w:tc>
        <w:tc>
          <w:tcPr>
            <w:tcW w:w="7822" w:type="dxa"/>
            <w:tcBorders/>
            <w:vAlign w:val="center"/>
          </w:tcPr>
          <w:p>
            <w:pPr>
              <w:pStyle w:val="TableHeading"/>
              <w:suppressLineNumbers/>
              <w:shd w:fill="1F3864" w:val="clear"/>
              <w:bidi w:val="0"/>
              <w:spacing w:before="0" w:after="283"/>
              <w:jc w:val="left"/>
              <w:rPr/>
            </w:pPr>
            <w:r>
              <w:rPr/>
              <w:t>How It Offsets Cost</w:t>
            </w:r>
          </w:p>
        </w:tc>
      </w:tr>
      <w:tr>
        <w:trPr/>
        <w:tc>
          <w:tcPr>
            <w:tcW w:w="3517" w:type="dxa"/>
            <w:tcBorders/>
            <w:vAlign w:val="center"/>
          </w:tcPr>
          <w:p>
            <w:pPr>
              <w:pStyle w:val="TableContents"/>
              <w:bidi w:val="0"/>
              <w:spacing w:before="0" w:after="283"/>
              <w:jc w:val="left"/>
              <w:rPr/>
            </w:pPr>
            <w:r>
              <w:rPr/>
              <w:t>Reduced manual reconciliation effort</w:t>
            </w:r>
          </w:p>
        </w:tc>
        <w:tc>
          <w:tcPr>
            <w:tcW w:w="7822" w:type="dxa"/>
            <w:tcBorders/>
            <w:vAlign w:val="center"/>
          </w:tcPr>
          <w:p>
            <w:pPr>
              <w:pStyle w:val="TableContents"/>
              <w:bidi w:val="0"/>
              <w:spacing w:before="0" w:after="283"/>
              <w:jc w:val="left"/>
              <w:rPr/>
            </w:pPr>
            <w:r>
              <w:rPr/>
              <w:t>Finance/accounting staff time currently spent manually consolidating subsidiary records is redirected to higher-value analysis.</w:t>
            </w:r>
          </w:p>
        </w:tc>
      </w:tr>
      <w:tr>
        <w:trPr/>
        <w:tc>
          <w:tcPr>
            <w:tcW w:w="3517" w:type="dxa"/>
            <w:tcBorders/>
            <w:vAlign w:val="center"/>
          </w:tcPr>
          <w:p>
            <w:pPr>
              <w:pStyle w:val="TableContents"/>
              <w:bidi w:val="0"/>
              <w:spacing w:before="0" w:after="283"/>
              <w:jc w:val="left"/>
              <w:rPr/>
            </w:pPr>
            <w:r>
              <w:rPr/>
              <w:t>Faster, more reliable management reporting</w:t>
            </w:r>
          </w:p>
        </w:tc>
        <w:tc>
          <w:tcPr>
            <w:tcW w:w="7822" w:type="dxa"/>
            <w:tcBorders/>
            <w:vAlign w:val="center"/>
          </w:tcPr>
          <w:p>
            <w:pPr>
              <w:pStyle w:val="TableContents"/>
              <w:bidi w:val="0"/>
              <w:spacing w:before="0" w:after="283"/>
              <w:jc w:val="left"/>
              <w:rPr/>
            </w:pPr>
            <w:r>
              <w:rPr/>
              <w:t>Reduces the risk of delayed or incorrect decisions caused by stale or incomplete information.</w:t>
            </w:r>
          </w:p>
        </w:tc>
      </w:tr>
      <w:tr>
        <w:trPr/>
        <w:tc>
          <w:tcPr>
            <w:tcW w:w="3517" w:type="dxa"/>
            <w:tcBorders/>
            <w:vAlign w:val="center"/>
          </w:tcPr>
          <w:p>
            <w:pPr>
              <w:pStyle w:val="TableContents"/>
              <w:bidi w:val="0"/>
              <w:spacing w:before="0" w:after="283"/>
              <w:jc w:val="left"/>
              <w:rPr/>
            </w:pPr>
            <w:r>
              <w:rPr/>
              <w:t>Stronger financial controls and audit trail</w:t>
            </w:r>
          </w:p>
        </w:tc>
        <w:tc>
          <w:tcPr>
            <w:tcW w:w="7822" w:type="dxa"/>
            <w:tcBorders/>
            <w:vAlign w:val="center"/>
          </w:tcPr>
          <w:p>
            <w:pPr>
              <w:pStyle w:val="TableContents"/>
              <w:bidi w:val="0"/>
              <w:spacing w:before="0" w:after="283"/>
              <w:jc w:val="left"/>
              <w:rPr/>
            </w:pPr>
            <w:r>
              <w:rPr/>
              <w:t>Reduces exposure to error, fraud and audit findings.</w:t>
            </w:r>
          </w:p>
        </w:tc>
      </w:tr>
      <w:tr>
        <w:trPr/>
        <w:tc>
          <w:tcPr>
            <w:tcW w:w="3517" w:type="dxa"/>
            <w:tcBorders/>
            <w:vAlign w:val="center"/>
          </w:tcPr>
          <w:p>
            <w:pPr>
              <w:pStyle w:val="TableContents"/>
              <w:bidi w:val="0"/>
              <w:spacing w:before="0" w:after="283"/>
              <w:jc w:val="left"/>
              <w:rPr/>
            </w:pPr>
            <w:r>
              <w:rPr/>
              <w:t>Reduced stock and asset losses</w:t>
            </w:r>
          </w:p>
        </w:tc>
        <w:tc>
          <w:tcPr>
            <w:tcW w:w="7822" w:type="dxa"/>
            <w:tcBorders/>
            <w:vAlign w:val="center"/>
          </w:tcPr>
          <w:p>
            <w:pPr>
              <w:pStyle w:val="TableContents"/>
              <w:bidi w:val="0"/>
              <w:spacing w:before="0" w:after="283"/>
              <w:jc w:val="left"/>
              <w:rPr/>
            </w:pPr>
            <w:r>
              <w:rPr/>
              <w:t>Systematic tracking reduces shrinkage and unplanned write-offs.</w:t>
            </w:r>
          </w:p>
        </w:tc>
      </w:tr>
      <w:tr>
        <w:trPr/>
        <w:tc>
          <w:tcPr>
            <w:tcW w:w="3517" w:type="dxa"/>
            <w:tcBorders/>
            <w:vAlign w:val="center"/>
          </w:tcPr>
          <w:p>
            <w:pPr>
              <w:pStyle w:val="TableContents"/>
              <w:bidi w:val="0"/>
              <w:spacing w:before="0" w:after="283"/>
              <w:jc w:val="left"/>
              <w:rPr/>
            </w:pPr>
            <w:r>
              <w:rPr/>
              <w:t>Scalable onboarding of new subsidiaries/branches</w:t>
            </w:r>
          </w:p>
        </w:tc>
        <w:tc>
          <w:tcPr>
            <w:tcW w:w="7822" w:type="dxa"/>
            <w:tcBorders/>
            <w:vAlign w:val="center"/>
          </w:tcPr>
          <w:p>
            <w:pPr>
              <w:pStyle w:val="TableContents"/>
              <w:bidi w:val="0"/>
              <w:spacing w:before="0" w:after="283"/>
              <w:jc w:val="left"/>
              <w:rPr/>
            </w:pPr>
            <w:r>
              <w:rPr/>
              <w:t>Avoids the recurring administrative setup cost of extending manual processes to each new entity.</w:t>
            </w:r>
          </w:p>
        </w:tc>
      </w:tr>
    </w:tbl>
    <w:p>
      <w:pPr>
        <w:pStyle w:val="BodyText"/>
        <w:bidi w:val="0"/>
        <w:spacing w:before="150" w:after="150"/>
        <w:ind w:hanging="0" w:left="150" w:right="150"/>
        <w:jc w:val="left"/>
        <w:rPr>
          <w:sz w:val="21"/>
          <w:bdr w:val="single" w:sz="24" w:space="9" w:color="D98C00"/>
          <w:shd w:fill="FFF4E5" w:val="clear"/>
        </w:rPr>
      </w:pPr>
      <w:r>
        <w:rPr>
          <w:b/>
          <w:sz w:val="21"/>
          <w:bdr w:val="single" w:sz="24" w:space="9" w:color="D98C00"/>
          <w:shd w:fill="FFF4E5" w:val="clear"/>
        </w:rPr>
        <w:t>Recommendation (unchanged):</w:t>
      </w:r>
      <w:r>
        <w:rPr>
          <w:sz w:val="21"/>
          <w:bdr w:val="single" w:sz="24" w:space="9" w:color="D98C00"/>
          <w:shd w:fill="FFF4E5" w:val="clear"/>
        </w:rPr>
        <w:t xml:space="preserve"> before Board sign-off on Phase 1 funding, Finance should produce a short baseline estimate of current reconciliation/admin staff-hours per month across subsidiaries, to support a payback-period estimate once quotations are obtained.</w:t>
      </w:r>
    </w:p>
    <w:p>
      <w:pPr>
        <w:pStyle w:val="Heading3"/>
        <w:bidi w:val="0"/>
        <w:jc w:val="left"/>
        <w:rPr/>
      </w:pPr>
      <w:r>
        <w:rPr/>
        <w:t>5.3 Funding Availability</w:t>
      </w:r>
    </w:p>
    <w:p>
      <w:pPr>
        <w:pStyle w:val="BodyText"/>
        <w:bidi w:val="0"/>
        <w:jc w:val="left"/>
        <w:rPr/>
      </w:pPr>
      <w:r>
        <w:rPr/>
        <w:t xml:space="preserve">Funding source options were assessed in Proposal Section 9.4 and remain valid mechanisms regardless of architecture; none present a fundamental feasibility blocker. The </w:t>
      </w:r>
      <w:r>
        <w:rPr>
          <w:i/>
        </w:rPr>
        <w:t>amount</w:t>
      </w:r>
      <w:r>
        <w:rPr/>
        <w:t xml:space="preserve"> likely required is now expected to be higher than under the monolith design, per Section 5.1.</w:t>
      </w:r>
    </w:p>
    <w:p>
      <w:pPr>
        <w:pStyle w:val="Heading3"/>
        <w:bidi w:val="0"/>
        <w:jc w:val="left"/>
        <w:rPr/>
      </w:pPr>
      <w:r>
        <w:rPr/>
        <w:t>5.4 Economic Feasibility Verdict</w:t>
      </w:r>
    </w:p>
    <w:tbl>
      <w:tblPr>
        <w:tblW w:w="11339" w:type="dxa"/>
        <w:jc w:val="left"/>
        <w:tblInd w:w="28" w:type="dxa"/>
        <w:tblLayout w:type="fixed"/>
        <w:tblCellMar>
          <w:top w:w="28" w:type="dxa"/>
          <w:left w:w="28" w:type="dxa"/>
          <w:bottom w:w="28" w:type="dxa"/>
          <w:right w:w="28" w:type="dxa"/>
        </w:tblCellMar>
      </w:tblPr>
      <w:tblGrid>
        <w:gridCol w:w="3326"/>
        <w:gridCol w:w="8013"/>
      </w:tblGrid>
      <w:tr>
        <w:trPr/>
        <w:tc>
          <w:tcPr>
            <w:tcW w:w="3326" w:type="dxa"/>
            <w:tcBorders/>
            <w:vAlign w:val="center"/>
          </w:tcPr>
          <w:p>
            <w:pPr>
              <w:pStyle w:val="TableContents"/>
              <w:bidi w:val="0"/>
              <w:spacing w:before="0" w:after="283"/>
              <w:jc w:val="left"/>
              <w:rPr>
                <w:b/>
              </w:rPr>
            </w:pPr>
            <w:r>
              <w:rPr>
                <w:b/>
              </w:rPr>
              <w:t>Feasible in principle, pending quantification — and now likely to cost more than originally estimated</w:t>
            </w:r>
          </w:p>
        </w:tc>
        <w:tc>
          <w:tcPr>
            <w:tcW w:w="8013" w:type="dxa"/>
            <w:tcBorders/>
            <w:vAlign w:val="center"/>
          </w:tcPr>
          <w:p>
            <w:pPr>
              <w:pStyle w:val="TableContents"/>
              <w:bidi w:val="0"/>
              <w:spacing w:before="0" w:after="283"/>
              <w:jc w:val="left"/>
              <w:rPr/>
            </w:pPr>
            <w:r>
              <w:rPr/>
              <w:t>The qualitative case for economic benefit is unchanged, but the microservices decision means Phase 1 development and infrastructure cost is expected to be materially higher than the monolith design this study originally costed against. A firm go/no-go should wait for quotations explicitly scoped to the microservices architecture in 07_System Design Document.</w:t>
            </w:r>
          </w:p>
        </w:tc>
      </w:tr>
    </w:tbl>
    <w:p>
      <w:pPr>
        <w:pStyle w:val="Heading2"/>
        <w:bidi w:val="0"/>
        <w:jc w:val="left"/>
        <w:rPr/>
      </w:pPr>
      <w:r>
        <w:rPr/>
        <w:t>6. Schedule Feasibility</w:t>
      </w:r>
    </w:p>
    <w:p>
      <w:pPr>
        <w:pStyle w:val="BodyText"/>
        <w:bidi w:val="0"/>
        <w:jc w:val="left"/>
        <w:rPr/>
      </w:pPr>
      <w:r>
        <w:rPr/>
        <w:t>The Group's software development procedures propose a 14-sprint development order for the combined core and business-operations scope. Phase 1 (MVP) corresponds to roughly the first 5 of those 14 sprints.</w:t>
      </w:r>
    </w:p>
    <w:p>
      <w:pPr>
        <w:pStyle w:val="BodyText"/>
        <w:bidi w:val="0"/>
        <w:spacing w:before="150" w:after="150"/>
        <w:ind w:hanging="0" w:left="150" w:right="150"/>
        <w:jc w:val="left"/>
        <w:rPr>
          <w:sz w:val="21"/>
          <w:bdr w:val="single" w:sz="24" w:space="9" w:color="D98C00"/>
          <w:shd w:fill="FFF4E5" w:val="clear"/>
        </w:rPr>
      </w:pPr>
      <w:r>
        <w:rPr>
          <w:b/>
          <w:sz w:val="21"/>
          <w:bdr w:val="single" w:sz="24" w:space="9" w:color="D98C00"/>
          <w:shd w:fill="FFF4E5" w:val="clear"/>
        </w:rPr>
        <w:t>Updated for the microservices decision:</w:t>
      </w:r>
      <w:r>
        <w:rPr>
          <w:sz w:val="21"/>
          <w:bdr w:val="single" w:sz="24" w:space="9" w:color="D98C00"/>
          <w:shd w:fill="FFF4E5" w:val="clear"/>
        </w:rPr>
        <w:t xml:space="preserve"> the "two to four months" estimate below was built on the monolith design's assumption that a small team builds one application. Standing up eight independently deployable services, an event bus, and an observability stack from day one is additional work the original sprint-based estimate does not capture. The Board should treat the schedule below as optimistic until the engaged development team re-estimates against 07_System Design Document (v2.0).</w:t>
      </w:r>
    </w:p>
    <w:tbl>
      <w:tblPr>
        <w:tblW w:w="11339" w:type="dxa"/>
        <w:jc w:val="left"/>
        <w:tblInd w:w="28" w:type="dxa"/>
        <w:tblLayout w:type="fixed"/>
        <w:tblCellMar>
          <w:top w:w="28" w:type="dxa"/>
          <w:left w:w="28" w:type="dxa"/>
          <w:bottom w:w="28" w:type="dxa"/>
          <w:right w:w="28" w:type="dxa"/>
        </w:tblCellMar>
      </w:tblPr>
      <w:tblGrid>
        <w:gridCol w:w="5248"/>
        <w:gridCol w:w="6091"/>
      </w:tblGrid>
      <w:tr>
        <w:trPr/>
        <w:tc>
          <w:tcPr>
            <w:tcW w:w="5248" w:type="dxa"/>
            <w:tcBorders/>
            <w:vAlign w:val="center"/>
          </w:tcPr>
          <w:p>
            <w:pPr>
              <w:pStyle w:val="TableHeading"/>
              <w:suppressLineNumbers/>
              <w:shd w:fill="1F3864" w:val="clear"/>
              <w:bidi w:val="0"/>
              <w:spacing w:before="0" w:after="283"/>
              <w:jc w:val="left"/>
              <w:rPr/>
            </w:pPr>
            <w:r>
              <w:rPr/>
              <w:t>Assumption</w:t>
            </w:r>
          </w:p>
        </w:tc>
        <w:tc>
          <w:tcPr>
            <w:tcW w:w="6091" w:type="dxa"/>
            <w:tcBorders/>
            <w:vAlign w:val="center"/>
          </w:tcPr>
          <w:p>
            <w:pPr>
              <w:pStyle w:val="TableHeading"/>
              <w:suppressLineNumbers/>
              <w:shd w:fill="1F3864" w:val="clear"/>
              <w:bidi w:val="0"/>
              <w:spacing w:before="0" w:after="283"/>
              <w:jc w:val="left"/>
              <w:rPr/>
            </w:pPr>
            <w:r>
              <w:rPr/>
              <w:t>Indicative Effect</w:t>
            </w:r>
          </w:p>
        </w:tc>
      </w:tr>
      <w:tr>
        <w:trPr/>
        <w:tc>
          <w:tcPr>
            <w:tcW w:w="5248" w:type="dxa"/>
            <w:tcBorders/>
            <w:vAlign w:val="center"/>
          </w:tcPr>
          <w:p>
            <w:pPr>
              <w:pStyle w:val="TableContents"/>
              <w:bidi w:val="0"/>
              <w:spacing w:before="0" w:after="283"/>
              <w:jc w:val="left"/>
              <w:rPr/>
            </w:pPr>
            <w:r>
              <w:rPr/>
              <w:t>Sprint length of 2 weeks (industry-typical default, not yet confirmed)</w:t>
            </w:r>
          </w:p>
        </w:tc>
        <w:tc>
          <w:tcPr>
            <w:tcW w:w="6091" w:type="dxa"/>
            <w:tcBorders/>
            <w:vAlign w:val="center"/>
          </w:tcPr>
          <w:p>
            <w:pPr>
              <w:pStyle w:val="TableContents"/>
              <w:bidi w:val="0"/>
              <w:spacing w:before="0" w:after="283"/>
              <w:jc w:val="left"/>
              <w:rPr/>
            </w:pPr>
            <w:r>
              <w:rPr/>
              <w:t>5 sprints ≈ 10 weeks of core development effort, before design, testing/UAT and pilot deployment time</w:t>
            </w:r>
          </w:p>
        </w:tc>
      </w:tr>
      <w:tr>
        <w:trPr/>
        <w:tc>
          <w:tcPr>
            <w:tcW w:w="5248" w:type="dxa"/>
            <w:tcBorders/>
            <w:vAlign w:val="center"/>
          </w:tcPr>
          <w:p>
            <w:pPr>
              <w:pStyle w:val="TableContents"/>
              <w:bidi w:val="0"/>
              <w:spacing w:before="0" w:after="283"/>
              <w:jc w:val="left"/>
              <w:rPr/>
            </w:pPr>
            <w:r>
              <w:rPr/>
              <w:t>Design phase precedes Sprint 1</w:t>
            </w:r>
          </w:p>
        </w:tc>
        <w:tc>
          <w:tcPr>
            <w:tcW w:w="6091" w:type="dxa"/>
            <w:tcBorders/>
            <w:vAlign w:val="center"/>
          </w:tcPr>
          <w:p>
            <w:pPr>
              <w:pStyle w:val="TableContents"/>
              <w:bidi w:val="0"/>
              <w:spacing w:before="0" w:after="283"/>
              <w:jc w:val="left"/>
              <w:rPr/>
            </w:pPr>
            <w:r>
              <w:rPr/>
              <w:t>Adds an estimated 2–4 weeks</w:t>
            </w:r>
          </w:p>
        </w:tc>
      </w:tr>
      <w:tr>
        <w:trPr/>
        <w:tc>
          <w:tcPr>
            <w:tcW w:w="5248" w:type="dxa"/>
            <w:tcBorders/>
            <w:vAlign w:val="center"/>
          </w:tcPr>
          <w:p>
            <w:pPr>
              <w:pStyle w:val="TableContents"/>
              <w:bidi w:val="0"/>
              <w:spacing w:before="0" w:after="283"/>
              <w:jc w:val="left"/>
              <w:rPr/>
            </w:pPr>
            <w:r>
              <w:rPr/>
              <w:t>Platform setup (Kafka, ECS, observability stack) — not present in the original monolith estimate</w:t>
            </w:r>
          </w:p>
        </w:tc>
        <w:tc>
          <w:tcPr>
            <w:tcW w:w="6091" w:type="dxa"/>
            <w:tcBorders/>
            <w:vAlign w:val="center"/>
          </w:tcPr>
          <w:p>
            <w:pPr>
              <w:pStyle w:val="TableContents"/>
              <w:bidi w:val="0"/>
              <w:spacing w:before="0" w:after="283"/>
              <w:jc w:val="left"/>
              <w:rPr/>
            </w:pPr>
            <w:r>
              <w:rPr/>
              <w:t>Additional weeks, magnitude to be confirmed by the engaged team; treat as a new, unestimated cost item until then</w:t>
            </w:r>
          </w:p>
        </w:tc>
      </w:tr>
    </w:tbl>
    <w:p>
      <w:pPr>
        <w:pStyle w:val="Heading3"/>
        <w:bidi w:val="0"/>
        <w:jc w:val="left"/>
        <w:rPr/>
      </w:pPr>
      <w:r>
        <w:rPr/>
        <w:t>6.1 Schedule Feasibility Verdict</w:t>
      </w:r>
    </w:p>
    <w:tbl>
      <w:tblPr>
        <w:tblW w:w="11339" w:type="dxa"/>
        <w:jc w:val="left"/>
        <w:tblInd w:w="28" w:type="dxa"/>
        <w:tblLayout w:type="fixed"/>
        <w:tblCellMar>
          <w:top w:w="28" w:type="dxa"/>
          <w:left w:w="28" w:type="dxa"/>
          <w:bottom w:w="28" w:type="dxa"/>
          <w:right w:w="28" w:type="dxa"/>
        </w:tblCellMar>
      </w:tblPr>
      <w:tblGrid>
        <w:gridCol w:w="3734"/>
        <w:gridCol w:w="7605"/>
      </w:tblGrid>
      <w:tr>
        <w:trPr/>
        <w:tc>
          <w:tcPr>
            <w:tcW w:w="3734" w:type="dxa"/>
            <w:tcBorders/>
            <w:vAlign w:val="center"/>
          </w:tcPr>
          <w:p>
            <w:pPr>
              <w:pStyle w:val="TableContents"/>
              <w:bidi w:val="0"/>
              <w:spacing w:before="0" w:after="283"/>
              <w:jc w:val="left"/>
              <w:rPr>
                <w:b/>
              </w:rPr>
            </w:pPr>
            <w:r>
              <w:rPr>
                <w:b/>
              </w:rPr>
              <w:t>Feasible, but the "two to four months" figure needs re-estimation</w:t>
            </w:r>
          </w:p>
        </w:tc>
        <w:tc>
          <w:tcPr>
            <w:tcW w:w="7605" w:type="dxa"/>
            <w:tcBorders/>
            <w:vAlign w:val="center"/>
          </w:tcPr>
          <w:p>
            <w:pPr>
              <w:pStyle w:val="TableContents"/>
              <w:bidi w:val="0"/>
              <w:spacing w:before="0" w:after="283"/>
              <w:jc w:val="left"/>
              <w:rPr/>
            </w:pPr>
            <w:r>
              <w:rPr/>
              <w:t>The original schedule estimate assumed the monolith architecture. It should not be relied on for planning purposes until re-confirmed against the microservices design.</w:t>
            </w:r>
          </w:p>
        </w:tc>
      </w:tr>
    </w:tbl>
    <w:p>
      <w:pPr>
        <w:pStyle w:val="Heading2"/>
        <w:bidi w:val="0"/>
        <w:jc w:val="left"/>
        <w:rPr/>
      </w:pPr>
      <w:r>
        <w:rPr/>
        <w:t>7. Legal and Regulatory Feasibility</w:t>
      </w:r>
    </w:p>
    <w:p>
      <w:pPr>
        <w:pStyle w:val="BodyText"/>
        <w:numPr>
          <w:ilvl w:val="0"/>
          <w:numId w:val="6"/>
        </w:numPr>
        <w:tabs>
          <w:tab w:val="clear" w:pos="1134"/>
          <w:tab w:val="left" w:pos="709" w:leader="none"/>
        </w:tabs>
        <w:bidi w:val="0"/>
        <w:spacing w:before="0" w:after="0"/>
        <w:ind w:hanging="283" w:left="709"/>
        <w:jc w:val="left"/>
        <w:rPr/>
      </w:pPr>
      <w:r>
        <w:rPr>
          <w:b/>
        </w:rPr>
        <w:t>Data protection:</w:t>
      </w:r>
      <w:r>
        <w:rPr/>
        <w:t xml:space="preserve"> the system will hold personal data on employees, customers and suppliers. Uganda's Data Protection and Privacy Act, 2019 imposes obligations on organizations that collect and process personal data; this should be confirmed with qualified legal counsel. </w:t>
      </w:r>
    </w:p>
    <w:p>
      <w:pPr>
        <w:pStyle w:val="BodyText"/>
        <w:numPr>
          <w:ilvl w:val="0"/>
          <w:numId w:val="6"/>
        </w:numPr>
        <w:tabs>
          <w:tab w:val="clear" w:pos="1134"/>
          <w:tab w:val="left" w:pos="709" w:leader="none"/>
        </w:tabs>
        <w:bidi w:val="0"/>
        <w:spacing w:before="0" w:after="0"/>
        <w:ind w:hanging="283" w:left="709"/>
        <w:jc w:val="left"/>
        <w:rPr/>
      </w:pPr>
      <w:r>
        <w:rPr>
          <w:b/>
        </w:rPr>
        <w:t>Tax compliance:</w:t>
      </w:r>
      <w:r>
        <w:rPr/>
        <w:t xml:space="preserve"> planned VAT, withholding tax and PAYE features must be configured to current Uganda Revenue Authority requirements; a Phase 3 item, but should be tracked. </w:t>
      </w:r>
    </w:p>
    <w:p>
      <w:pPr>
        <w:pStyle w:val="BodyText"/>
        <w:numPr>
          <w:ilvl w:val="0"/>
          <w:numId w:val="6"/>
        </w:numPr>
        <w:tabs>
          <w:tab w:val="clear" w:pos="1134"/>
          <w:tab w:val="left" w:pos="709" w:leader="none"/>
        </w:tabs>
        <w:bidi w:val="0"/>
        <w:spacing w:before="0" w:after="0"/>
        <w:ind w:hanging="283" w:left="709"/>
        <w:jc w:val="left"/>
        <w:rPr/>
      </w:pPr>
      <w:r>
        <w:rPr>
          <w:b/>
        </w:rPr>
        <w:t>Company and banking governance:</w:t>
      </w:r>
      <w:r>
        <w:rPr/>
        <w:t xml:space="preserve"> the Group's own governance records (signatory position) should be current before financial commitments are made. </w:t>
      </w:r>
    </w:p>
    <w:p>
      <w:pPr>
        <w:pStyle w:val="BodyText"/>
        <w:numPr>
          <w:ilvl w:val="0"/>
          <w:numId w:val="6"/>
        </w:numPr>
        <w:tabs>
          <w:tab w:val="clear" w:pos="1134"/>
          <w:tab w:val="left" w:pos="709" w:leader="none"/>
        </w:tabs>
        <w:bidi w:val="0"/>
        <w:ind w:hanging="283" w:left="709"/>
        <w:jc w:val="left"/>
        <w:rPr/>
      </w:pPr>
      <w:r>
        <w:rPr>
          <w:b/>
        </w:rPr>
        <w:t>Employment records:</w:t>
      </w:r>
      <w:r>
        <w:rPr/>
        <w:t xml:space="preserve"> Phase 1 employee records should be designed to meet Uganda labour-record-keeping norms. </w:t>
      </w:r>
    </w:p>
    <w:p>
      <w:pPr>
        <w:pStyle w:val="Heading3"/>
        <w:bidi w:val="0"/>
        <w:jc w:val="left"/>
        <w:rPr/>
      </w:pPr>
      <w:r>
        <w:rPr/>
        <w:t>7.1 Legal/Regulatory Feasibility Verdict</w:t>
      </w:r>
    </w:p>
    <w:tbl>
      <w:tblPr>
        <w:tblW w:w="11339" w:type="dxa"/>
        <w:jc w:val="left"/>
        <w:tblInd w:w="28" w:type="dxa"/>
        <w:tblLayout w:type="fixed"/>
        <w:tblCellMar>
          <w:top w:w="28" w:type="dxa"/>
          <w:left w:w="28" w:type="dxa"/>
          <w:bottom w:w="28" w:type="dxa"/>
          <w:right w:w="28" w:type="dxa"/>
        </w:tblCellMar>
      </w:tblPr>
      <w:tblGrid>
        <w:gridCol w:w="3017"/>
        <w:gridCol w:w="8322"/>
      </w:tblGrid>
      <w:tr>
        <w:trPr/>
        <w:tc>
          <w:tcPr>
            <w:tcW w:w="3017" w:type="dxa"/>
            <w:tcBorders/>
            <w:vAlign w:val="center"/>
          </w:tcPr>
          <w:p>
            <w:pPr>
              <w:pStyle w:val="TableContents"/>
              <w:bidi w:val="0"/>
              <w:spacing w:before="0" w:after="283"/>
              <w:jc w:val="left"/>
              <w:rPr>
                <w:b/>
              </w:rPr>
            </w:pPr>
            <w:r>
              <w:rPr>
                <w:b/>
              </w:rPr>
              <w:t>Feasible, with legal review recommended</w:t>
            </w:r>
          </w:p>
        </w:tc>
        <w:tc>
          <w:tcPr>
            <w:tcW w:w="8322" w:type="dxa"/>
            <w:tcBorders/>
            <w:vAlign w:val="center"/>
          </w:tcPr>
          <w:p>
            <w:pPr>
              <w:pStyle w:val="TableContents"/>
              <w:bidi w:val="0"/>
              <w:spacing w:before="0" w:after="283"/>
              <w:jc w:val="left"/>
              <w:rPr/>
            </w:pPr>
            <w:r>
              <w:rPr/>
              <w:t>No identified legal barrier prevents the project proceeding, but formal legal review of data-protection obligations is recommended before Phase 1 go-live.</w:t>
            </w:r>
          </w:p>
        </w:tc>
      </w:tr>
    </w:tbl>
    <w:p>
      <w:pPr>
        <w:pStyle w:val="Heading2"/>
        <w:bidi w:val="0"/>
        <w:jc w:val="left"/>
        <w:rPr/>
      </w:pPr>
      <w:r>
        <w:rPr/>
        <w:t>8. Alternatives Reconsidered</w:t>
      </w:r>
    </w:p>
    <w:p>
      <w:pPr>
        <w:pStyle w:val="BodyText"/>
        <w:bidi w:val="0"/>
        <w:jc w:val="left"/>
        <w:rPr/>
      </w:pPr>
      <w:r>
        <w:rPr/>
        <w:t>Consistent with the Proposal's options analysis, this study confirms that neither "do nothing" nor "buy multiple point solutions" better satisfies the Group's stated need. The architecture debate (monolith vs. microservices) is a delivery-approach decision within the "build" option, not a reconsideration of that option itself.</w:t>
      </w:r>
    </w:p>
    <w:p>
      <w:pPr>
        <w:pStyle w:val="Heading2"/>
        <w:bidi w:val="0"/>
        <w:jc w:val="left"/>
        <w:rPr/>
      </w:pPr>
      <w:r>
        <w:rPr/>
        <w:t>9. Key Risks Identified in This Study</w:t>
      </w:r>
    </w:p>
    <w:tbl>
      <w:tblPr>
        <w:tblW w:w="11339" w:type="dxa"/>
        <w:jc w:val="left"/>
        <w:tblInd w:w="28" w:type="dxa"/>
        <w:tblLayout w:type="fixed"/>
        <w:tblCellMar>
          <w:top w:w="28" w:type="dxa"/>
          <w:left w:w="28" w:type="dxa"/>
          <w:bottom w:w="28" w:type="dxa"/>
          <w:right w:w="28" w:type="dxa"/>
        </w:tblCellMar>
      </w:tblPr>
      <w:tblGrid>
        <w:gridCol w:w="4662"/>
        <w:gridCol w:w="6677"/>
      </w:tblGrid>
      <w:tr>
        <w:trPr/>
        <w:tc>
          <w:tcPr>
            <w:tcW w:w="4662" w:type="dxa"/>
            <w:tcBorders/>
            <w:vAlign w:val="center"/>
          </w:tcPr>
          <w:p>
            <w:pPr>
              <w:pStyle w:val="TableHeading"/>
              <w:suppressLineNumbers/>
              <w:shd w:fill="1F3864" w:val="clear"/>
              <w:bidi w:val="0"/>
              <w:spacing w:before="0" w:after="283"/>
              <w:jc w:val="left"/>
              <w:rPr/>
            </w:pPr>
            <w:r>
              <w:rPr/>
              <w:t>Risk</w:t>
            </w:r>
          </w:p>
        </w:tc>
        <w:tc>
          <w:tcPr>
            <w:tcW w:w="6677" w:type="dxa"/>
            <w:tcBorders/>
            <w:vAlign w:val="center"/>
          </w:tcPr>
          <w:p>
            <w:pPr>
              <w:pStyle w:val="TableHeading"/>
              <w:suppressLineNumbers/>
              <w:shd w:fill="1F3864" w:val="clear"/>
              <w:bidi w:val="0"/>
              <w:spacing w:before="0" w:after="283"/>
              <w:jc w:val="left"/>
              <w:rPr/>
            </w:pPr>
            <w:r>
              <w:rPr/>
              <w:t>Mitigation</w:t>
            </w:r>
          </w:p>
        </w:tc>
      </w:tr>
      <w:tr>
        <w:trPr/>
        <w:tc>
          <w:tcPr>
            <w:tcW w:w="4662" w:type="dxa"/>
            <w:tcBorders/>
            <w:vAlign w:val="center"/>
          </w:tcPr>
          <w:p>
            <w:pPr>
              <w:pStyle w:val="TableContents"/>
              <w:bidi w:val="0"/>
              <w:spacing w:before="0" w:after="283"/>
              <w:jc w:val="left"/>
              <w:rPr/>
            </w:pPr>
            <w:r>
              <w:rPr/>
              <w:t>Full microservices architecture adopted for Phase 1 increases operational complexity and skills risk relative to this study's original recommendation</w:t>
            </w:r>
          </w:p>
        </w:tc>
        <w:tc>
          <w:tcPr>
            <w:tcW w:w="6677" w:type="dxa"/>
            <w:tcBorders/>
            <w:vAlign w:val="center"/>
          </w:tcPr>
          <w:p>
            <w:pPr>
              <w:pStyle w:val="TableContents"/>
              <w:bidi w:val="0"/>
              <w:spacing w:before="0" w:after="283"/>
              <w:jc w:val="left"/>
              <w:rPr/>
            </w:pPr>
            <w:r>
              <w:rPr/>
              <w:t>Confirm the engaged development team has demonstrated Kafka/microservices/AWS ECS delivery experience before development begins (07_System Design Document, Section 12); do not assume generalist web development skill is sufficient</w:t>
            </w:r>
          </w:p>
        </w:tc>
      </w:tr>
      <w:tr>
        <w:trPr/>
        <w:tc>
          <w:tcPr>
            <w:tcW w:w="4662" w:type="dxa"/>
            <w:tcBorders/>
            <w:vAlign w:val="center"/>
          </w:tcPr>
          <w:p>
            <w:pPr>
              <w:pStyle w:val="TableContents"/>
              <w:bidi w:val="0"/>
              <w:spacing w:before="0" w:after="283"/>
              <w:jc w:val="left"/>
              <w:rPr/>
            </w:pPr>
            <w:r>
              <w:rPr/>
              <w:t>Phase 1 schedule and cost estimates were built for the monolith design and are now understated</w:t>
            </w:r>
          </w:p>
        </w:tc>
        <w:tc>
          <w:tcPr>
            <w:tcW w:w="6677" w:type="dxa"/>
            <w:tcBorders/>
            <w:vAlign w:val="center"/>
          </w:tcPr>
          <w:p>
            <w:pPr>
              <w:pStyle w:val="TableContents"/>
              <w:bidi w:val="0"/>
              <w:spacing w:before="0" w:after="283"/>
              <w:jc w:val="left"/>
              <w:rPr/>
            </w:pPr>
            <w:r>
              <w:rPr/>
              <w:t>Re-estimate schedule and obtain quotations explicitly scoped to the microservices architecture before Board funding approval</w:t>
            </w:r>
          </w:p>
        </w:tc>
      </w:tr>
      <w:tr>
        <w:trPr/>
        <w:tc>
          <w:tcPr>
            <w:tcW w:w="4662" w:type="dxa"/>
            <w:tcBorders/>
            <w:vAlign w:val="center"/>
          </w:tcPr>
          <w:p>
            <w:pPr>
              <w:pStyle w:val="TableContents"/>
              <w:bidi w:val="0"/>
              <w:spacing w:before="0" w:after="283"/>
              <w:jc w:val="left"/>
              <w:rPr/>
            </w:pPr>
            <w:r>
              <w:rPr/>
              <w:t>Procedures document's "Development Environment" section still lists PHP/Laravel/MySQL, conflicting with the confirmed stack</w:t>
            </w:r>
          </w:p>
        </w:tc>
        <w:tc>
          <w:tcPr>
            <w:tcW w:w="6677" w:type="dxa"/>
            <w:tcBorders/>
            <w:vAlign w:val="center"/>
          </w:tcPr>
          <w:p>
            <w:pPr>
              <w:pStyle w:val="TableContents"/>
              <w:bidi w:val="0"/>
              <w:spacing w:before="0" w:after="283"/>
              <w:jc w:val="left"/>
              <w:rPr/>
            </w:pPr>
            <w:r>
              <w:rPr/>
              <w:t>Group to update or retire that section for consistency</w:t>
            </w:r>
          </w:p>
        </w:tc>
      </w:tr>
      <w:tr>
        <w:trPr/>
        <w:tc>
          <w:tcPr>
            <w:tcW w:w="4662" w:type="dxa"/>
            <w:tcBorders/>
            <w:vAlign w:val="center"/>
          </w:tcPr>
          <w:p>
            <w:pPr>
              <w:pStyle w:val="TableContents"/>
              <w:bidi w:val="0"/>
              <w:spacing w:before="0" w:after="283"/>
              <w:jc w:val="left"/>
              <w:rPr/>
            </w:pPr>
            <w:r>
              <w:rPr/>
              <w:t>No development cost quotations yet obtained</w:t>
            </w:r>
          </w:p>
        </w:tc>
        <w:tc>
          <w:tcPr>
            <w:tcW w:w="6677" w:type="dxa"/>
            <w:tcBorders/>
            <w:vAlign w:val="center"/>
          </w:tcPr>
          <w:p>
            <w:pPr>
              <w:pStyle w:val="TableContents"/>
              <w:bidi w:val="0"/>
              <w:spacing w:before="0" w:after="283"/>
              <w:jc w:val="left"/>
              <w:rPr/>
            </w:pPr>
            <w:r>
              <w:rPr/>
              <w:t>Obtain at least two indicative quotations, from teams experienced with the confirmed microservices stack, before Board commits Phase 1 funding</w:t>
            </w:r>
          </w:p>
        </w:tc>
      </w:tr>
      <w:tr>
        <w:trPr/>
        <w:tc>
          <w:tcPr>
            <w:tcW w:w="4662" w:type="dxa"/>
            <w:tcBorders/>
            <w:vAlign w:val="center"/>
          </w:tcPr>
          <w:p>
            <w:pPr>
              <w:pStyle w:val="TableContents"/>
              <w:bidi w:val="0"/>
              <w:spacing w:before="0" w:after="283"/>
              <w:jc w:val="left"/>
              <w:rPr/>
            </w:pPr>
            <w:r>
              <w:rPr/>
              <w:t>No baseline measurement of current manual-process cost</w:t>
            </w:r>
          </w:p>
        </w:tc>
        <w:tc>
          <w:tcPr>
            <w:tcW w:w="6677" w:type="dxa"/>
            <w:tcBorders/>
            <w:vAlign w:val="center"/>
          </w:tcPr>
          <w:p>
            <w:pPr>
              <w:pStyle w:val="TableContents"/>
              <w:bidi w:val="0"/>
              <w:spacing w:before="0" w:after="283"/>
              <w:jc w:val="left"/>
              <w:rPr/>
            </w:pPr>
            <w:r>
              <w:rPr/>
              <w:t>Finance to produce a short baseline estimate to support payback analysis (Section 5.2)</w:t>
            </w:r>
          </w:p>
        </w:tc>
      </w:tr>
      <w:tr>
        <w:trPr/>
        <w:tc>
          <w:tcPr>
            <w:tcW w:w="4662" w:type="dxa"/>
            <w:tcBorders/>
            <w:vAlign w:val="center"/>
          </w:tcPr>
          <w:p>
            <w:pPr>
              <w:pStyle w:val="TableContents"/>
              <w:bidi w:val="0"/>
              <w:spacing w:before="0" w:after="283"/>
              <w:jc w:val="left"/>
              <w:rPr/>
            </w:pPr>
            <w:r>
              <w:rPr/>
              <w:t>Unresolved Secretary/signatory position</w:t>
            </w:r>
          </w:p>
        </w:tc>
        <w:tc>
          <w:tcPr>
            <w:tcW w:w="6677" w:type="dxa"/>
            <w:tcBorders/>
            <w:vAlign w:val="center"/>
          </w:tcPr>
          <w:p>
            <w:pPr>
              <w:pStyle w:val="TableContents"/>
              <w:bidi w:val="0"/>
              <w:spacing w:before="0" w:after="283"/>
              <w:jc w:val="left"/>
              <w:rPr/>
            </w:pPr>
            <w:r>
              <w:rPr/>
              <w:t>Board to update governance records before fund disbursement (Section 4.4)</w:t>
            </w:r>
          </w:p>
        </w:tc>
      </w:tr>
      <w:tr>
        <w:trPr/>
        <w:tc>
          <w:tcPr>
            <w:tcW w:w="4662" w:type="dxa"/>
            <w:tcBorders/>
            <w:vAlign w:val="center"/>
          </w:tcPr>
          <w:p>
            <w:pPr>
              <w:pStyle w:val="TableContents"/>
              <w:bidi w:val="0"/>
              <w:spacing w:before="0" w:after="283"/>
              <w:jc w:val="left"/>
              <w:rPr/>
            </w:pPr>
            <w:r>
              <w:rPr/>
              <w:t>Unconfirmed branch-level internet connectivity</w:t>
            </w:r>
          </w:p>
        </w:tc>
        <w:tc>
          <w:tcPr>
            <w:tcW w:w="6677" w:type="dxa"/>
            <w:tcBorders/>
            <w:vAlign w:val="center"/>
          </w:tcPr>
          <w:p>
            <w:pPr>
              <w:pStyle w:val="TableContents"/>
              <w:bidi w:val="0"/>
              <w:spacing w:before="0" w:after="283"/>
              <w:jc w:val="left"/>
              <w:rPr/>
            </w:pPr>
            <w:r>
              <w:rPr/>
              <w:t>Confirm during SRS requirements gathering; scope an offline fallback if needed</w:t>
            </w:r>
          </w:p>
        </w:tc>
      </w:tr>
      <w:tr>
        <w:trPr/>
        <w:tc>
          <w:tcPr>
            <w:tcW w:w="4662" w:type="dxa"/>
            <w:tcBorders/>
            <w:vAlign w:val="center"/>
          </w:tcPr>
          <w:p>
            <w:pPr>
              <w:pStyle w:val="TableContents"/>
              <w:bidi w:val="0"/>
              <w:spacing w:before="0" w:after="283"/>
              <w:jc w:val="left"/>
              <w:rPr/>
            </w:pPr>
            <w:r>
              <w:rPr/>
              <w:t>No support function assigned for post-go-live operation of a multi-service system</w:t>
            </w:r>
          </w:p>
        </w:tc>
        <w:tc>
          <w:tcPr>
            <w:tcW w:w="6677" w:type="dxa"/>
            <w:tcBorders/>
            <w:vAlign w:val="center"/>
          </w:tcPr>
          <w:p>
            <w:pPr>
              <w:pStyle w:val="TableContents"/>
              <w:bidi w:val="0"/>
              <w:spacing w:before="0" w:after="283"/>
              <w:jc w:val="left"/>
              <w:rPr/>
            </w:pPr>
            <w:r>
              <w:rPr/>
              <w:t>Assign an internal or contracted support owner, with multi-service troubleshooting capability, before Phase 1 go-live</w:t>
            </w:r>
          </w:p>
        </w:tc>
      </w:tr>
    </w:tbl>
    <w:p>
      <w:pPr>
        <w:pStyle w:val="Heading2"/>
        <w:bidi w:val="0"/>
        <w:jc w:val="left"/>
        <w:rPr/>
      </w:pPr>
      <w:r>
        <w:rPr/>
        <w:t>10. Summary Feasibility Matrix</w:t>
      </w:r>
    </w:p>
    <w:tbl>
      <w:tblPr>
        <w:tblW w:w="11339" w:type="dxa"/>
        <w:jc w:val="left"/>
        <w:tblInd w:w="28" w:type="dxa"/>
        <w:tblLayout w:type="fixed"/>
        <w:tblCellMar>
          <w:top w:w="28" w:type="dxa"/>
          <w:left w:w="28" w:type="dxa"/>
          <w:bottom w:w="28" w:type="dxa"/>
          <w:right w:w="28" w:type="dxa"/>
        </w:tblCellMar>
      </w:tblPr>
      <w:tblGrid>
        <w:gridCol w:w="1758"/>
        <w:gridCol w:w="9581"/>
      </w:tblGrid>
      <w:tr>
        <w:trPr/>
        <w:tc>
          <w:tcPr>
            <w:tcW w:w="1758" w:type="dxa"/>
            <w:tcBorders/>
            <w:vAlign w:val="center"/>
          </w:tcPr>
          <w:p>
            <w:pPr>
              <w:pStyle w:val="TableHeading"/>
              <w:suppressLineNumbers/>
              <w:shd w:fill="1F3864" w:val="clear"/>
              <w:bidi w:val="0"/>
              <w:spacing w:before="0" w:after="283"/>
              <w:jc w:val="left"/>
              <w:rPr/>
            </w:pPr>
            <w:r>
              <w:rPr/>
              <w:t>Dimension</w:t>
            </w:r>
          </w:p>
        </w:tc>
        <w:tc>
          <w:tcPr>
            <w:tcW w:w="9581" w:type="dxa"/>
            <w:tcBorders/>
            <w:vAlign w:val="center"/>
          </w:tcPr>
          <w:p>
            <w:pPr>
              <w:pStyle w:val="TableHeading"/>
              <w:suppressLineNumbers/>
              <w:shd w:fill="1F3864" w:val="clear"/>
              <w:bidi w:val="0"/>
              <w:spacing w:before="0" w:after="283"/>
              <w:jc w:val="left"/>
              <w:rPr/>
            </w:pPr>
            <w:r>
              <w:rPr/>
              <w:t>Verdict</w:t>
            </w:r>
          </w:p>
        </w:tc>
      </w:tr>
      <w:tr>
        <w:trPr/>
        <w:tc>
          <w:tcPr>
            <w:tcW w:w="1758" w:type="dxa"/>
            <w:tcBorders/>
            <w:shd w:fill="FFF4E5" w:val="clear"/>
            <w:vAlign w:val="center"/>
          </w:tcPr>
          <w:p>
            <w:pPr>
              <w:pStyle w:val="TableContents"/>
              <w:bidi w:val="0"/>
              <w:spacing w:before="0" w:after="283"/>
              <w:jc w:val="left"/>
              <w:rPr/>
            </w:pPr>
            <w:r>
              <w:rPr/>
              <w:t>Technical</w:t>
            </w:r>
          </w:p>
        </w:tc>
        <w:tc>
          <w:tcPr>
            <w:tcW w:w="9581" w:type="dxa"/>
            <w:tcBorders/>
            <w:shd w:fill="FFF4E5" w:val="clear"/>
            <w:vAlign w:val="center"/>
          </w:tcPr>
          <w:p>
            <w:pPr>
              <w:pStyle w:val="TableContents"/>
              <w:bidi w:val="0"/>
              <w:spacing w:before="0" w:after="283"/>
              <w:jc w:val="left"/>
              <w:rPr/>
            </w:pPr>
            <w:r>
              <w:rPr/>
              <w:t>Feasible, with materially higher Phase 1 complexity than originally recommended (Section 3.5)</w:t>
            </w:r>
          </w:p>
        </w:tc>
      </w:tr>
      <w:tr>
        <w:trPr/>
        <w:tc>
          <w:tcPr>
            <w:tcW w:w="1758" w:type="dxa"/>
            <w:tcBorders/>
            <w:shd w:fill="FFF4E5" w:val="clear"/>
            <w:vAlign w:val="center"/>
          </w:tcPr>
          <w:p>
            <w:pPr>
              <w:pStyle w:val="TableContents"/>
              <w:bidi w:val="0"/>
              <w:spacing w:before="0" w:after="283"/>
              <w:jc w:val="left"/>
              <w:rPr/>
            </w:pPr>
            <w:r>
              <w:rPr/>
              <w:t>Operational</w:t>
            </w:r>
          </w:p>
        </w:tc>
        <w:tc>
          <w:tcPr>
            <w:tcW w:w="9581" w:type="dxa"/>
            <w:tcBorders/>
            <w:shd w:fill="FFF4E5" w:val="clear"/>
            <w:vAlign w:val="center"/>
          </w:tcPr>
          <w:p>
            <w:pPr>
              <w:pStyle w:val="TableContents"/>
              <w:bidi w:val="0"/>
              <w:spacing w:before="0" w:after="283"/>
              <w:jc w:val="left"/>
              <w:rPr/>
            </w:pPr>
            <w:r>
              <w:rPr/>
              <w:t>Feasible, with conditions (Section 4.5)</w:t>
            </w:r>
          </w:p>
        </w:tc>
      </w:tr>
      <w:tr>
        <w:trPr/>
        <w:tc>
          <w:tcPr>
            <w:tcW w:w="1758" w:type="dxa"/>
            <w:tcBorders/>
            <w:shd w:fill="FFF4E5" w:val="clear"/>
            <w:vAlign w:val="center"/>
          </w:tcPr>
          <w:p>
            <w:pPr>
              <w:pStyle w:val="TableContents"/>
              <w:bidi w:val="0"/>
              <w:spacing w:before="0" w:after="283"/>
              <w:jc w:val="left"/>
              <w:rPr/>
            </w:pPr>
            <w:r>
              <w:rPr/>
              <w:t>Economic</w:t>
            </w:r>
          </w:p>
        </w:tc>
        <w:tc>
          <w:tcPr>
            <w:tcW w:w="9581" w:type="dxa"/>
            <w:tcBorders/>
            <w:shd w:fill="FFF4E5" w:val="clear"/>
            <w:vAlign w:val="center"/>
          </w:tcPr>
          <w:p>
            <w:pPr>
              <w:pStyle w:val="TableContents"/>
              <w:bidi w:val="0"/>
              <w:spacing w:before="0" w:after="283"/>
              <w:jc w:val="left"/>
              <w:rPr/>
            </w:pPr>
            <w:r>
              <w:rPr/>
              <w:t>Feasible in principle, pending quantification and likely higher cost than originally estimated (Section 5.4)</w:t>
            </w:r>
          </w:p>
        </w:tc>
      </w:tr>
      <w:tr>
        <w:trPr/>
        <w:tc>
          <w:tcPr>
            <w:tcW w:w="1758" w:type="dxa"/>
            <w:tcBorders/>
            <w:shd w:fill="FFF4E5" w:val="clear"/>
            <w:vAlign w:val="center"/>
          </w:tcPr>
          <w:p>
            <w:pPr>
              <w:pStyle w:val="TableContents"/>
              <w:bidi w:val="0"/>
              <w:spacing w:before="0" w:after="283"/>
              <w:jc w:val="left"/>
              <w:rPr/>
            </w:pPr>
            <w:r>
              <w:rPr/>
              <w:t>Schedule</w:t>
            </w:r>
          </w:p>
        </w:tc>
        <w:tc>
          <w:tcPr>
            <w:tcW w:w="9581" w:type="dxa"/>
            <w:tcBorders/>
            <w:shd w:fill="FFF4E5" w:val="clear"/>
            <w:vAlign w:val="center"/>
          </w:tcPr>
          <w:p>
            <w:pPr>
              <w:pStyle w:val="TableContents"/>
              <w:bidi w:val="0"/>
              <w:spacing w:before="0" w:after="283"/>
              <w:jc w:val="left"/>
              <w:rPr/>
            </w:pPr>
            <w:r>
              <w:rPr/>
              <w:t>Feasible, but original estimate needs re-confirmation against the microservices design (Section 6.1)</w:t>
            </w:r>
          </w:p>
        </w:tc>
      </w:tr>
      <w:tr>
        <w:trPr/>
        <w:tc>
          <w:tcPr>
            <w:tcW w:w="1758" w:type="dxa"/>
            <w:tcBorders/>
            <w:shd w:fill="FFF4E5" w:val="clear"/>
            <w:vAlign w:val="center"/>
          </w:tcPr>
          <w:p>
            <w:pPr>
              <w:pStyle w:val="TableContents"/>
              <w:bidi w:val="0"/>
              <w:spacing w:before="0" w:after="283"/>
              <w:jc w:val="left"/>
              <w:rPr/>
            </w:pPr>
            <w:r>
              <w:rPr/>
              <w:t>Legal/Regulatory</w:t>
            </w:r>
          </w:p>
        </w:tc>
        <w:tc>
          <w:tcPr>
            <w:tcW w:w="9581" w:type="dxa"/>
            <w:tcBorders/>
            <w:shd w:fill="FFF4E5" w:val="clear"/>
            <w:vAlign w:val="center"/>
          </w:tcPr>
          <w:p>
            <w:pPr>
              <w:pStyle w:val="TableContents"/>
              <w:bidi w:val="0"/>
              <w:spacing w:before="0" w:after="283"/>
              <w:jc w:val="left"/>
              <w:rPr/>
            </w:pPr>
            <w:r>
              <w:rPr/>
              <w:t>Feasible, with legal review of data-protection obligations recommended (Section 7.1)</w:t>
            </w:r>
          </w:p>
        </w:tc>
      </w:tr>
    </w:tbl>
    <w:p>
      <w:pPr>
        <w:pStyle w:val="Heading2"/>
        <w:bidi w:val="0"/>
        <w:jc w:val="left"/>
        <w:rPr/>
      </w:pPr>
      <w:r>
        <w:rPr/>
        <w:t>11. Recommendation</w:t>
      </w:r>
    </w:p>
    <w:p>
      <w:pPr>
        <w:pStyle w:val="BodyText"/>
        <w:bidi w:val="0"/>
        <w:spacing w:before="180" w:after="180"/>
        <w:ind w:hanging="0" w:left="180" w:right="180"/>
        <w:jc w:val="left"/>
        <w:rPr>
          <w:sz w:val="22"/>
          <w:bdr w:val="single" w:sz="24" w:space="11" w:color="1F3864"/>
          <w:shd w:fill="EAF1FB" w:val="clear"/>
        </w:rPr>
      </w:pPr>
      <w:r>
        <w:rPr>
          <w:sz w:val="22"/>
          <w:bdr w:val="single" w:sz="24" w:space="11" w:color="1F3864"/>
          <w:shd w:fill="EAF1FB" w:val="clear"/>
        </w:rPr>
        <w:t xml:space="preserve">This study finds no fundamental barrier to proceeding with Phase 1 of the MBMS project under the now-adopted microservices architecture. It recommends that the Board: </w:t>
      </w:r>
    </w:p>
    <w:p>
      <w:pPr>
        <w:pStyle w:val="BodyText"/>
        <w:numPr>
          <w:ilvl w:val="0"/>
          <w:numId w:val="7"/>
        </w:numPr>
        <w:tabs>
          <w:tab w:val="clear" w:pos="1134"/>
          <w:tab w:val="left" w:pos="889" w:leader="none"/>
        </w:tabs>
        <w:bidi w:val="0"/>
        <w:spacing w:before="180" w:after="180"/>
        <w:ind w:hanging="283" w:left="889" w:right="180"/>
        <w:jc w:val="left"/>
        <w:rPr>
          <w:sz w:val="22"/>
          <w:bdr w:val="single" w:sz="24" w:space="11" w:color="1F3864"/>
          <w:shd w:fill="EAF1FB" w:val="clear"/>
        </w:rPr>
      </w:pPr>
      <w:r>
        <w:rPr>
          <w:sz w:val="22"/>
          <w:bdr w:val="single" w:sz="24" w:space="11" w:color="1F3864"/>
          <w:shd w:fill="EAF1FB" w:val="clear"/>
        </w:rPr>
        <w:t xml:space="preserve">Note that the architecture direction has changed from this study's original modular-monolith recommendation to full microservices, per Group decision, as recorded in 07_System Design Document (v2.0); </w:t>
      </w:r>
    </w:p>
    <w:p>
      <w:pPr>
        <w:pStyle w:val="BodyText"/>
        <w:numPr>
          <w:ilvl w:val="0"/>
          <w:numId w:val="7"/>
        </w:numPr>
        <w:tabs>
          <w:tab w:val="clear" w:pos="1134"/>
          <w:tab w:val="left" w:pos="889" w:leader="none"/>
        </w:tabs>
        <w:bidi w:val="0"/>
        <w:spacing w:before="180" w:after="180"/>
        <w:ind w:hanging="283" w:left="889" w:right="180"/>
        <w:jc w:val="left"/>
        <w:rPr>
          <w:sz w:val="22"/>
          <w:bdr w:val="single" w:sz="24" w:space="11" w:color="1F3864"/>
          <w:shd w:fill="EAF1FB" w:val="clear"/>
        </w:rPr>
      </w:pPr>
      <w:r>
        <w:rPr>
          <w:sz w:val="22"/>
          <w:bdr w:val="single" w:sz="24" w:space="11" w:color="1F3864"/>
          <w:shd w:fill="EAF1FB" w:val="clear"/>
        </w:rPr>
        <w:t xml:space="preserve">Direct that Phase 1 schedule and cost estimates be re-confirmed against the microservices design before funding approval, since the figures in this study's earlier version assumed the monolith; </w:t>
      </w:r>
    </w:p>
    <w:p>
      <w:pPr>
        <w:pStyle w:val="BodyText"/>
        <w:numPr>
          <w:ilvl w:val="0"/>
          <w:numId w:val="7"/>
        </w:numPr>
        <w:tabs>
          <w:tab w:val="clear" w:pos="1134"/>
          <w:tab w:val="left" w:pos="889" w:leader="none"/>
        </w:tabs>
        <w:bidi w:val="0"/>
        <w:spacing w:before="180" w:after="180"/>
        <w:ind w:hanging="283" w:left="889" w:right="180"/>
        <w:jc w:val="left"/>
        <w:rPr>
          <w:sz w:val="22"/>
          <w:bdr w:val="single" w:sz="24" w:space="11" w:color="1F3864"/>
          <w:shd w:fill="EAF1FB" w:val="clear"/>
        </w:rPr>
      </w:pPr>
      <w:r>
        <w:rPr>
          <w:sz w:val="22"/>
          <w:bdr w:val="single" w:sz="24" w:space="11" w:color="1F3864"/>
          <w:shd w:fill="EAF1FB" w:val="clear"/>
        </w:rPr>
        <w:t xml:space="preserve">Require confirmation that the engaged development team has demonstrated microservices/Kafka/AWS ECS delivery experience, not only general web development skill, before development begins; </w:t>
      </w:r>
    </w:p>
    <w:p>
      <w:pPr>
        <w:pStyle w:val="BodyText"/>
        <w:numPr>
          <w:ilvl w:val="0"/>
          <w:numId w:val="7"/>
        </w:numPr>
        <w:tabs>
          <w:tab w:val="clear" w:pos="1134"/>
          <w:tab w:val="left" w:pos="889" w:leader="none"/>
        </w:tabs>
        <w:bidi w:val="0"/>
        <w:spacing w:before="180" w:after="180"/>
        <w:ind w:hanging="283" w:left="889" w:right="180"/>
        <w:jc w:val="left"/>
        <w:rPr>
          <w:sz w:val="22"/>
          <w:bdr w:val="single" w:sz="24" w:space="11" w:color="1F3864"/>
          <w:shd w:fill="EAF1FB" w:val="clear"/>
        </w:rPr>
      </w:pPr>
      <w:r>
        <w:rPr>
          <w:sz w:val="22"/>
          <w:bdr w:val="single" w:sz="24" w:space="11" w:color="1F3864"/>
          <w:shd w:fill="EAF1FB" w:val="clear"/>
        </w:rPr>
        <w:t xml:space="preserve">Instruct Finance to produce a baseline estimate of current manual-process cost to support the economic case; </w:t>
      </w:r>
    </w:p>
    <w:p>
      <w:pPr>
        <w:pStyle w:val="BodyText"/>
        <w:numPr>
          <w:ilvl w:val="0"/>
          <w:numId w:val="7"/>
        </w:numPr>
        <w:tabs>
          <w:tab w:val="clear" w:pos="1134"/>
          <w:tab w:val="left" w:pos="889" w:leader="none"/>
        </w:tabs>
        <w:bidi w:val="0"/>
        <w:spacing w:before="180" w:after="180"/>
        <w:ind w:hanging="283" w:left="889" w:right="180"/>
        <w:jc w:val="left"/>
        <w:rPr>
          <w:sz w:val="22"/>
          <w:bdr w:val="single" w:sz="24" w:space="11" w:color="1F3864"/>
          <w:shd w:fill="EAF1FB" w:val="clear"/>
        </w:rPr>
      </w:pPr>
      <w:r>
        <w:rPr>
          <w:sz w:val="22"/>
          <w:bdr w:val="single" w:sz="24" w:space="11" w:color="1F3864"/>
          <w:shd w:fill="EAF1FB" w:val="clear"/>
        </w:rPr>
        <w:t xml:space="preserve">Obtain at least two indicative development quotations, explicitly scoped to the microservices architecture, before releasing Phase 1 development funding; </w:t>
      </w:r>
    </w:p>
    <w:p>
      <w:pPr>
        <w:pStyle w:val="BodyText"/>
        <w:numPr>
          <w:ilvl w:val="0"/>
          <w:numId w:val="7"/>
        </w:numPr>
        <w:tabs>
          <w:tab w:val="clear" w:pos="1134"/>
          <w:tab w:val="left" w:pos="889" w:leader="none"/>
        </w:tabs>
        <w:bidi w:val="0"/>
        <w:spacing w:before="180" w:after="180"/>
        <w:ind w:hanging="283" w:left="889" w:right="180"/>
        <w:jc w:val="left"/>
        <w:rPr>
          <w:sz w:val="22"/>
          <w:bdr w:val="single" w:sz="24" w:space="11" w:color="1F3864"/>
          <w:shd w:fill="EAF1FB" w:val="clear"/>
        </w:rPr>
      </w:pPr>
      <w:r>
        <w:rPr>
          <w:sz w:val="22"/>
          <w:bdr w:val="single" w:sz="24" w:space="11" w:color="1F3864"/>
          <w:shd w:fill="EAF1FB" w:val="clear"/>
        </w:rPr>
        <w:t xml:space="preserve">Resolve the Secretary/alternate-signatory position (Section 4.4) before any funding disbursement; and </w:t>
      </w:r>
    </w:p>
    <w:p>
      <w:pPr>
        <w:pStyle w:val="BodyText"/>
        <w:numPr>
          <w:ilvl w:val="0"/>
          <w:numId w:val="7"/>
        </w:numPr>
        <w:tabs>
          <w:tab w:val="clear" w:pos="1134"/>
          <w:tab w:val="left" w:pos="889" w:leader="none"/>
        </w:tabs>
        <w:bidi w:val="0"/>
        <w:spacing w:before="180" w:after="180"/>
        <w:ind w:hanging="283" w:left="889" w:right="180"/>
        <w:jc w:val="left"/>
        <w:rPr>
          <w:sz w:val="22"/>
          <w:bdr w:val="single" w:sz="24" w:space="11" w:color="1F3864"/>
          <w:shd w:fill="EAF1FB" w:val="clear"/>
        </w:rPr>
      </w:pPr>
      <w:r>
        <w:rPr>
          <w:sz w:val="22"/>
          <w:bdr w:val="single" w:sz="24" w:space="11" w:color="1F3864"/>
          <w:shd w:fill="EAF1FB" w:val="clear"/>
        </w:rPr>
        <w:t xml:space="preserve">Commission a formal legal review of data-protection obligations ahead of Phase 1 go-live. </w:t>
      </w:r>
    </w:p>
    <w:p>
      <w:pPr>
        <w:pStyle w:val="Heading2"/>
        <w:bidi w:val="0"/>
        <w:ind w:hanging="0"/>
        <w:jc w:val="left"/>
        <w:rPr/>
      </w:pPr>
      <w:r>
        <w:rPr/>
        <w:t>12. Approval</w:t>
      </w:r>
    </w:p>
    <w:p>
      <w:pPr>
        <w:pStyle w:val="BodyText"/>
        <w:bidi w:val="0"/>
        <w:jc w:val="left"/>
        <w:rPr/>
      </w:pPr>
      <w:r>
        <w:rPr/>
        <w:t>Submitted for the Board's review and awareness following the change in architecture direction recorded in 07_System Design Document.</w:t>
      </w:r>
    </w:p>
    <w:p>
      <w:pPr>
        <w:pStyle w:val="BodyText"/>
        <w:bidi w:val="0"/>
        <w:spacing w:before="150" w:after="283"/>
        <w:ind w:hanging="0" w:left="0" w:right="0"/>
        <w:jc w:val="left"/>
        <w:rPr>
          <w:b/>
        </w:rPr>
      </w:pPr>
      <w:r>
        <w:rPr>
          <w:b/>
        </w:rPr>
        <w:t>Obeke Godfrey</w:t>
      </w:r>
    </w:p>
    <w:p>
      <w:pPr>
        <w:pStyle w:val="BodyText"/>
        <w:bidi w:val="0"/>
        <w:spacing w:before="600" w:after="283"/>
        <w:ind w:hanging="0" w:left="0" w:right="0"/>
        <w:jc w:val="left"/>
        <w:rPr>
          <w:sz w:val="21"/>
          <w:bdr w:val="single" w:sz="2" w:space="3" w:color="333333"/>
        </w:rPr>
      </w:pPr>
      <w:r>
        <w:rPr>
          <w:sz w:val="21"/>
          <w:bdr w:val="single" w:sz="2" w:space="3" w:color="333333"/>
        </w:rPr>
        <w:t>Director — Prepared by — Signature &amp; Date</w:t>
      </w:r>
    </w:p>
    <w:p>
      <w:pPr>
        <w:pStyle w:val="BodyText"/>
        <w:bidi w:val="0"/>
        <w:spacing w:before="150" w:after="283"/>
        <w:ind w:hanging="0" w:left="0" w:right="0"/>
        <w:jc w:val="left"/>
        <w:rPr>
          <w:b/>
        </w:rPr>
      </w:pPr>
      <w:r>
        <w:rPr>
          <w:b/>
        </w:rPr>
        <w:t>Okurut Mathias</w:t>
      </w:r>
    </w:p>
    <w:p>
      <w:pPr>
        <w:pStyle w:val="BodyText"/>
        <w:bidi w:val="0"/>
        <w:spacing w:before="600" w:after="283"/>
        <w:ind w:hanging="0" w:left="0" w:right="0"/>
        <w:jc w:val="left"/>
        <w:rPr>
          <w:sz w:val="21"/>
          <w:bdr w:val="single" w:sz="2" w:space="3" w:color="333333"/>
        </w:rPr>
      </w:pPr>
      <w:r>
        <w:rPr>
          <w:sz w:val="21"/>
          <w:bdr w:val="single" w:sz="2" w:space="3" w:color="333333"/>
        </w:rPr>
        <w:t>Managing Director — Reviewed/Approved by — Signature &amp; Date</w:t>
      </w:r>
    </w:p>
    <w:p>
      <w:pPr>
        <w:pStyle w:val="BodyText"/>
        <w:bidi w:val="0"/>
        <w:spacing w:before="450" w:after="283"/>
        <w:ind w:hanging="0" w:left="0" w:right="0"/>
        <w:jc w:val="left"/>
        <w:rPr>
          <w:color w:val="666666"/>
          <w:sz w:val="18"/>
          <w:bdr w:val="single" w:sz="2" w:space="5" w:color="CCCCCC"/>
        </w:rPr>
      </w:pPr>
      <w:r>
        <w:rPr>
          <w:color w:val="666666"/>
          <w:sz w:val="18"/>
          <w:bdr w:val="single" w:sz="2" w:space="5" w:color="CCCCCC"/>
        </w:rPr>
        <w:t xml:space="preserve">Prepared with reference to: Board Resolution for Morise Holdings Limited (14 June 2019); Morise Holdings Limited Business Management System scope document (morise.docx — System Architecture section); Multi Holdings Limited Software Development Procedures and Implementation Blueprint; 01_Project Proposal and 02_Project Charter / Business Case; 07_System Design Document (v2.0), which supersedes this study's original Section 3.1.1 recommendation. Cost figures are deliberately left unquantified pending vendor quotations, per Section 5.1; legal conclusions should be confirmed by qualified counsel. </w:t>
      </w:r>
    </w:p>
    <w:p>
      <w:pPr>
        <w:pStyle w:val="Heading1"/>
      </w:pPr>
      <w:r>
        <w:t>Implementation Status Update (18 August 2026)</w:t>
      </w:r>
    </w:p>
    <w:p>
      <w:r>
        <w:t>A working Sprint 1+2 proof-of-concept (Identity + Organization) confirms the confirmed Node.js/NestJS/PostgreSQL/Prisma stack (Section 3.1) builds and runs without technical obstruction, and that the BR-01 scoping model is genuinely implementable — a small positive data point for Section 3.5's technical feasibility verdict.</w:t>
      </w:r>
    </w:p>
    <w:p>
      <w:r>
        <w:t>What this proof-of-concept does NOT test is the specific complexity/skills claim Sections 3.1.2, 3.4 and 3.5 raise about the now-adopted microservices direction. It was deliberately built as a single application — the original modular-monolith approach Section 3.1.1 recommended before being superseded by Group direction (see 07_System Design Document v2.0, Section 1). It therefore neither confirms nor refutes the higher operational-complexity and skills risk this study flags for full microservices; that remains an open question for the engaged development team to demonstrate (Section 3.4).</w:t>
      </w:r>
    </w:p>
    <w:p>
      <w:r>
        <w:t>Schedule note: this slice was produced in a single working session, which says nothing useful about Section 6's multi-week, multi-person schedule and should not be read as evidence the ~18-week estimate in 17_Development Plan can be compressed. Code lives in mbms/, alongside this documentation set (docx/) and the Administrator/Customer mockups (screenshots/). See mbms/README.md for exact run instructions and seeded demo credentials.</w:t>
      </w:r>
    </w:p>
    <w:p>
      <w:pPr>
        <w:pStyle w:val="Heading1"/>
      </w:pPr>
      <w:r>
        <w:t>Implementation Status Update 2 (18 August 2026)</w:t>
      </w:r>
    </w:p>
    <w:p>
      <w:r>
        <w:t>The Employee and Accounting additions further exercise the confirmed stack under real business rules — BR-03 (balanced entries) and BR-04 (period closure) were both verified against a running server, not just implemented, including the specific 422 UNBALANCED_ENTRY / PERIOD_CLOSED responses 09_API Specification documents. This continues to say nothing new about Section 3.4/3.5's microservices skills-risk question, since this remains a single-application proof-of-concept.</w:t>
      </w:r>
    </w:p>
    <w:p>
      <w:r>
        <w:t>See mbms/README.md for exact run instructions and seeded demo credentials.</w:t>
      </w:r>
    </w:p>
    <w:p>
      <w:pPr>
        <w:pStyle w:val="Heading1"/>
      </w:pPr>
      <w:r>
        <w:t>Implementation Status Update 3 (18 August 2026)</w:t>
      </w:r>
    </w:p>
    <w:p>
      <w:r>
        <w:t>No new technical, operational or economic feasibility information — Customers and Suppliers were built the same way, and against the same stack, as everything else in this proof-of-concept. Still says nothing new about the microservices skills-risk question in Section 3.4/3.5.</w:t>
      </w:r>
    </w:p>
    <w:p>
      <w:r>
        <w:t>See mbms/README.md for exact run instructions and seeded demo credentials.</w:t>
      </w:r>
    </w:p>
    <w:p>
      <w:pPr>
        <w:pStyle w:val="Heading1"/>
      </w:pPr>
      <w:r>
        <w:t>Implementation Status Update 4 (18 August 2026)</w:t>
      </w:r>
    </w:p>
    <w:p>
      <w:r>
        <w:t>No new feasibility information — Products was built the same way as every other module in this proof-of-concept, using the same confirmed stack. See mbms/README.md for exact run instructions and seeded demo credentials.</w:t>
      </w:r>
    </w:p>
    <w:p>
      <w:pPr>
        <w:pStyle w:val="Heading1"/>
      </w:pPr>
      <w:r>
        <w:t>Implementation Status Update 5 (18 August 2026)</w:t>
      </w:r>
    </w:p>
    <w:p>
      <w:r>
        <w:t>No new feasibility information. The Audit Trail's in-process implementation (see mbms/README.md) sidesteps the Kafka/observability skills risk this study flags in Section 3.4 rather than testing it — this proof-of-concept still says nothing about whether a team can deliver the approved Kafka-based architecture, for the audit trail or any other service. See mbms/README.md for exact run instructions and seeded demo credentials.</w:t>
      </w:r>
    </w:p>
    <w:p>
      <w:pPr>
        <w:pStyle w:val="Heading1"/>
      </w:pPr>
      <w:r>
        <w:t>Implementation Status Update 6 (18 August 2026)</w:t>
      </w:r>
    </w:p>
    <w:p>
      <w:r>
        <w:t>No new feasibility information. This update is a quality/completeness check on already-built code, not new scope — it doesn't change the risk picture in Section 3.4, though it is a small data point that a first implementation pass can miss requirement sub-clauses even in the best-covered module. See mbms/README.md, "Sprint 1 verification pass", for the full detail and verification method.</w:t>
      </w:r>
    </w:p>
    <w:p>
      <w:pPr>
        <w:pStyle w:val="Heading1"/>
      </w:pPr>
      <w:r>
        <w:t>Implementation Status Update 7 (18 August 2026)</w:t>
      </w:r>
    </w:p>
    <w:p>
      <w:r>
        <w:t>No new feasibility information. Worth noting for Section 3.4's risk picture: a demo-reachability gap like the one found this update (working code, unreachable demo path) is a low-severity but easy-to-miss class of defect that a purely code-level review would not catch — it took an actual login-as-each-role walkthrough to surface it. See mbms/README.md, "Sprint 2 verification pass", for the full detail and verification method.</w:t>
      </w:r>
    </w:p>
    <w:p>
      <w:pPr>
        <w:pStyle w:val="Heading1"/>
      </w:pPr>
      <w:r>
        <w:t>Implementation Status Update 8 (18 August 2026)</w:t>
      </w:r>
    </w:p>
    <w:p>
      <w:r>
        <w:t>No new feasibility information. See mbms/README.md, "Sprint 3 verification pass", for the full detail and verification method.</w:t>
      </w:r>
    </w:p>
    <w:p>
      <w:pPr>
        <w:pStyle w:val="Heading1"/>
      </w:pPr>
      <w:r>
        <w:t>Implementation Status Update 9 (18 August 2026)</w:t>
      </w:r>
    </w:p>
    <w:p>
      <w:r>
        <w:t>No new feasibility information. See mbms/README.md, "Sprint 4 verification pass", for the full detail and verification method.</w:t>
      </w:r>
    </w:p>
    <w:p>
      <w:pPr>
        <w:pStyle w:val="Heading1"/>
      </w:pPr>
      <w:r>
        <w:t>Implementation Status Update 10 (18 August 2026)</w:t>
      </w:r>
    </w:p>
    <w:p>
      <w:r>
        <w:t>No new feasibility information. Scope note: the request that opened this sprint also named "warehouses," but 04_Software Requirements Specification, Section 4.8's own text explicitly defers stock locations, warehouses, stock movements and inventory valuation to Phase 2 — the same boundary already held for every other Phase 2+ feature throughout this project. Asked how to handle the mismatch, the choice was to keep this pass scoped to Products/Categories only, consistent with that boundary — no warehouse or stock-location code was added. See mbms/README.md, "Sprint 5 verification pass", for the full detail and verification method.</w:t>
      </w:r>
    </w:p>
    <w:p>
      <w:pPr>
        <w:pStyle w:val="Heading1"/>
      </w:pPr>
      <w:r>
        <w:t>Implementation Status Update 11 (18 August 2026)</w:t>
      </w:r>
    </w:p>
    <w:p>
      <w:r>
        <w:t>No new feasibility information. Scope note: the request that opened this sprint named "Procurement, purchase orders and goods received" — none of which appear anywhere in 04_Software Requirements Specification's Phase 1 scope (FR-SUPP-02's own deferred note explicitly pushes purchase requisitions/orders to Phase 2), and none of which match what 17_Development Plan actually calls Sprint 6 ("Accounting completion, Dashboard, Audit Trail"). Asked how to handle the mismatch, the choice was to re-verify the actual Sprint 6 instead, the same method as Sprints 1-5, rather than starting new, unscoped Phase 2 work. No Procurement/PO/GRN code was added. See mbms/README.md, "Sprint 6 verification pass", for the full detail and verification method.</w:t>
      </w:r>
    </w:p>
    <w:p>
      <w:pPr>
        <w:pStyle w:val="Heading1"/>
      </w:pPr>
      <w:r>
        <w:t>Implementation Status Update 12 (18 August 2026)</w:t>
      </w:r>
    </w:p>
    <w:p>
      <w:r>
        <w:t>No new feasibility information. Scope note: the request that opened this sprint named "Sales, invoices and receipts" — explicitly Phase 2 in 04_Software Requirements Specification's own phasing text, and with no existing code to verify, unlike Sprint 6 which had real code under a mismatched label. The actual Sprint 7 per 17_Development Plan is "Contract, system and security testing." Asked how to handle the mismatch, the choice was to run that instead. No Sales/Invoice/Receipt code was added. See mbms/README.md, "Sprint 7: security testing pass", for the full detail and verification method.</w:t>
      </w:r>
    </w:p>
    <w:p>
      <w:pPr>
        <w:pStyle w:val="Heading1"/>
      </w:pPr>
      <w:r>
        <w:t>Implementation Status Update 13 (18 August 2026)</w:t>
      </w:r>
    </w:p>
    <w:p>
      <w:r>
        <w:t>Scope note: the request that opened this sprint named "Inventory" — explicitly Phase 2 in 04_Software Requirements Specification's own phasing text, with no existing code to verify. The actual Sprint 8 per 17_Development Plan is "Performance testing, Alpha testing, UAT begins." Asked how to handle the mismatch, the choice was to run that instead. No Inventory code was added. CRITICAL finding, fixed: Employees, Customers, Suppliers and Products' list() methods each used a caller-supplied filter[companyId] query parameter verbatim, with no check that it was actually one of the caller's own scoped companies — a scoped user (e.g. an HR Manager scoped only to one subsidiary) could pass filter[companyId]=&lt;any other company&gt; and receive that company's real records, including unmasked bank account numbers for Employees where the caller held employee.view.sensitive for their own company. This is a direct BR-01 violation. Found via 13_Alpha Test Plan Section 5.2's exploratory checklist (browsing for a module reachable by a role that shouldn't have access), not a scripted test case. Fixed in all four services: an out-of-scope filter[companyId] now falls back to the caller's real scope instead of being honored. Verified with the exact attack that found it, across all four services, plus confirmation that legitimate own-scope filtering still works normally. See mbms/README.md, "Sprint 8: performance, Alpha and UAT pass", for the full detail and verification method.</w:t>
      </w:r>
    </w:p>
    <w:p>
      <w:pPr>
        <w:pStyle w:val="Heading1"/>
      </w:pPr>
      <w:r>
        <w:t>Implementation Status Update 14 (18 August 2026)</w:t>
      </w:r>
    </w:p>
    <w:p>
      <w:r>
        <w:t>Scope note: Expense Management (Phase 2, per 04_Software Requirements Specification Section 12) was built this sprint — the first sprint since Sprint 5 where the named request matched genuinely new, still-open work rather than requiring a redirect back to an already-defined Phase 1 sprint (compare Sprints 6–8's scope notes in mbms/README.md).</w:t>
      </w:r>
    </w:p>
    <w:p>
      <w:r>
        <w:t>This Feasibility Study's own schedule and staffing caution (Section 6, re-confirmed by 17_Development Plan Section 6) covered Phase 1 only; it says nothing about Phase 2 feasibility, and this sprint's single-session build should not be read as evidence Phase 2 is similarly fast for a real team — the same caution already stated for every completed Phase 1 sprint in this document's earlier updates.</w:t>
      </w:r>
    </w:p>
    <w:p>
      <w:r>
        <w:t>See mbms/README.md, “Sprint 9”, for the full detail and verification method.</w:t>
      </w:r>
    </w:p>
    <w:p>
      <w:pPr>
        <w:pStyle w:val="Heading1"/>
      </w:pPr>
      <w:r>
        <w:t>Implementation Status Update 15 (18 August 2026)</w:t>
      </w:r>
    </w:p>
    <w:p>
      <w:r>
        <w:t>Scope note: this sprint's request (“Accounting”) matches Multi_Holdings_Limited_Software_Development_Procedures.docx, Section 12's own Sprint 10 — the table every sprint request since Sprint 1 has actually matched, confirmed only this sprint rather than five sprints earlier when Sprints 6–8's requests also matched it. See mbms/README.md, “Sprint 10”, for the full discovery.</w:t>
      </w:r>
    </w:p>
    <w:p>
      <w:r>
        <w:t>This Feasibility Study's schedule/staffing caution (Section 6) covers Phase 1 only; Sprint 10 deepens the existing Phase 1 Accounting module and pulls two Phase 3 items (financial statements, consolidated accounting) forward, so this sprint's single-session build should not be read as evidence Phase 3 itself is similarly fast for a real team.</w:t>
      </w:r>
    </w:p>
    <w:p>
      <w:r>
        <w:t>See mbms/README.md, “Sprint 10”, for the full detail and verification method.</w:t>
      </w:r>
    </w:p>
    <w:p>
      <w:pPr>
        <w:pStyle w:val="Heading1"/>
      </w:pPr>
      <w:r>
        <w:t>Implementation Status Update 16 (18 August 2026)</w:t>
      </w:r>
    </w:p>
    <w:p>
      <w:r>
        <w:t>Scope note: matches Multi_Holdings_Limited_Software_Development_Procedures.docx's own Sprint 11 (“Assets”) directly.</w:t>
      </w:r>
    </w:p>
    <w:p>
      <w:r>
        <w:t>This Feasibility Study's schedule caution (Section 6) covers Phase 1 only; Sprint 11 builds Phase 2 scope pulled forward — not evidence Phase 2 is similarly fast for a real team.</w:t>
      </w:r>
    </w:p>
    <w:p>
      <w:r>
        <w:t>See mbms/README.md, “Sprint 11”, for the full detail and verification method.</w:t>
      </w:r>
    </w:p>
    <w:p>
      <w:pPr>
        <w:pStyle w:val="Heading1"/>
      </w:pPr>
      <w:r>
        <w:t>Implementation Status Update 17 (18 August 2026)</w:t>
      </w:r>
    </w:p>
    <w:p>
      <w:r>
        <w:t>Scope note: matches Multi_Holdings_Limited_Software_Development_Procedures.docx's own Sprint 12 (“Projects”) directly.</w:t>
      </w:r>
    </w:p>
    <w:p>
      <w:r>
        <w:t>This Feasibility Study's schedule caution (Section 6) covers Phase 1 only; Sprint 12 builds Phase 2 scope pulled forward — not evidence Phase 2 is similarly fast for a real team.</w:t>
      </w:r>
    </w:p>
    <w:p>
      <w:r>
        <w:t>See mbms/README.md, “Sprint 12”, for the full detail and verification method.</w:t>
      </w:r>
    </w:p>
    <w:p>
      <w:pPr>
        <w:pStyle w:val="Heading1"/>
      </w:pPr>
      <w:r>
        <w:t>Implementation Status Update 18 (18 August 2026)</w:t>
      </w:r>
    </w:p>
    <w:p>
      <w:r>
        <w:t>Scope note: matches Multi_Holdings_Limited_Software_Development_Procedures.docx's own Sprint 13 (“Reports”) directly — Phase 1 scope (04_SRS Section 8), not a pull-forward.</w:t>
      </w:r>
    </w:p>
    <w:p>
      <w:r>
        <w:t>This Feasibility Study's schedule caution (Section 6) covers Phase 1 as a whole; RPT-01–06 were always inside that boundary, just not built until now — this sprint closes a real Phase 1 gap, not new scope.</w:t>
      </w:r>
    </w:p>
    <w:p>
      <w:r>
        <w:t>See mbms/README.md, “Sprint 13”, for the full detail and verification method.</w:t>
      </w:r>
    </w:p>
    <w:p>
      <w:pPr>
        <w:pStyle w:val="Heading1"/>
      </w:pPr>
      <w:r>
        <w:t>Implementation Status Update 19 (18 August 2026)</w:t>
      </w:r>
    </w:p>
    <w:p>
      <w:r>
        <w:t>Scope note: matches Multi_Holdings_Limited_Software_Development_Procedures.docx's own Sprint 14 (“Dashboard, notifications and audit trail”) directly — the last sprint in that order.</w:t>
      </w:r>
    </w:p>
    <w:p>
      <w:r>
        <w:t>Dashboard and Audit Trail were already Phase 1 scope, built and once revisited (Sprint 6); Notifications was the one genuinely new piece this sprint added, deferred since this project's very first sprint.</w:t>
      </w:r>
    </w:p>
    <w:p>
      <w:r>
        <w:t>See mbms/README.md, “Sprint 14”, for the full detail and verification method.</w:t>
      </w:r>
    </w:p>
    <w:p>
      <w:pPr>
        <w:pStyle w:val="Heading1"/>
      </w:pPr>
      <w:r>
        <w:t>Implementation Status Update 20 (19 August 2026)</w:t>
      </w:r>
    </w:p>
    <w:p>
      <w:r>
        <w:t>Scope note: requested directly against morise.docx, Section 2's full “Company and Holdings Management” feature list — most items were already built; company policies, inter-company transactions, cross-company resource transfer and consolidated group comparison reporting were the four genuinely new pieces.</w:t>
      </w:r>
    </w:p>
    <w:p>
      <w:r>
        <w:t>Feasibility was already established for the Organization/Assets/Reports services this work extends — no new architectural risk introduced; inter-company transactions reuse the existing double-entry journal-entry mechanism, not a new ledger design.</w:t>
      </w:r>
    </w:p>
    <w:p>
      <w:r>
        <w:t>See mbms/README.md, “Company and Holdings Management,” for the full detail and verification method.</w:t>
      </w:r>
    </w:p>
    <w:p>
      <w:pPr>
        <w:pStyle w:val="Heading1"/>
      </w:pPr>
      <w:r>
        <w:t>Implementation Status Update 21 (19 August 2026) — Dashboard Deepening</w:t>
      </w:r>
    </w:p>
    <w:p>
      <w:r>
        <w:t>Scope note: this update was requested directly against a full Holding Company / Subsidiary Dashboard KPI list (companies, branches, employees, customers, suppliers, assets, revenue, expenses, net profit, cash position, bank balances, outstanding receivables/payables, current projects, pending approvals, outstanding loans, inventory value, sales performance, procurement performance, employee statistics, company performance comparison, four monthly charts, and financial/operational alerts), not a numbered sprint from Multi_Holdings_Limited_Software_Development_Procedures.docx's Section 12 table (already complete except Sprints 6-8) or the request from earlier the same day (Company and Holdings Management Deepening, Update 20).</w:t>
      </w:r>
    </w:p>
    <w:p>
      <w:r>
        <w:t>Built: a deepened Holding Company Dashboard (group-wide financial position, four monthly charts, financial/operational alerts, employee statistics, company performance comparison, outstanding inter-company loans) and a deepened Subsidiary Dashboard (the same financial/chart blocks, scoped and permission-gated per company). Inventory value, sales performance and procurement performance are honestly reported as not available — no such module exists in this codebase.</w:t>
      </w:r>
    </w:p>
    <w:p>
      <w:r>
        <w:t>See mbms/README.md, "Dashboard Deepening — Holding Company &amp; Subsidiary KPI Set", for the full detail and verification method.</w:t>
      </w:r>
    </w:p>
    <w:p>
      <w:pPr>
        <w:pStyle w:val="Heading1"/>
      </w:pPr>
      <w:r>
        <w:t>Implementation Status Update 22 (19 August 2026) — RBAC Completion</w:t>
      </w:r>
    </w:p>
    <w:p>
      <w:r>
        <w:t>Scope note: this update was requested directly against a full RBAC feature list — a User Management capability bullet list (create/edit/activate-deactivate/reset password/change password/lock accounts/manage profiles/assign companies-branches-departments/assign roles/assign permissions/restrict access to modules, companies, branches, financial information and sensitive documents) and the 23-role catalogue (Super Administrator through Read-only User) — not a numbered sprint or either of the two dashboard/company-holdings passes from earlier the same day.</w:t>
      </w:r>
    </w:p>
    <w:p>
      <w:r>
        <w:t>Built: all 23 catalogue roles are now permissioned (14 of them — Chief Financial Officer, Accountant, Operations Manager, Project Manager, Inventory Manager, Warehouse Manager, Legal Officer, Customer Service Officer, Employee, External Auditor, Board Member, Investor, Read-only User — existed as role rows since Sprint 1 but had never been given a single permission), plus a new self-service POST /identity/users/me/change-password endpoint (distinct from the existing admin-initiated reset and the unauthenticated forgot-password flow). No new permission or schema migration was needed for the role work; the new endpoint reuses the existing IsStrongPassword validator and audit pattern.</w:t>
      </w:r>
    </w:p>
    <w:p>
      <w:r>
        <w:t>See mbms/README.md, "RBAC Completion — Full Role Catalogue Permissioned, Self-Service Password Change Added", for the full detail and verification method.</w:t>
      </w:r>
    </w:p>
    <w:p>
      <w:pPr>
        <w:pStyle w:val="Heading1"/>
      </w:pPr>
      <w:r>
        <w:t>Implementation Status Update 23 (19 August 2026) — HR Module Deepening</w:t>
      </w:r>
    </w:p>
    <w:p>
      <w:r>
        <w:t>Scope note: this update was requested directly against a full HR feature list — Employee Management, Recruitment, Attendance, Leave Management and Performance Management — opening with "The HR module should manage employees across all companies," not a numbered sprint or either pass earlier the same day.</w:t>
      </w:r>
    </w:p>
    <w:p>
      <w:r>
        <w:t>Built: Employee Management was re-verified (one gap closed — a real employment-history table, plus a document-reference field). Four entirely new modules were built: Recruitment (vacancy approval workflow through application/interview/offer, ending in onboarding into a real employee record), Attendance (self-service clock-in/out against an assigned shift, or HR-recorded for employees without a login), Leave (five leave types, balance-checked approval), and Performance (review cycles, objectives/KPIs, self- and manager-assessment). Migration: hr_module_recruitment_attendance_leave_performance (eleven new tables, two new employees columns). Ten new permissions; no existing permission was changed.</w:t>
      </w:r>
    </w:p>
    <w:p>
      <w:r>
        <w:t>Two real gaps were found and fixed during this pass: a self-service scope-gating bug in Performance (an ordinary employee reading or submitting their own review could be incorrectly blocked, since the original code path required company-wide scope even for pure self-access), and a demo-reachability gap where the HR Manager persona's single-company scope meant no seeded user could reach three of the four new modules' management actions for one subsidiary at all.</w:t>
      </w:r>
    </w:p>
    <w:p>
      <w:r>
        <w:t>See mbms/README.md, "HR Module Deepening — Recruitment, Attendance, Leave, Performance", for the full detail and verification method.</w:t>
      </w:r>
    </w:p>
    <w:p>
      <w:pPr>
        <w:pStyle w:val="Heading1"/>
      </w:pPr>
      <w:r>
        <w:t>Implementation Status Update 24 (19 August 2026) — Customer Storefront, Responsiveness Pass and Landing Page</w:t>
      </w:r>
    </w:p>
    <w:p>
      <w:r>
        <w:t>Scope note: this entry bundles three related requests handled back-to-back in one continuous session, the same class of single-entry bundling this document set already uses when one pass covers several closely related asks — build the actual customer-facing storefront screenshots/Customer/'s ten mockups had always implied but never had running code behind (explicitly confirmed as new scope, not something already there to start); make that storefront responsive once it shipped without a mobile pass; and develop a public landing page with a first-visit disclaimer for a visitor who hasn't signed in yet.</w:t>
      </w:r>
    </w:p>
    <w:p>
      <w:r>
        <w:t>Built: a real Sales/Invoicing/Payments module (Order, OrderItem, Invoice, Payment, PaymentAllocation — an order posts a real balanced journal entry at creation and is rejected if it would exceed the customer's credit limit; cancellation reverses the entry rather than deleting anything) and a new Support Ticketing module (SupportTicket, TicketMessage), both behind a second, structurally separate authentication stack (a customer signs in with an account number or email, never a staff User record). A second web application, mbms/storefront/, implements all ten Customer mockup screens plus two with no source mockup (a Landing page and a first-visit disclaimer modal) against this real backend, not a mockup. Minimal staff-side screens (Orders fulfillment, Support Ticket reply) were added to the existing Admin app so a customer's order or ticket does not dead-end. The storefront was then made responsive (a fluid header/nav and scrollable tables with no fixed-width overflow from 320px to 1440px) and given the public landing page and disclaimer at "/", replacing the previous hard redirect-to-login for a signed-out visitor. Migration: sprint16_customer_storefront. Four new permissions (sales.order.manage/viewAll, support.ticket.manage/viewAll); no existing permission was changed. Technical feasibility is confirmed end-to-end: a second authentication stack, a second frontend application and a real payments/invoicing ledger integration were all built and verified inside the same monolith this feasibility study already scoped, with no new infrastructure dependency introduced.</w:t>
      </w:r>
    </w:p>
    <w:p>
      <w:r>
        <w:t>Three real defects were found and fixed across these passes, not before them: a seed-script idempotency bug that doubled a demo customer's outstanding balance on a second seed run (order/invoice numbers were derived from a live row count rather than a fixed literal, unlike every other seed in this project); a frontend permission-gate mismatch where the new Support Tickets admin screen's hasRole() check didn't include a role the backend had actually granted the permission to, hiding a working reply form; and a CSS specificity leak where a rule added to fix one header's responsive wrap silently reordered an unrelated header on the new Landing page, caught only by inspecting a screenshot, not by any automated check.</w:t>
      </w:r>
    </w:p>
    <w:p>
      <w:r>
        <w:t>See mbms/README.md, "Sprint 16: Customer Storefront", "Storefront responsiveness pass" and "Landing page and disclaimer added", for the full detail and verification method.</w:t>
      </w:r>
    </w:p>
    <w:p>
      <w:pPr>
        <w:pStyle w:val="Heading1"/>
      </w:pPr>
      <w:r>
        <w:t>Implementation Status Update 25 (19 August 2026) — Financial Module Deepening</w:t>
      </w:r>
    </w:p>
    <w:p>
      <w:r>
        <w:t>Scope note: this update was requested directly against a full Financial Module feature list — General Ledger gaps, Accounts Receivable, Accounts Payable, and five new Financial Statements — opening with "The financial module should be one of the core components of the system." Not a numbered sprint or any of the three passes earlier the same day.</w:t>
      </w:r>
    </w:p>
    <w:p>
      <w:r>
        <w:t>Built: closing entries (a real journal entry zeroing revenue/expense into Retained Earnings on period close), adjusting-entry tagging, account reconciliation, and budgets on the General Ledger side; a new Accounts Payable subledger (supplier invoices with a draft-approve-pay workflow, payments, credit notes, aging, statements); Accounts Receivable deepened with credit/debit notes and staff-facing aging/statements on top of the existing Order/Invoice/Payment system (see the correction note below); and four new report endpoints — Cash Flow Statement, Statement of Changes in Equity, Financial Ratios, Budget vs Actual, and a Management Accounts bundle.</w:t>
      </w:r>
    </w:p>
    <w:p>
      <w:r>
        <w:t>A real duplication was found and corrected before any service code shipped: this pass's first draft of Accounts Receivable defined its own customer invoice/payment tables, and a routine database check found a complete Order-to-Invoice-to-Payment system already built by a different, concurrently-running session (the "Customer Storefront" work also reflected in this docx set's own Update 24 entries). The duplicate tables were deleted before any code referenced them; Accounts Receivable was built against the real existing models instead. This is the second time this project has had two sessions modifying the same live database concurrently the same day — the migration tracking table needed re-baselining three times as a result, a recovered environment issue, not data loss.</w:t>
      </w:r>
    </w:p>
    <w:p>
      <w:r>
        <w:t>See mbms/README.md, "Financial Module Deepening", for the full detail and verification method.</w:t>
      </w:r>
    </w:p>
    <w:p>
      <w:pPr>
        <w:pStyle w:val="Heading1"/>
      </w:pPr>
      <w:r>
        <w:t>Implementation Status Update 26 (27 August 2026) — Admin Navigation Redesign</w:t>
      </w:r>
    </w:p>
    <w:p>
      <w:pPr>
        <w:pStyle w:val="BodyText"/>
      </w:pPr>
      <w:r>
        <w:t>On 27 August 2026 the staff Admin application's navigation was reorganised from a single flat list of 21 links into four collapsible, self-remembering categories, to match the agreed screen taxonomy captured in four reference screenshots dated 27 August 2026 (see the screenshots/ folder).</w:t>
      </w:r>
    </w:p>
    <w:p>
      <w:pPr>
        <w:pStyle w:val="BodyText"/>
      </w:pPr>
      <w:r>
        <w:t>The four categories and their menu items are:</w:t>
      </w:r>
    </w:p>
    <w:p>
      <w:pPr>
        <w:pStyle w:val="BodyText"/>
      </w:pPr>
      <w:r>
        <w:t>•  Admin / Backend: Dashboard, Companies &amp; Holdings, Product Manager, Order Management, Inventory*, Customers (CRM), Support Tickets, Marketing &amp; Promos*, CMS / Site Builder*, Users &amp; Settings, Activity Log.</w:t>
      </w:r>
    </w:p>
    <w:p>
      <w:pPr>
        <w:pStyle w:val="BodyText"/>
      </w:pPr>
      <w:r>
        <w:t>•  Human Resources: HR Dashboard*, Employees, Departments*, Attendance, Leave Requests, Shift Scheduling*, Recruitment, Payroll*.</w:t>
      </w:r>
    </w:p>
    <w:p>
      <w:pPr>
        <w:pStyle w:val="BodyText"/>
      </w:pPr>
      <w:r>
        <w:t>•  My HR (employee self-service): My Profile, Clock In / Out*, My Leave*, My Shifts*, My Performance*, My Payslips*, My Salary Advances*.</w:t>
      </w:r>
    </w:p>
    <w:p>
      <w:pPr>
        <w:pStyle w:val="BodyText"/>
      </w:pPr>
      <w:r>
        <w:t>•  Financial &amp; Accounting: Financial &amp; Accounting (overview)*, General Ledger &amp; Journals, Accounts Payable, Expenses, Assets, Projects, Reports, Suppliers, Inter-Company.</w:t>
      </w:r>
    </w:p>
    <w:p>
      <w:pPr>
        <w:pStyle w:val="BodyText"/>
      </w:pPr>
      <w:r>
        <w:t>Items marked with an asterisk (*) are part of the taxonomy but have no backend service in the current slice. In the application they render as navigable “Planned” placeholder screens so the structure has no dead links. Every previously working screen remains available — it has only been regrouped, and in some cases relabelled (Companies → Companies &amp; Holdings, Products → Product Manager, Orders → Order Management, Users &amp; Roles → Users &amp; Settings, Audit Trail → Activity Log, Accounting → General Ledger &amp; Journals, Leave → Leave Requests). Suppliers moved under Financial &amp; Accounting; Performance is no longer a top-level link (manager-side access is retained via /performance and the HR flows, and “My Performance” is the self-service entry).</w:t>
      </w:r>
    </w:p>
    <w:p>
      <w:pPr>
        <w:pStyle w:val="BodyText"/>
      </w:pPr>
      <w:r>
        <w:t>This is a front-end-only change: NAV_GROUPS taxonomy and a collapsible category component in mbms/frontend/src/components/Layout.jsx, a shared ComingSoon placeholder component, 14 placeholder routes in App.jsx, and sidebar styles in app.css. There is no API, database schema, or data-migration impact. Verified with a production vite build (62 modules, no errors) and a headless screenshot of the running dev server.</w:t>
      </w:r>
    </w:p>
    <w:p>
      <w:pPr>
        <w:pStyle w:val="Heading2"/>
      </w:pPr>
      <w:r>
        <w:t>Impact on this document</w:t>
      </w:r>
    </w:p>
    <w:p>
      <w:pPr>
        <w:pStyle w:val="BodyText"/>
      </w:pPr>
      <w:r>
        <w:t>No feasibility impact. The change is a client-side navigation reorganisation with no new technology, infrastructure, integration, or resourcing implication. Technical, operational, economic, schedule and legal feasibility verdicts are unaffected.</w:t>
      </w:r>
    </w:p>
    <w:p>
      <w:pPr>
        <w:pStyle w:val="Heading1"/>
      </w:pPr>
      <w:r>
        <w:t>Implementation Status Update 27 (27 August 2026) — Delegated Administration (Grant Authority)</w:t>
      </w:r>
    </w:p>
    <w:p>
      <w:pPr>
        <w:pStyle w:val="BodyText"/>
      </w:pPr>
      <w:r>
        <w:t>Every admin user may only view, create, update, delete and execute the operations that have been granted to them — enforced per request by the permission guard, which re-derives the user's roles and permissions from the database on every call. On 27 August 2026 the model for HOW those grants are made was tightened: roles and direct permissions may now only be granted or revoked by three business grantor roles, each within a bounded authority.</w:t>
      </w:r>
    </w:p>
    <w:p>
      <w:pPr>
        <w:pStyle w:val="BodyText"/>
      </w:pPr>
      <w:r>
        <w:t>Grantor authority:</w:t>
      </w:r>
    </w:p>
    <w:p>
      <w:pPr>
        <w:pStyle w:val="BodyText"/>
      </w:pPr>
      <w:r>
        <w:t>•  Managing Director: may delegate any role and any permission (every domain), to any user, group-wide.</w:t>
      </w:r>
    </w:p>
    <w:p>
      <w:pPr>
        <w:pStyle w:val="BodyText"/>
      </w:pPr>
      <w:r>
        <w:t>•  Branch Manager: may delegate only “operations”-domain permissions (and roles composed only of them), and only to users inside their own company/branch scope.</w:t>
      </w:r>
    </w:p>
    <w:p>
      <w:pPr>
        <w:pStyle w:val="BodyText"/>
      </w:pPr>
      <w:r>
        <w:t>•  Human Resources Manager: may delegate only “hr”-domain permissions, and only to users inside their own company/branch scope.</w:t>
      </w:r>
    </w:p>
    <w:p>
      <w:pPr>
        <w:pStyle w:val="BodyText"/>
      </w:pPr>
      <w:r>
        <w:t>•  Super Administrator / IT Administrator: retain unbounded grant authority as the platform bootstrap / break-glass path (they hold identity.user.manage).</w:t>
      </w:r>
    </w:p>
    <w:p>
      <w:pPr>
        <w:pStyle w:val="BodyText"/>
      </w:pPr>
      <w:r>
        <w:t>Mechanism: every permission now carries a domain (identity, org, hr, finance, operations or governance). DELEGATION_RULES maps each grantor role to the domains it may delegate and whether its reach is group-wide or own-scope; a user with several grantor roles gets the union. DelegationService.assertCanGrant runs on every grant and every revoke (a role assignment is first expanded to its permission codes): it checks each permission's domain against the actor's authority, then — for own-scope grantors — that every one of the target user's scope rows is covered by one of the actor's. A new permission identity.user.delegate lets the three grantor roles reach the grant/revoke and read-only user-list endpoints; user lifecycle (create / activate / lock / scope) stays limited to identity.user.manage.</w:t>
      </w:r>
    </w:p>
    <w:p>
      <w:pPr>
        <w:pStyle w:val="BodyText"/>
      </w:pPr>
      <w:r>
        <w:t>Supporting changes: GET /identity/users/{id}/delegatable-grants returns exactly the roles and permissions the signed-in admin may grant on that user plus a canDelegateToTarget flag, and the Users &amp; Settings screen uses it so its dropdowns only ever offer allowed grants and it shows a notice when the selected user is outside the admin's scope. Grant and revoke are written to the audit trail (identity.user.updated with roleAssigned / roleRemoved / permissionGranted / permissionRevoked); a blocked attempt is recorded as UsersController.access.denied. One Prisma migration adds permissions.domain; the seed backfills every domain and grants identity.user.delegate to the Managing Director, Branch Manager, Human Resources Manager and Super Administrator. Verified end-to-end against the running API (MD grants any domain; Branch Manager grants operations in-scope but is refused an hr permission and any out-of-scope target; HR Manager grants hr in-scope but is refused operations; a non-grantor is refused by the guard).</w:t>
      </w:r>
    </w:p>
    <w:p>
      <w:pPr>
        <w:pStyle w:val="Heading2"/>
      </w:pPr>
      <w:r>
        <w:t>Impact on this document</w:t>
      </w:r>
    </w:p>
    <w:p>
      <w:pPr>
        <w:pStyle w:val="BodyText"/>
      </w:pPr>
      <w:r>
        <w:t>Operational feasibility only: line managers already own their people and processes, so having them delegate the corresponding system access (within bounds the system enforces) is a better fit for the organisation than routing every access request through IT. No technical, economic, schedule or legal feasibility impact.</w:t>
      </w:r>
    </w:p>
    <w:p>
      <w:pPr>
        <w:pStyle w:val="Heading1"/>
      </w:pPr>
      <w:r>
        <w:t>Implementation Status Update 28 (27 August 2026) — Permission-Based Visibility (Hide Unpermitted Operations)</w:t>
      </w:r>
    </w:p>
    <w:p>
      <w:pPr>
        <w:pStyle w:val="BodyText"/>
      </w:pPr>
      <w:r>
        <w:t>Building on the delegated-administration model, the Admin application now HIDES what a user has not been granted rather than only blocking it on submit: an operation a user has not been permitted — whether by the Managing Director, a Branch Manager or an HR Manager — is not shown to them at all.</w:t>
      </w:r>
    </w:p>
    <w:p>
      <w:pPr>
        <w:pStyle w:val="BodyText"/>
      </w:pPr>
      <w:r>
        <w:t>Behaviour:</w:t>
      </w:r>
    </w:p>
    <w:p>
      <w:pPr>
        <w:pStyle w:val="BodyText"/>
      </w:pPr>
      <w:r>
        <w:t>•  Sidebar: a menu item the signed-in user lacks the permission for is not rendered — not greyed, not disabled; a whole category disappears when none of its items are visible.</w:t>
      </w:r>
    </w:p>
    <w:p>
      <w:pPr>
        <w:pStyle w:val="BodyText"/>
      </w:pPr>
      <w:r>
        <w:t>•  Direct URL: typing the address of a screen the user may not see redirects them to the Dashboard; no flash of content.</w:t>
      </w:r>
    </w:p>
    <w:p>
      <w:pPr>
        <w:pStyle w:val="BodyText"/>
      </w:pPr>
      <w:r>
        <w:t>•  Always visible: the Dashboard and the “My HR” employee self-service screens (my profile, clock in/out, my leave, my shifts, my performance, my payslips, my salary advances).</w:t>
      </w:r>
    </w:p>
    <w:p>
      <w:pPr>
        <w:pStyle w:val="BodyText"/>
      </w:pPr>
      <w:r>
        <w:t>•  Platform administrators: holders of identity.user.manage (Super Administrator / IT Administrator) see everything, as they administer the system itself.</w:t>
      </w:r>
    </w:p>
    <w:p>
      <w:pPr>
        <w:pStyle w:val="BodyText"/>
      </w:pPr>
      <w:r>
        <w:t>Mechanism: the login, token-refresh and GET /identity/users/me responses now include the user's effective permission codes (role permissions plus direct grants) — the same set the request guard already enforces. The front end holds one map, ROUTE_CAPABILITIES (mbms/frontend/src/lib/capabilities.js), from each admin route to the permission code(s) that make it meaningful ('*' = always; '__platform_admin__' = platform admins only, used for planned screens with no permission code yet, e.g. Payroll). The sidebar filters its items through this map; RequireAuth checks it on every navigation and redirects to the Dashboard when the target is not permitted; a hasPermission(...) helper is available to screens for finer hiding. The map is the single source for both the menu and the route guard so they cannot drift. While a session saved before this field existed is being re-hydrated (the app re-reads /identity/users/me on load), nothing is blocked client-side — the API still enforces every call.</w:t>
      </w:r>
    </w:p>
    <w:p>
      <w:pPr>
        <w:pStyle w:val="BodyText"/>
      </w:pPr>
      <w:r>
        <w:t>This is presentation and navigation only — no new permission codes, no schema change, no change to what the API allows (every endpoint keeps its own permission check). Verified with the running system: signed in as Sales Manager (product.manage, sales.order.manage, customer.manage, expense.create, expense.approve.manager, leave.approve) the sidebar shows only Dashboard, Product Manager, Order Management, Inventory, Customers (CRM), Marketing &amp; Promos, CMS / Site Builder, Leave Requests, the whole My HR group and Expenses — nothing else — and navigating to /users redirects to the Dashboard.</w:t>
      </w:r>
    </w:p>
    <w:p>
      <w:pPr>
        <w:pStyle w:val="Heading2"/>
      </w:pPr>
      <w:r>
        <w:t>Impact on this document</w:t>
      </w:r>
    </w:p>
    <w:p>
      <w:pPr>
        <w:pStyle w:val="BodyText"/>
      </w:pPr>
      <w:r>
        <w:t>No feasibility impact — a client-side navigation filter plus two additional fields on an existing response. No new technology, infrastructure or skills.</w:t>
      </w:r>
    </w:p>
    <w:p>
      <w:pPr>
        <w:pStyle w:val="Heading1"/>
      </w:pPr>
      <w:r>
        <w:t>Implementation Status Update 29 (27 August 2026) — Customer Storefront Localisation (Uganda Languages)</w:t>
      </w:r>
    </w:p>
    <w:p>
      <w:pPr>
        <w:pStyle w:val="BodyText"/>
      </w:pPr>
      <w:r>
        <w:t>A customer can now switch the Customer Storefront into any of Uganda's languages from a picker in the header, and on the Landing and Login screens before sign-in. The choice is remembered in that browser (localStorage 'storefront.lang') and also sets the page's HTML lang attribute.</w:t>
      </w:r>
    </w:p>
    <w:p>
      <w:pPr>
        <w:pStyle w:val="BodyText"/>
      </w:pPr>
      <w:r>
        <w:t>Coverage (agreed scope: framework + key strings + English fallback):</w:t>
      </w:r>
    </w:p>
    <w:p>
      <w:pPr>
        <w:pStyle w:val="BodyText"/>
      </w:pPr>
      <w:r>
        <w:t>•  Languages offered: the two official languages (English, Kiswahili) plus Uganda's indigenous languages grouped by family in the picker — Bantu (Luganda, Runyankole, Rukiga, Lusoga, Rutooro, Lumasaba, Kinyarwanda), Nilotic (Ateso, Acholi, Lango, Karamojong, Alur, Kakwa) and Central Sudanic (Lugbara, Ma'di, Aringa).</w:t>
      </w:r>
    </w:p>
    <w:p>
      <w:pPr>
        <w:pStyle w:val="BodyText"/>
      </w:pPr>
      <w:r>
        <w:t>•  Translated now: English is the complete baseline; Kiswahili and Luganda cover the key UI strings (navigation, header, buttons, page headings, common labels); Runyankole and Acholi are partial.</w:t>
      </w:r>
    </w:p>
    <w:p>
      <w:pPr>
        <w:pStyle w:val="BodyText"/>
      </w:pPr>
      <w:r>
        <w:t>•  Fallback: any string not yet translated for the chosen language renders in English, key by key, so a page is never half-blank; untranslated languages are listed and marked accordingly for translators to fill.</w:t>
      </w:r>
    </w:p>
    <w:p>
      <w:pPr>
        <w:pStyle w:val="BodyText"/>
      </w:pPr>
      <w:r>
        <w:t>•  Not translated in this pass: long body / marketing prose, and any server-generated text (statuses, e-mails) — the preference is applied in the browser only; no API response changes.</w:t>
      </w:r>
    </w:p>
    <w:p>
      <w:pPr>
        <w:pStyle w:val="BodyText"/>
      </w:pPr>
      <w:r>
        <w:t>Mechanism: mbms/storefront/src/locales/index.js holds LANGUAGE_LIST (code, English label, local name, language family) and LOCALES — one flat key-to-string table per language, with the English table complete. mbms/storefront/src/lib/i18n.jsx provides an I18nProvider (reads and persists the choice, sets document lang) and a t(key, vars) helper that returns the chosen language's string, else English, else the key, interpolating {name}-style placeholders. A LanguageSwitcher component (grouped by family) sits in the storefront header and on the Landing and Login screens; all eleven storefront pages call t() for their navigation, headings and primary buttons.</w:t>
      </w:r>
    </w:p>
    <w:p>
      <w:pPr>
        <w:pStyle w:val="BodyText"/>
      </w:pPr>
      <w:r>
        <w:t>No back-end, database or API change — the language preference lives only in the customer's browser. Verified with the running storefront: the home page in Luganda (navigation “Awaka / Edduuka / Ebiragiro Byange / Inivoosi n'Ebisasulo / Obuyambi / Akakawunti Kange”, welcome “Tukwanirizza nate, …”) and the login screen in Kiswahili (“Barua pepe au Nambari ya Akaunti”, “Nywila”, “Ingia”); switching to a not-yet-translated language falls back to English cleanly.</w:t>
      </w:r>
    </w:p>
    <w:p>
      <w:pPr>
        <w:pStyle w:val="Heading2"/>
      </w:pPr>
      <w:r>
        <w:t>Impact on this document</w:t>
      </w:r>
    </w:p>
    <w:p>
      <w:pPr>
        <w:pStyle w:val="BodyText"/>
      </w:pPr>
      <w:r>
        <w:t>Operationally straightforward and low-risk: a client-side translation layer with English fallback, no new runtime dependency, no infrastructure. Translation of the remaining languages is a content task for native speakers, not an engineering blocker.</w:t>
      </w:r>
    </w:p>
    <w:p>
      <w:pPr>
        <w:pStyle w:val="Heading1"/>
      </w:pPr>
      <w:r>
        <w:t>Implementation Status Update 30 (27 August 2026) — Storefront Localisation Extended to World Languages</w:t>
      </w:r>
    </w:p>
    <w:p>
      <w:pPr>
        <w:pStyle w:val="BodyText"/>
      </w:pPr>
      <w:r>
        <w:t>The Customer Storefront language picker, introduced the same day for Uganda's languages, is extended to the major languages of every continent — 43 languages in total. The picker groups them: Uganda's language families first, then Africa, Asia, Europe, the Americas and Oceania.</w:t>
      </w:r>
    </w:p>
    <w:p>
      <w:pPr>
        <w:pStyle w:val="BodyText"/>
      </w:pPr>
      <w:r>
        <w:t>What changed from the Uganda-languages pass:</w:t>
      </w:r>
    </w:p>
    <w:p>
      <w:pPr>
        <w:pStyle w:val="BodyText"/>
      </w:pPr>
      <w:r>
        <w:t>•  Languages added: Africa — Arabic, Hausa, Yoruba, Igbo, Amharic, Zulu; Asia — Mandarin Chinese, Hindi, Bengali, Japanese, Indonesian, Russian, Turkish; Europe — German, French, Spanish, Italian; the Americas — Portuguese, Quechua, Guarani; Oceania — Tok Pisin, Māori, Samoan, Tongan, Fijian.</w:t>
      </w:r>
    </w:p>
    <w:p>
      <w:pPr>
        <w:pStyle w:val="BodyText"/>
      </w:pPr>
      <w:r>
        <w:t>•  Now translated (key UI): in addition to English (complete), Kiswahili and Luganda, the key UI strings are translated for French, Spanish, Portuguese, German, Italian and Arabic; Runyankole and Acholi remain partial; every other language falls back to English key by key.</w:t>
      </w:r>
    </w:p>
    <w:p>
      <w:pPr>
        <w:pStyle w:val="BodyText"/>
      </w:pPr>
      <w:r>
        <w:t>•  Right-to-left: Arabic is the first right-to-left language; selecting it flips the document direction (the HTML dir attribute) and a small dir='rtl' block in the stylesheet corrects the few physically-placed elements. Any right-to-left language added later behaves the same way.</w:t>
      </w:r>
    </w:p>
    <w:p>
      <w:pPr>
        <w:pStyle w:val="BodyText"/>
      </w:pPr>
      <w:r>
        <w:t>•  Unchanged: still a front-end-only change — the preference lives in the customer's browser; no API, database schema or migration is affected, and server-generated text is not translated in this pass.</w:t>
      </w:r>
    </w:p>
    <w:p>
      <w:pPr>
        <w:pStyle w:val="BodyText"/>
      </w:pPr>
      <w:r>
        <w:t>Mechanism: LANGUAGE_LIST in mbms/storefront/src/locales/index.js gains the world languages (each with a code, English label, local/native name and a group), plus an optional dir: 'rtl' marker and a dirForLang() helper. LOCALES gains a translated key-string table for fr, es, pt, de, it and ar, and an empty (English-fallback) entry for every other new code. lib/i18n.jsx now also sets document.documentElement.dir on each language change. LanguageSwitcher already groups by the region field, so it renders the new continent groups without change. No storefront page needed editing — they were already wired to t() in the previous pass.</w:t>
      </w:r>
    </w:p>
    <w:p>
      <w:pPr>
        <w:pStyle w:val="BodyText"/>
      </w:pPr>
      <w:r>
        <w:t>Verified with the running storefront: the home page in French (navigation “Accueil / Boutique / Mes commandes / Factures et paiements / Assistance / Mon compte”, welcome “Bon retour, …”), and the login and home screens in Arabic with the entire layout mirrored right-to-left (“تسجيل الدخول”, “البريد الإلكتروني أو رقم الحساب”). Languages without a translation yet fall back to English cleanly.</w:t>
      </w:r>
    </w:p>
    <w:p>
      <w:pPr>
        <w:pStyle w:val="Heading2"/>
      </w:pPr>
      <w:r>
        <w:t>Impact on this document</w:t>
      </w:r>
    </w:p>
    <w:p>
      <w:pPr>
        <w:pStyle w:val="BodyText"/>
      </w:pPr>
      <w:r>
        <w:t>No new feasibility considerations beyond the Uganda-languages pass; the same client-side pattern, now with a right-to-left case (Arabic) handled by flipping the document direction. Still low-risk and dependency-free.</w:t>
      </w:r>
    </w:p>
    <w:p>
      <w:pPr>
        <w:pStyle w:val="Heading1"/>
      </w:pPr>
      <w:r>
        <w:t>Implementation Status Update 31 (27 August 2026) — Full Storefront Localisation (Every Screen)</w:t>
      </w:r>
    </w:p>
    <w:p>
      <w:pPr>
        <w:pStyle w:val="BodyText"/>
      </w:pPr>
      <w:r>
        <w:t>When a customer changes language, the WHOLE Customer Storefront now changes, not only the navigation and page headings. Every visible string was pulled into the translation catalogue and every storefront component was wired to render through it.</w:t>
      </w:r>
    </w:p>
    <w:p>
      <w:pPr>
        <w:pStyle w:val="BodyText"/>
      </w:pPr>
      <w:r>
        <w:t>What this pass covered:</w:t>
      </w:r>
    </w:p>
    <w:p>
      <w:pPr>
        <w:pStyle w:val="BodyText"/>
      </w:pPr>
      <w:r>
        <w:t>•  Full string extraction: about 190 keys covering all eleven storefront pages, the shared Layout, and the public Landing page (hero, feature cards, the how-it-works steps, footer and the full five-point disclaimer modal).</w:t>
      </w:r>
    </w:p>
    <w:p>
      <w:pPr>
        <w:pStyle w:val="BodyText"/>
      </w:pPr>
      <w:r>
        <w:t>•  Every UI element keyed: form labels, input placeholders, empty-state messages, table headers, buttons, breadcrumb trails, error and success banners, and the order / invoice / ticket status and priority badges (new tStatus() / tPriority() helpers, replacing the raw UPPER-CASE humaniser for any value present in the catalogue).</w:t>
      </w:r>
    </w:p>
    <w:p>
      <w:pPr>
        <w:pStyle w:val="BodyText"/>
      </w:pPr>
      <w:r>
        <w:t>•  Nine languages complete: English is the baseline; Kiswahili, Luganda, French, Spanish, Portuguese, German, Italian and Arabic are now translated in full, so selecting any of them changes every screen. Runyankole and Acholi remain partial; all other languages fall back to English string by string.</w:t>
      </w:r>
    </w:p>
    <w:p>
      <w:pPr>
        <w:pStyle w:val="BodyText"/>
      </w:pPr>
      <w:r>
        <w:t>•  Unchanged: still a front-end-only change — no API, database schema or migration is affected. Server-supplied data (company names, product names, monetary amounts) is shown exactly as the API returns it.</w:t>
      </w:r>
    </w:p>
    <w:p>
      <w:pPr>
        <w:pStyle w:val="BodyText"/>
      </w:pPr>
      <w:r>
        <w:t>Mechanism: the catalogue was split for maintainability into mbms/storefront/src/locales/en.js (the complete key set), eu.js (French, Spanish, Portuguese, German, Italian) and regional.js (Swahili, Luganda, Arabic in full; Runyankole and Acholi partial), assembled by locales/index.js which also exposes FULLY_TRANSLATED_LANGS. lib/i18n.jsx gained tStatus() and tPriority(), which look up status.* / priority.* keys and fall back to the previous humanised form for any enum not in the catalogue. Every page component (Home, Shop, Product Detail, Cart, Orders, Invoices, Make Payment, Support, Account, Login, Landing) now renders exclusively through t() / tStatus() / tPriority(); lib/format.js's statusLabel is no longer used by the UI.</w:t>
      </w:r>
    </w:p>
    <w:p>
      <w:pPr>
        <w:pStyle w:val="BodyText"/>
      </w:pPr>
      <w:r>
        <w:t>Verified against the running storefront: the French Orders screen (status column, order tracker steps, filter and buttons all translated), the German Account screen (every field label, payment terms, add-address button), and the Arabic Home screen — each rendered entirely in the chosen language, with Arabic mirrored right-to-left, and only server-supplied data left in its original form. Selecting a not-yet-translated language leaves each individual string in English rather than blank.</w:t>
      </w:r>
    </w:p>
    <w:p>
      <w:pPr>
        <w:pStyle w:val="Heading2"/>
      </w:pPr>
      <w:r>
        <w:t>Impact on this document</w:t>
      </w:r>
    </w:p>
    <w:p>
      <w:pPr>
        <w:pStyle w:val="BodyText"/>
      </w:pPr>
      <w:r>
        <w:t>No new feasibility considerations — the same client-side catalogue-and-fallback pattern, applied exhaustively. The remaining work is translation content for the other listed languages, not engineering.</w:t>
      </w:r>
    </w:p>
    <w:p>
      <w:pPr>
        <w:pStyle w:val="Heading1"/>
      </w:pPr>
      <w:r>
        <w:t>Implementation Status Update 32 (27 August 2026) — Database Content Localisation (Read in Language, Store in English)</w:t>
      </w:r>
    </w:p>
    <w:p>
      <w:pPr>
        <w:pStyle w:val="BodyText"/>
      </w:pPr>
      <w:r>
        <w:t>Localisation now reaches the data, not only the interface. A customer sees database values in the language they chose, and anything a customer types is stored in English — with their exact original wording kept alongside so nothing is lost.</w:t>
      </w:r>
    </w:p>
    <w:p>
      <w:pPr>
        <w:pStyle w:val="BodyText"/>
      </w:pPr>
      <w:r>
        <w:t>The two directions:</w:t>
      </w:r>
    </w:p>
    <w:p>
      <w:pPr>
        <w:pStyle w:val="BodyText"/>
      </w:pPr>
      <w:r>
        <w:t>•  Read — data shown in the customer's language: the storefront sends an Accept-Language header on every request; the customer-portal endpoints map product and category names, units of measure, and the glossary-reachable parts of descriptions and support-ticket text into that language on the way out. Database rows are unchanged.</w:t>
      </w:r>
    </w:p>
    <w:p>
      <w:pPr>
        <w:pStyle w:val="BodyText"/>
      </w:pPr>
      <w:r>
        <w:t>•  Write — customer input stored in English: when a customer submits a support ticket, a ticket reply or a delivery address in another language, the text is normalised to English for storage; the row keeps a source_language marker and *_original columns holding the customer's exact words. The customer sees their own wording back while browsing in that language; staff see and store English, with a “show customer's original” toggle on the Support Tickets screen.</w:t>
      </w:r>
    </w:p>
    <w:p>
      <w:pPr>
        <w:pStyle w:val="BodyText"/>
      </w:pPr>
      <w:r>
        <w:t>•  Curated glossary: a bidirectional phrase- and token-level map covers the finite storefront vocabulary — category names, units, address words, and the recurring tokens in product names. Order / invoice / ticket status and priority values are covered by the existing UI catalogue, not the glossary.</w:t>
      </w:r>
    </w:p>
    <w:p>
      <w:pPr>
        <w:pStyle w:val="BodyText"/>
      </w:pPr>
      <w:r>
        <w:t>•  Free-form prose: arbitrary text outside the glossary passes through a TranslationProvider seam whose bundled implementation is a no-op — this proof-of-concept is offline with no translation service. A real provider (a hosted MT service or an LLM) plugs in there and is selected with CONTENT_TRANSLATION_PROVIDER.</w:t>
      </w:r>
    </w:p>
    <w:p>
      <w:pPr>
        <w:pStyle w:val="BodyText"/>
      </w:pPr>
      <w:r>
        <w:t>Mechanism: a new mbms/backend/src/common/translation module — content-glossary.ts (the bidirectional vocabulary), translation.provider.ts (the provider interface plus the no-op IdentityTranslationProvider), content-translation.service.ts (resolveLang from Accept-Language, toLocale for read, toEnglish for write) and a @Global translation.module.ts. One Prisma migration (content_translation_originals) adds source_language and *_original columns to support_tickets, ticket_messages and delivery_addresses. The customer-portal catalog, support and account controllers read the header; SupportService and CustomerAccountService normalise inbound text and persist the originals; the staff SupportService resource and the admin Support Tickets screen expose them.</w:t>
      </w:r>
    </w:p>
    <w:p>
      <w:pPr>
        <w:pStyle w:val="BodyText"/>
      </w:pPr>
      <w:r>
        <w:t>Verified against the running API: catalogue categories return as “Pembejeo za Kilimo / Mafuta / Ghala” in Swahili and product names token-translate (“Maïs Semence — 25kg Sac” in French); a support ticket written in Luganda is stored with an English subject/description, source_language 'lg', and the Luganda originals preserved — the customer still sees their own words, and the same customer viewing in French gets the English glossary-translated into French, not the Luganda original.</w:t>
      </w:r>
    </w:p>
    <w:p>
      <w:pPr>
        <w:pStyle w:val="Heading2"/>
      </w:pPr>
      <w:r>
        <w:t>Impact on this document</w:t>
      </w:r>
    </w:p>
    <w:p>
      <w:pPr>
        <w:pStyle w:val="BodyText"/>
      </w:pPr>
      <w:r>
        <w:t>Operationally sound and low-risk. The read mapping and the write normalisation are a thin server-side layer over existing endpoints; the only hard limit — machine translation of arbitrary prose — is isolated behind a provider interface that an online deployment can fill.</w:t>
      </w:r>
    </w:p>
    <w:p>
      <w:pPr>
        <w:pStyle w:val="Heading1"/>
      </w:pPr>
      <w:r>
        <w:t>Implementation Status Update 33 (27 August 2026) — Currency &amp; Figure Localisation (Convert for Display, Store Canonical)</w:t>
      </w:r>
    </w:p>
    <w:p>
      <w:pPr>
        <w:pStyle w:val="BodyText"/>
      </w:pPr>
      <w:r>
        <w:t>Localisation now covers money and numerals. A customer sees amounts and figures in the form their language expects; the database keeps a single canonical form (English words, Uganda Shillings, Western 0-9 digits).</w:t>
      </w:r>
    </w:p>
    <w:p>
      <w:pPr>
        <w:pStyle w:val="BodyText"/>
      </w:pPr>
      <w:r>
        <w:t>The behaviour:</w:t>
      </w:r>
    </w:p>
    <w:p>
      <w:pPr>
        <w:pStyle w:val="BodyText"/>
      </w:pPr>
      <w:r>
        <w:t>•  Currency conversion for display: amounts come from the API in Uganda Shillings (UGX). When the customer's chosen language belongs to a region that uses another currency, the storefront converts the amount and formats it for that locale — currency name, value, thousands grouping and decimal mark all follow it. Uganda's languages keep UGX unchanged.</w:t>
      </w:r>
    </w:p>
    <w:p>
      <w:pPr>
        <w:pStyle w:val="BodyText"/>
      </w:pPr>
      <w:r>
        <w:t>•  Numerals in the language's script: digits in localised database text (for example the “25kg” inside a translated product name) and standalone figures (quantities, stock, dashboard counts) are shown in the language's own digit script where it has one — Arabic-Indic for Arabic, Western for the rest.</w:t>
      </w:r>
    </w:p>
    <w:p>
      <w:pPr>
        <w:pStyle w:val="BodyText"/>
      </w:pPr>
      <w:r>
        <w:t>•  Fixed demo rates: conversion uses single constant rates (UGX per unit: USD 3800, EUR 4150, AED 1022, BRL 700), consistent with the existing “no live FX feed” position for this proof-of-concept; a real feed replaces the constants.</w:t>
      </w:r>
    </w:p>
    <w:p>
      <w:pPr>
        <w:pStyle w:val="BodyText"/>
      </w:pPr>
      <w:r>
        <w:t>•  Storage stays canonical: nothing about the stored data changes — monetary columns remain UGX, and any numeral a customer types in a non-Western script is transliterated to 0-9 before storage (their original characters are kept in the *_original columns from the previous change).</w:t>
      </w:r>
    </w:p>
    <w:p>
      <w:pPr>
        <w:pStyle w:val="BodyText"/>
      </w:pPr>
      <w:r>
        <w:t>Mechanism: mbms/storefront/src/lib/format.js gains locale-aware helpers — money() (currency conversion + Intl.NumberFormat with currencyDisplay:'name'), figure() (locale-formatted integers) and localizeDigits() — driven by CURRENCY_BY_LANG, UGX_PER_UNIT and LOCALE_TAG maps. On the backend, ContentTranslationService.toLocale also transliterates digits in text for scripts that need it (DIGIT_SCRIPTS), and toEnglish runs toWesternDigits on every inbound string first — even for an otherwise-unsupported language — so “٥” is stored as “5”. No database schema change and no new endpoint.</w:t>
      </w:r>
    </w:p>
    <w:p>
      <w:pPr>
        <w:pStyle w:val="BodyText"/>
      </w:pPr>
      <w:r>
        <w:t>Verified against the running storefront: in Arabic, catalogue prices read as “93.93 درهم إماراتي” with Arabic-Indic digits in product names (“… ١٠kg …”); in French, every amount is EUR with fr-FR formatting (“3 687,04 euros”). A support ticket typed in Arabic with Arabic-Indic digits is stored with Western digits and the exact original preserved.</w:t>
      </w:r>
    </w:p>
    <w:p>
      <w:pPr>
        <w:pStyle w:val="Heading2"/>
      </w:pPr>
      <w:r>
        <w:t>Impact on this document</w:t>
      </w:r>
    </w:p>
    <w:p>
      <w:pPr>
        <w:pStyle w:val="BodyText"/>
      </w:pPr>
      <w:r>
        <w:t>No new feasibility concern — display-side conversion with fixed demo rates and deterministic digit handling. A production feed for live rates is a small, well-understood addition behind the same constants.</w:t>
      </w:r>
    </w:p>
    <w:p>
      <w:pPr>
        <w:pStyle w:val="Heading1"/>
      </w:pPr>
      <w:r>
        <w:t>Implementation Status Update 34 (27 August 2026) — Subsidiary Lifecycle &amp; Clearing / Forwarding Subsidiary</w:t>
      </w:r>
    </w:p>
    <w:p>
      <w:pPr>
        <w:pStyle w:val="BodyText"/>
      </w:pPr>
      <w:r>
        <w:t>The Managing Director asked to be able to view, create, update, delete and activate/deactivate subsidiaries and everything under them (users, branches, departments, policies), and to set up a new Clearing, Forwarding &amp; Logistics subsidiary. Both are done: the subsidiary lifecycle is fully manageable, and “Morise Clearing &amp; Forwarding Ltd” now exists as a real subsidiary.</w:t>
      </w:r>
    </w:p>
    <w:p>
      <w:pPr>
        <w:pStyle w:val="BodyText"/>
      </w:pPr>
      <w:r>
        <w:t>What was delivered:</w:t>
      </w:r>
    </w:p>
    <w:p>
      <w:pPr>
        <w:pStyle w:val="BodyText"/>
      </w:pPr>
      <w:r>
        <w:t>•  MD gains full company + user administration: the Managing Director role now holds organization.company.manage and identity.user.manage in addition to its group-wide view, so an MD can create and change subsidiaries and the users, branches, departments and policies under them (previously view-only).</w:t>
      </w:r>
    </w:p>
    <w:p>
      <w:pPr>
        <w:pStyle w:val="BodyText"/>
      </w:pPr>
      <w:r>
        <w:t>•  Delete and execute controls added: new endpoints — DELETE /organization/companies/{id} (and the same for branches, departments and policies), plus POST .../companies/{id}/activate and /deactivate. A company can only be hard-deleted once it is genuinely empty; otherwise the response says to deactivate it instead. The root holding company can never be deleted or deactivated. Every action is audited (organization.*.deleted / .updated).</w:t>
      </w:r>
    </w:p>
    <w:p>
      <w:pPr>
        <w:pStyle w:val="BodyText"/>
      </w:pPr>
      <w:r>
        <w:t>•  Admin UI: the Companies list gains per-row Activate/Deactivate and Delete for subsidiaries; the Company detail screen gains Delete on each branch, department and policy row and Activate/Deactivate/Delete for the subsidiary itself. All gated to Managing Director / Super Administrator / IT Administrator.</w:t>
      </w:r>
    </w:p>
    <w:p>
      <w:pPr>
        <w:pStyle w:val="BodyText"/>
      </w:pPr>
      <w:r>
        <w:t>•  New subsidiary seeded: Morise Clearing &amp; Forwarding Ltd — wholly-owned (100%), UGX — with six border/airport branches (Kampala HQ, Malaba, Busia, Entebbe Airport, Mutukula, Elegu), eight departments (Customs Clearance, Freight Forwarding, Warehousing, Logistics &amp; Supply Chain, Export Facilitation, Fleet Management, Client Services, Finance &amp; Billing) and four starter policies (KYC, disbursement pre-funding, demurrage escalation, tax/levy rate configuration).</w:t>
      </w:r>
    </w:p>
    <w:p>
      <w:pPr>
        <w:pStyle w:val="BodyText"/>
      </w:pPr>
      <w:r>
        <w:t>The subsidiary's multi-module clearing/forwarding/logistics system — sixteen feature areas covering client &amp; CRM, job files, customs clearance with the URA duty/tax engine, freight forwarding, logistics &amp; supply chain, export facilitation, warehousing, multi-branch management, finance &amp; billing, document management, tracking &amp; notifications, reporting &amp; analytics, compliance &amp; risk, integrations, mobile apps and administration/security — is specified in a new document, 19_Clearing, Forwarding and Logistics System — Feature Specification, with a five-phase delivery backlog. None of those modules are built in the current MBMS slice; where the platform already has a capability (identity, org, finance, audit, notifications) the subsidiary will reuse it.</w:t>
      </w:r>
    </w:p>
    <w:p>
      <w:pPr>
        <w:pStyle w:val="BodyText"/>
      </w:pPr>
      <w:r>
        <w:t>Changes: backend organization service — companies/branches/departments/policies services and controllers gain remove(), companies gains setStatus() with activate/deactivate endpoints; seed.ts grants the MD role the two permissions and seeds the subsidiary org structure; admin frontend Companies.jsx and CompanyDetail.jsx gain the delete / activate-deactivate controls. No schema change. Verified end-to-end: the MD created, updated, added branch/department/policy to and deleted a test subsidiary, activated/deactivated it, and was correctly blocked (409, “deactivate instead”) from deleting the populated Clearing &amp; Forwarding subsidiary.</w:t>
      </w:r>
    </w:p>
    <w:p>
      <w:pPr>
        <w:pStyle w:val="Heading2"/>
      </w:pPr>
      <w:r>
        <w:t>Impact on this document</w:t>
      </w:r>
    </w:p>
    <w:p>
      <w:pPr>
        <w:pStyle w:val="BodyText"/>
      </w:pPr>
      <w:r>
        <w:t>No feasibility impact for the lifecycle change (CRUD over existing entities). The new subsidiary's own system (doc 19) is a substantial future build; feasibility for it will be assessed when that phase is scheduled.</w:t>
      </w:r>
    </w:p>
    <w:p>
      <w:pPr>
        <w:pStyle w:val="Heading1"/>
      </w:pPr>
      <w:r>
        <w:t>Implementation Status Update 35 (27 August 2026) — Warehouse Management Subsidiary</w:t>
      </w:r>
    </w:p>
    <w:p>
      <w:pPr>
        <w:pStyle w:val="BodyText"/>
      </w:pPr>
      <w:r>
        <w:t>Using the subsidiary-lifecycle capability delivered in the previous change, the Managing Director set up a second new subsidiary: a multi-branch warehouse operation for Uganda. It exists as a real, manageable subsidiary; its Warehouse Management System is specified as future scope.</w:t>
      </w:r>
    </w:p>
    <w:p>
      <w:pPr>
        <w:pStyle w:val="BodyText"/>
      </w:pPr>
      <w:r>
        <w:t>What was delivered:</w:t>
      </w:r>
    </w:p>
    <w:p>
      <w:pPr>
        <w:pStyle w:val="BodyText"/>
      </w:pPr>
      <w:r>
        <w:t>•  New subsidiary seeded: Morise Warehouse Management Ltd — wholly-owned (100%), UGX — a subsidiary of Morise Holdings Limited.</w:t>
      </w:r>
    </w:p>
    <w:p>
      <w:pPr>
        <w:pStyle w:val="BodyText"/>
      </w:pPr>
      <w:r>
        <w:t>•  Branches: five warehouse branches: Kampala Central, Jinja, Mbarara, Gulu and Mbale.</w:t>
      </w:r>
    </w:p>
    <w:p>
      <w:pPr>
        <w:pStyle w:val="BodyText"/>
      </w:pPr>
      <w:r>
        <w:t>•  Departments: nine: Branch Operations, Inventory Control, Receiving &amp; Putaway, Order Fulfilment, Yard &amp; Dock, Reporting &amp; BI, IT &amp; Integrations, Compliance &amp; Security, and Field &amp; Mobile Operations.</w:t>
      </w:r>
    </w:p>
    <w:p>
      <w:pPr>
        <w:pStyle w:val="BodyText"/>
      </w:pPr>
      <w:r>
        <w:t>•  Starter policies: FEFO/FIFO stock rotation, cycle-count schedule, write-off &amp; transfer approval threshold, EFRIS/VAT configuration, and offline operation &amp; sync.</w:t>
      </w:r>
    </w:p>
    <w:p>
      <w:pPr>
        <w:pStyle w:val="BodyText"/>
      </w:pPr>
      <w:r>
        <w:t>The subsidiary's Warehouse Management System — twelve feature areas covering multi-location &amp; branch management, core inventory (batch/lot, serial, multi-UOM, cycle counting, ABC), receiving &amp; putaway with barcode scanning and cross-docking, order fulfilment (wave/zone picking, kitting, manifests, carrier integration), Uganda-specific features (multi-currency, 18% VAT with EFRIS/URA, mobile money, offline mode, Luganda/Swahili/Runyankole-Rukiga interfaces, power-outage resilience, road-condition alerts), yard &amp; dock management, reporting &amp; BI, integrations &amp; APIs, mobile &amp; field capabilities, security &amp; compliance (aligned with the Data Protection and Privacy Act 2019), advanced/future-ready features (AI forecasting, IoT cold-chain, RFID, AGV, blockchain traceability) and user management &amp; workflow — is specified in a new document, 20_Warehouse Management System (WMS) — Feature Specification, with a five-phase delivery backlog. None of those modules are built in the current MBMS slice; the WMS reuses the platform's identity, organisation, finance, audit, notification and localisation capabilities where they already exist.</w:t>
      </w:r>
    </w:p>
    <w:p>
      <w:pPr>
        <w:pStyle w:val="BodyText"/>
      </w:pPr>
      <w:r>
        <w:t>Changes: seed.ts seeds the subsidiary org structure (company, 5 branches, 9 departments, 5 policies) under the holding company. No code or schema change — the Managing Director already has full create/update/delete/activate over subsidiaries and their branches, departments and policies from the previous change. Verified: as the Managing Director, the subsidiary and all five branches, nine departments and five policies are visible and manageable through the admin Companies screens.</w:t>
      </w:r>
    </w:p>
    <w:p>
      <w:pPr>
        <w:pStyle w:val="Heading2"/>
      </w:pPr>
      <w:r>
        <w:t>Impact on this document</w:t>
      </w:r>
    </w:p>
    <w:p>
      <w:pPr>
        <w:pStyle w:val="BodyText"/>
      </w:pPr>
      <w:r>
        <w:t>No feasibility impact for adding the subsidiary record. The WMS itself (doc 20) is a substantial future build; feasibility for it will be assessed when that phase is scheduled, including the offline-mode and EFRIS-integration requirements specific to Uganda.</w:t>
      </w:r>
    </w:p>
    <w:p>
      <w:pPr>
        <w:pStyle w:val="Heading1"/>
      </w:pPr>
      <w:r>
        <w:t>Implementation Status Update 36 (28 August 2026) — Inventory Section Activated</w:t>
      </w:r>
    </w:p>
    <w:p>
      <w:pPr>
        <w:pStyle w:val="BodyText"/>
      </w:pPr>
      <w:r>
        <w:t>The Admin sidebar's Inventory item, under ADMIN / BACKEND, was a “Coming Soon” placeholder from the navigation redesign. It is now a working screen: company-level stock on hand, per-product re-order points, stock adjustments and an immutable movement ledger.</w:t>
      </w:r>
    </w:p>
    <w:p>
      <w:pPr>
        <w:pStyle w:val="BodyText"/>
      </w:pPr>
      <w:r>
        <w:t>What was delivered:</w:t>
      </w:r>
    </w:p>
    <w:p>
      <w:pPr>
        <w:pStyle w:val="BodyText"/>
      </w:pPr>
      <w:r>
        <w:t>•  Stock on hand: each product keeps one stock-on-hand figure (products.stock_quantity). The Inventory screen lists every product with its code, category, unit of measure, on-hand quantity, unit price, stock value and a status of In stock / Low / Out of stock.</w:t>
      </w:r>
    </w:p>
    <w:p>
      <w:pPr>
        <w:pStyle w:val="BodyText"/>
      </w:pPr>
      <w:r>
        <w:t>•  Re-order points: a new products.reorder_point column. A product at or below its re-order point is flagged Low; at zero it is flagged Out of stock. Set or cleared from the screen (PUT /inventory/products/{id}/reorder-point).</w:t>
      </w:r>
    </w:p>
    <w:p>
      <w:pPr>
        <w:pStyle w:val="BodyText"/>
      </w:pPr>
      <w:r>
        <w:t>•  Stock adjustments: POST /inventory/adjustments records one change: receipt (goods in, adds), issue (goods out, subtracts, with an over-issue guard — 409 if more than is in stock), or count (a physical count; the counted figure becomes the on-hand and the signed difference is recorded). Requires product.manage.</w:t>
      </w:r>
    </w:p>
    <w:p>
      <w:pPr>
        <w:pStyle w:val="BodyText"/>
      </w:pPr>
      <w:r>
        <w:t>•  Movement ledger: a new stock_movements table (with a StockMovementType enum: receipt / issue / count). Every adjustment writes an immutable row — signed quantity, resulting balance, reason, reference, user and timestamp — shown newest-first on the screen's Movements tab and readable at GET /inventory/movements.</w:t>
      </w:r>
    </w:p>
    <w:p>
      <w:pPr>
        <w:pStyle w:val="BodyText"/>
      </w:pPr>
      <w:r>
        <w:t>•  Access &amp; audit: reads are scoped per BR-01 exactly like the product list (a user sees stock only for companies in their scope, unless they hold product.viewAll group-wide). Every adjustment and threshold change is written to the audit trail (inventory.stock.adjusted, inventory.reorder_point.updated).</w:t>
      </w:r>
    </w:p>
    <w:p>
      <w:pPr>
        <w:pStyle w:val="BodyText"/>
      </w:pPr>
      <w:r>
        <w:t>Backend: a new module, src/inventory (controller, service, DTOs), registered in app.module.ts. Migration 20260828120000_inventory_stock_movements adds products.reorder_point, the stock_movements table and the StockMovementType enum. The seed gives the catalogue products a re-order point and an opening-balance movement so the screen and ledger have content on a fresh database.</w:t>
      </w:r>
    </w:p>
    <w:p>
      <w:pPr>
        <w:pStyle w:val="BodyText"/>
      </w:pPr>
      <w:r>
        <w:t>Frontend: a new page, src/pages/Inventory.jsx, replacing the &lt;ComingSoon&gt; stub for /inventory in App.jsx; the sidebar entry loses its “Soon” badge. KPI tiles (stock-keeping units, low stock, out of stock, total stock value), a company selector, search and a low/out-of-stock filter, an Adjust dialog (type, quantity, reason, reference, with the projected new on-hand shown) and a Re-order point dialog. The route is permission-filtered like every other admin screen — visible to holders of product.viewAll or product.manage.</w:t>
      </w:r>
    </w:p>
    <w:p>
      <w:pPr>
        <w:pStyle w:val="BodyText"/>
      </w:pPr>
      <w:r>
        <w:t>Scope boundary: this is company-level inventory only — one stock figure per product. Per-branch stock balances, bin/location tracking and inter-branch transfers remain Warehouse Management System scope (20_Warehouse Management System (WMS) — Feature Specification, Module 2 “Core Inventory Management”); this Update is the first working slice of that module on the shared platform. No change to roles or permissions — the existing product.viewAll / product.manage pair gates the screen.</w:t>
      </w:r>
    </w:p>
    <w:p>
      <w:pPr>
        <w:pStyle w:val="Heading2"/>
      </w:pPr>
      <w:r>
        <w:t>Impact on this document</w:t>
      </w:r>
    </w:p>
    <w:p>
      <w:pPr>
        <w:pStyle w:val="BodyText"/>
      </w:pPr>
      <w:r>
        <w:t>Feasibility: delivered on the existing stack with one small migration (a column, a table, an enum). The larger multi-warehouse capability (per-branch balances, transfers, putaway) is deliberately deferred to the WMS backlog (doc 20) and is not part of this slice.</w:t>
      </w:r>
    </w:p>
    <w:p>
      <w:pPr>
        <w:pStyle w:val="Heading1"/>
      </w:pPr>
      <w:r>
        <w:t>Implementation Status Update 37 (28 August 2026) — Marketing &amp; Promos and CMS / Site Builder Activated</w:t>
      </w:r>
    </w:p>
    <w:p>
      <w:pPr>
        <w:pStyle w:val="BodyText"/>
      </w:pPr>
      <w:r>
        <w:t>Two more ADMIN / BACKEND placeholders — Marketing &amp; Promos and CMS / Site Builder — are now working screens, and the customer storefront consumes both.</w:t>
      </w:r>
    </w:p>
    <w:p>
      <w:pPr>
        <w:pStyle w:val="BodyText"/>
      </w:pPr>
      <w:r>
        <w:t>What was delivered:</w:t>
      </w:r>
    </w:p>
    <w:p>
      <w:pPr>
        <w:pStyle w:val="BodyText"/>
      </w:pPr>
      <w:r>
        <w:t>•  Discount codes: a new discount_codes table (DiscountType percentage/fixed, DiscountCodeStatus). Staff create codes with a value, optional minimum order, validity window and redemption cap; the storefront validates a code at the cart (POST /customer-portal/discount-codes/validate) and the order-placement path re-validates and redeems it once, taking the discount off the subtotal before VAT and delivery. Orders gain discount_code and discount_amount columns.</w:t>
      </w:r>
    </w:p>
    <w:p>
      <w:pPr>
        <w:pStyle w:val="BodyText"/>
      </w:pPr>
      <w:r>
        <w:t>•  Promo banners: a new promo_banners table. Staff manage heading, body, link, placement, schedule and active flag; the storefront home renders the currently-live banners (GET /customer-portal/promo-banners).</w:t>
      </w:r>
    </w:p>
    <w:p>
      <w:pPr>
        <w:pStyle w:val="BodyText"/>
      </w:pPr>
      <w:r>
        <w:t>•  CMS content pages: a new content_blocks table (ContentBlockStatus draft/published). Each page has a working copy and a published snapshot; editing never affects what the storefront serves until Publish. The storefront renders published pages at /page/{slug} (GET /customer-portal/content, /content/{slug}) — About, Terms, Delivery are seeded.</w:t>
      </w:r>
    </w:p>
    <w:p>
      <w:pPr>
        <w:pStyle w:val="BodyText"/>
      </w:pPr>
      <w:r>
        <w:t>•  Access &amp; audit: two new permission pairs — marketing.manage / marketing.viewAll (operations domain) and cms.manage / cms.viewAll (governance domain). Reads need the viewAll or the manage code; writes need manage. Discount codes and banners are per-company and scoped per BR-01; content pages are site-wide. Every change is audited (marketing.discount_code.*, marketing.banner.*, cms.content_block.*).</w:t>
      </w:r>
    </w:p>
    <w:p>
      <w:pPr>
        <w:pStyle w:val="BodyText"/>
      </w:pPr>
      <w:r>
        <w:t>Backend: new modules src/marketing and src/cms, plus a customer-portal/storefront sub-module for the public content and authenticated promo/validate endpoints. A shared, database-free evaluateDiscountCode() is used by both the storefront validate endpoint and OrdersService so the cart and the placed order can never disagree on the discount. Migration 20260828160000_marketing_promos_cms adds the three tables, their enums and the two order columns. The seed adds demo discount codes (including an expired one), a promo banner and the About / Terms / Delivery content pages, and wires the four permissions to Super Administrator (all), Managing Director (viewAll), IT Administrator (all, demo break-glass) and Sales Manager (marketing).</w:t>
      </w:r>
    </w:p>
    <w:p>
      <w:pPr>
        <w:pStyle w:val="BodyText"/>
      </w:pPr>
      <w:r>
        <w:t>Admin frontend: new pages src/pages/Marketing.jsx (Discount codes / Banners tabs with CRUD and activate/deactivate) and src/pages/Cms.jsx (page list + editor + Save draft / Publish / Unpublish / Delete), replacing the &lt;ComingSoon&gt; stubs for /marketing and /cms in App.jsx; both sidebar entries lose their “Soon” badge and are permission-filtered on the new codes.</w:t>
      </w:r>
    </w:p>
    <w:p>
      <w:pPr>
        <w:pStyle w:val="BodyText"/>
      </w:pPr>
      <w:r>
        <w:t>Storefront: the cart gains a discount-code field that applies and shows a discount line and revised total; the home page renders active promo banners; a new public /page/{slug} route renders published content, linked from the Landing footer (About / Terms &amp; Conditions / Delivery &amp; Returns).</w:t>
      </w:r>
    </w:p>
    <w:p>
      <w:pPr>
        <w:pStyle w:val="Heading2"/>
      </w:pPr>
      <w:r>
        <w:t>Impact on this document</w:t>
      </w:r>
    </w:p>
    <w:p>
      <w:pPr>
        <w:pStyle w:val="BodyText"/>
      </w:pPr>
      <w:r>
        <w:t>Feasibility: delivered on the existing stack with one additive migration (three tables, three enums, two order columns). The discount rule is a single shared function so there is no cart-vs-checkout drift risk.</w:t>
      </w:r>
    </w:p>
    <w:p>
      <w:pPr>
        <w:pStyle w:val="Heading1"/>
      </w:pPr>
      <w:r>
        <w:t>Implementation Status Update 38 (28 August 2026) — Managing Director Full Control of Marketing &amp; CMS</w:t>
      </w:r>
    </w:p>
    <w:p>
      <w:pPr>
        <w:pStyle w:val="BodyText"/>
      </w:pPr>
      <w:r>
        <w:t>When Marketing &amp; Promos and CMS / Site Builder were activated earlier today, the Managing Director held only the read (viewAll) permissions for both — the create / edit / publish controls appeared but writes were refused (403). At the Managing Director's request, the role now holds the full manage permissions for both sections.</w:t>
      </w:r>
    </w:p>
    <w:p>
      <w:pPr>
        <w:pStyle w:val="BodyText"/>
      </w:pPr>
      <w:r>
        <w:t>What changed:</w:t>
      </w:r>
    </w:p>
    <w:p>
      <w:pPr>
        <w:pStyle w:val="BodyText"/>
      </w:pPr>
      <w:r>
        <w:t>•  Managing Director role: gains marketing.manage and cms.manage (it already held marketing.viewAll and cms.viewAll). Seeded in seed.ts alongside the organization.company.manage / identity.user.manage the role already holds for the subsidiary lifecycle.</w:t>
      </w:r>
    </w:p>
    <w:p>
      <w:pPr>
        <w:pStyle w:val="BodyText"/>
      </w:pPr>
      <w:r>
        <w:t>•  Marketing &amp; Promos: the Managing Director can now view, create, update, delete and execute (activate / deactivate) discount codes, and view, create, update and delete promotional banners, group-wide.</w:t>
      </w:r>
    </w:p>
    <w:p>
      <w:pPr>
        <w:pStyle w:val="BodyText"/>
      </w:pPr>
      <w:r>
        <w:t>•  CMS / Site Builder: the Managing Director can now view, create, update, publish, unpublish and delete storefront content pages.</w:t>
      </w:r>
    </w:p>
    <w:p>
      <w:pPr>
        <w:pStyle w:val="BodyText"/>
      </w:pPr>
      <w:r>
        <w:t>•  New endpoint: DELETE /api/v1/marketing/discount-codes/{id} was added so a discount code can be removed outright, not only deactivated. It is safe because orders.discount_code stores the code as text, so an order placed with a code keeps its record after the code is deleted. Requires marketing.manage.</w:t>
      </w:r>
    </w:p>
    <w:p>
      <w:pPr>
        <w:pStyle w:val="BodyText"/>
      </w:pPr>
      <w:r>
        <w:t>No schema change and no change to the delegation rules — marketing.manage is an operations-domain permission and cms.manage a governance-domain permission, both already delegable by the Managing Director (all domains, group-wide). The permission guard is an any-of match on the caller's effective permissions, so adding the two codes to the role is sufficient; the admin screens already showed the controls to this role because it holds identity.user.manage.</w:t>
      </w:r>
    </w:p>
    <w:p>
      <w:pPr>
        <w:pStyle w:val="BodyText"/>
      </w:pPr>
      <w:r>
        <w:t>Verified as the Managing Director: create, update, deactivate and delete a discount code; create, update and delete a promo banner; create, update, publish, unpublish and delete a content page — every call returned 200 or 201. A role without the codes (Auditor) is still refused (403).</w:t>
      </w:r>
    </w:p>
    <w:p>
      <w:pPr>
        <w:pStyle w:val="Heading2"/>
      </w:pPr>
      <w:r>
        <w:t>Impact on this document</w:t>
      </w:r>
    </w:p>
    <w:p>
      <w:pPr>
        <w:pStyle w:val="BodyText"/>
      </w:pPr>
      <w:r>
        <w:t>No feasibility impact — two permission rows added to one role in the seed, plus one delete endpoint.</w:t>
      </w:r>
    </w:p>
    <w:p>
      <w:pPr>
        <w:pStyle w:val="Heading1"/>
      </w:pPr>
      <w:r>
        <w:t>Implementation Status Update 39 (28 August 2026) — Localisation Extended to Promo Banners &amp; CMS Content</w:t>
      </w:r>
    </w:p>
    <w:p>
      <w:pPr>
        <w:pStyle w:val="BodyText"/>
      </w:pPr>
      <w:r>
        <w:t>The database-content localisation delivered earlier (read in the customer's language, store the customer's input in English) covered the catalogue, support tickets and delivery addresses. The two storefront surfaces activated since then — promotional banners and CMS content pages — were still served as stored English. They now pass through the same translation seam.</w:t>
      </w:r>
    </w:p>
    <w:p>
      <w:pPr>
        <w:pStyle w:val="BodyText"/>
      </w:pPr>
      <w:r>
        <w:t>What changed:</w:t>
      </w:r>
    </w:p>
    <w:p>
      <w:pPr>
        <w:pStyle w:val="BodyText"/>
      </w:pPr>
      <w:r>
        <w:t>•  Promo banners: GET /customer-portal/promo-banners now honours Accept-Language: heading, body and link label are rendered in the customer's chosen language through the content-translation glossary, and digits are shown in the language's own script (e.g. Arabic-Indic for Arabic).</w:t>
      </w:r>
    </w:p>
    <w:p>
      <w:pPr>
        <w:pStyle w:val="BodyText"/>
      </w:pPr>
      <w:r>
        <w:t>•  CMS content pages: GET /customer-portal/content and /content/{slug} now honour Accept-Language: the page title and body are rendered in the customer's language. The canonical stored value stays English; only the response is localised.</w:t>
      </w:r>
    </w:p>
    <w:p>
      <w:pPr>
        <w:pStyle w:val="BodyText"/>
      </w:pPr>
      <w:r>
        <w:t>•  Discount-code messages: the checkout discount validator returns a stable messageKey (with parameters where needed, e.g. the minimum order amount) instead of only an English sentence, so the storefront shows “that code has expired”, “this code needs a subtotal of at least …”, etc. in the chosen language. An English message is still returned as a fallback and is what the 409 on order placement carries server-side.</w:t>
      </w:r>
    </w:p>
    <w:p>
      <w:pPr>
        <w:pStyle w:val="BodyText"/>
      </w:pPr>
      <w:r>
        <w:t>•  Glossary + provider seam: the curated glossary gains the seeded banner and content strings for the eight fully-translated languages (Swahili, Luganda, French, Spanish, Portuguese, German, Italian, Arabic). Body prose beyond the curated entries still falls through to the translation provider, whose bundled implementation is a no-op until a real machine-translation service is configured — the same documented boundary as for product descriptions and ticket bodies.</w:t>
      </w:r>
    </w:p>
    <w:p>
      <w:pPr>
        <w:pStyle w:val="BodyText"/>
      </w:pPr>
      <w:r>
        <w:t>Write direction is unchanged and was re-verified: a customer typing in another language still has their input normalised to English on save, with the original wording kept alongside (support tickets, delivery addresses). Nothing in the promo / CMS flows is customer-typed — a discount code is a language-neutral identifier and the subtotal is computed client-side in Western digits — so no new store-in-English handling was required there.</w:t>
      </w:r>
    </w:p>
    <w:p>
      <w:pPr>
        <w:pStyle w:val="BodyText"/>
      </w:pPr>
      <w:r>
        <w:t>Changes: marketing.service.ts and cms.service.ts take a language argument and localise their storefront responses via ContentTranslationService; customer-storefront.controller.ts reads Accept-Language and resolves it; discount.util.ts adds messageKey / messageParams to every outcome; the storefront cart renders the message key through its i18n catalogue; content-glossary.ts and the eight-language storefront locale files gain the new strings. No schema change. Verified: promo banner and About / Terms / Delivery pages render in French, Swahili, German and Arabic (with Arabic-Indic digits); the English view is unchanged; a delivery address typed in Swahili is still stored as English with the original kept.</w:t>
      </w:r>
    </w:p>
    <w:p>
      <w:pPr>
        <w:pStyle w:val="Heading2"/>
      </w:pPr>
      <w:r>
        <w:t>Impact on this document</w:t>
      </w:r>
    </w:p>
    <w:p>
      <w:pPr>
        <w:pStyle w:val="BodyText"/>
      </w:pPr>
      <w:r>
        <w:t>Feasibility: no new capability — the existing glossary + provider seam is extended to two more read paths. Long-form body prose remains dependent on a real machine-translation provider, which is the documented limitation of the seam.</w:t>
      </w:r>
    </w:p>
    <w:p>
      <w:pPr>
        <w:pStyle w:val="Heading1"/>
      </w:pPr>
      <w:r>
        <w:t>Implementation Status Update 40 (28 August 2026) — HR Dashboard &amp; Departments Sections Activated</w:t>
      </w:r>
    </w:p>
    <w:p>
      <w:pPr>
        <w:pStyle w:val="BodyText"/>
      </w:pPr>
      <w:r>
        <w:t>Two HUMAN RESOURCES placeholders from the navigation redesign — HR Dashboard and Departments — are now working screens.</w:t>
      </w:r>
    </w:p>
    <w:p>
      <w:pPr>
        <w:pStyle w:val="BodyText"/>
      </w:pPr>
      <w:r>
        <w:t>What was delivered:</w:t>
      </w:r>
    </w:p>
    <w:p>
      <w:pPr>
        <w:pStyle w:val="BodyText"/>
      </w:pPr>
      <w:r>
        <w:t>•  HR Dashboard: a new read-only endpoint GET /api/v1/hr/dashboard aggregates the employee, attendance, leave and recruitment modules into four groups: headcount (active / inactive, and by company, branch, department and contract type); attendance over the last 30 days (records, absence rate, late rate, present / half-day); recruitment (open vacancies, positions open, awaiting approval, and the candidate pipeline by stage); and upcoming events over the next 30 days (contracts ending, probation ending, approved leave starting). Visible to any holder of an HR viewAll permission (employee / recruitment / attendance / leave / performance); figures are group-wide for those holders and limited to the caller's companies otherwise.</w:t>
      </w:r>
    </w:p>
    <w:p>
      <w:pPr>
        <w:pStyle w:val="BodyText"/>
      </w:pPr>
      <w:r>
        <w:t>•  Departments: a dedicated management screen. A new endpoint GET /api/v1/organization/departments lists every department across the companies in the caller's scope, each with its company name and current headcount. Create, rename and delete reuse the existing organization endpoints (POST /organization/companies/{id}/departments, PATCH and DELETE /organization/departments/{id}); the delete is still blocked (409) while staff are assigned. Writes require organization.company.manage; the list is also visible to organization.company.viewAll / employee.viewAll / recruitment.viewAll holders as a read-only view.</w:t>
      </w:r>
    </w:p>
    <w:p>
      <w:pPr>
        <w:pStyle w:val="BodyText"/>
      </w:pPr>
      <w:r>
        <w:t>•  Demo data: Morise Agro Ltd gains three departments (Field Operations, Finance &amp; Administration, Warehouse &amp; Distribution) with its three employees assigned one each; about three working weeks of recent attendance records with a realistic scatter of late / absent days; one fixed-term contract ending in about three weeks; and one approved leave starting in about ten days — so both screens show live figures on a fresh database.</w:t>
      </w:r>
    </w:p>
    <w:p>
      <w:pPr>
        <w:pStyle w:val="BodyText"/>
      </w:pPr>
      <w:r>
        <w:t>Backend: a new module src/hr-dashboard (controller + service), registered in app.module.ts; src/organization/departments gains a listAll() service method and a GET route on the /organization/departments controller. No schema change and no new permission — the HR Dashboard is gated on the existing HR viewAll codes, Departments management on the existing organization.company.manage.</w:t>
      </w:r>
    </w:p>
    <w:p>
      <w:pPr>
        <w:pStyle w:val="BodyText"/>
      </w:pPr>
      <w:r>
        <w:t>Admin frontend: new pages src/pages/Hr.jsx (KPI tiles + breakdown tables + pipeline + upcoming-events lists) and src/pages/Departments.jsx (filterable table with headcount, plus New / Rename / Delete for managers), replacing the &lt;ComingSoon&gt; stubs for /hr and /departments in App.jsx; both sidebar entries lose their “Soon” badge and are permission-filtered. Verified: as the Managing Director the HR Dashboard returns headcount 3 across 3 departments, 45 attendance records (4.4% absence, 13.3% late), the recruitment pipeline, and the seeded contract-ending and leave-starting rows; a Human Resources Manager sees the same (group-wide for its own function); a Sales Manager without an HR viewAll permission is refused (403). Departments create / rename / delete all succeed, and deleting a department that still has staff is refused (409).</w:t>
      </w:r>
    </w:p>
    <w:p>
      <w:pPr>
        <w:pStyle w:val="Heading2"/>
      </w:pPr>
      <w:r>
        <w:t>Impact on this document</w:t>
      </w:r>
    </w:p>
    <w:p>
      <w:pPr>
        <w:pStyle w:val="BodyText"/>
      </w:pPr>
      <w:r>
        <w:t>Feasibility: delivered entirely on existing data (employees, attendance, leave, recruitment, departments). One new read-only aggregation endpoint and one new list endpoint; no migration.</w:t>
      </w:r>
    </w:p>
    <w:p>
      <w:pPr>
        <w:pStyle w:val="Heading1"/>
      </w:pPr>
      <w:r>
        <w:t>Implementation Status Update 41 (28 August 2026) — Shift Scheduling &amp; Payroll Sections Activated</w:t>
      </w:r>
    </w:p>
    <w:p>
      <w:pPr>
        <w:pStyle w:val="BodyText"/>
      </w:pPr>
      <w:r>
        <w:t>The last two HUMAN RESOURCES placeholders from the navigation redesign — Shift Scheduling and Payroll — are now working modules.</w:t>
      </w:r>
    </w:p>
    <w:p>
      <w:pPr>
        <w:pStyle w:val="BodyText"/>
      </w:pPr>
      <w:r>
        <w:t>What was delivered:</w:t>
      </w:r>
    </w:p>
    <w:p>
      <w:pPr>
        <w:pStyle w:val="BodyText"/>
      </w:pPr>
      <w:r>
        <w:t>•  Shift Scheduling: a new roster_entries table (RosterEntry: one employee x one calendar day -&gt; one shift template, status planned or published; one entry per employee per day, a second is rejected as a clash). Endpoints GET/POST/DELETE /api/v1/shift-scheduling/entries, POST /shift-scheduling/publish (promotes a date range from planned to published and notifies the affected employees) and GET /shift-scheduling/coverage (per-day staffed count, unrostered count and clash flags — an employee rostered on a day they are also on approved leave). Roster writes reuse attendance.manage; no new permission was added for shift scheduling.</w:t>
      </w:r>
    </w:p>
    <w:p>
      <w:pPr>
        <w:pStyle w:val="BodyText"/>
      </w:pPr>
      <w:r>
        <w:t>•  Payroll: a monthly payroll run. Employee gains gross_salary and pay_frequency. New payroll_runs, payslips and salary_advances tables with their status enums. POST /api/v1/payroll/runs computes, per active employee with a gross salary, the Uganda PAYE (income-tax bands) and NSSF (5% employee, 10% employer) figures plus any approved salary-advance instalment, and produces a payslip; the run moves draft -&gt; approved -&gt; paid. Paying it posts a balanced journal entry (Dr staff costs = gross + employer NSSF; Cr PAYE Payable, NSSF Payable, Staff Advances and Salaries Payable) and advances each recovered salary advance.</w:t>
      </w:r>
    </w:p>
    <w:p>
      <w:pPr>
        <w:pStyle w:val="BodyText"/>
      </w:pPr>
      <w:r>
        <w:t>•  Salary advances: GET /payroll/salary-advances, POST (request), and POST .../approve | .../reject. An approved advance is recovered in instalments (amount / instalments, capped at the outstanding balance and never taking net pay below zero) automatically on each payroll run, and flips to recovered when fully repaid.</w:t>
      </w:r>
    </w:p>
    <w:p>
      <w:pPr>
        <w:pStyle w:val="BodyText"/>
      </w:pPr>
      <w:r>
        <w:t>•  Permissions &amp; roles: three new permissions (hr domain): payroll.manage (create a run, request an advance), payroll.approve (approve / pay a run, approve / reject an advance) and payroll.viewAll. Seeded to Super Administrator and IT Administrator (all three), Human Resources Manager (manage + viewAll), Managing Director and Finance Manager (approve + viewAll) — the same prepare-vs-approve split already used for expenses. The delegation rules are unchanged (hr-domain permissions are already delegable by the HR Manager).</w:t>
      </w:r>
    </w:p>
    <w:p>
      <w:pPr>
        <w:pStyle w:val="BodyText"/>
      </w:pPr>
      <w:r>
        <w:t>Backend: new modules src/shift-scheduling and src/payroll (with a database-free src/payroll/uganda-statutory.util.ts for the PAYE / NSSF calculation), registered in app.module.ts. Migration 20260828190000_shift_scheduling_payroll adds the four tables, the three enums and the two Employee columns. The seed sets a gross salary on the demo Agro employees, a published roster for the current week and a planned one for next week, and one approved salary advance.</w:t>
      </w:r>
    </w:p>
    <w:p>
      <w:pPr>
        <w:pStyle w:val="BodyText"/>
      </w:pPr>
      <w:r>
        <w:t>Admin frontend: new pages src/pages/ShiftScheduling.jsx (a weekly employee x day roster grid with a coverage row, add / remove assignment and a one-click Publish) and src/pages/Payroll.jsx (payroll runs with a payslip breakdown and approve / pay / cancel, and a salary-advances tab), replacing the &lt;ComingSoon&gt; stubs for /shift-scheduling and /payroll in App.jsx; both sidebar entries lose their “Soon” badge and are permission-filtered. Verified: a Human Resources Manager builds and publishes a roster and creates a draft payroll run (Agro: 3 staff, gross UGX 5,600,000, PAYE UGX 1,386,000, employee NSSF UGX 280,000, net UGX 3,734,000; PAYE for a UGX 2,800,000 salary computes to UGX 742,000, matching the band schedule); the Managing Director approves and pays it, posting a balanced journal entry (Dr 6,160,000 / Cr 6,160,000) and advancing the seeded salary advance to “recovering” (UGX 200,000 of UGX 600,000); a Sales Manager with no HR permission is refused (403); a duplicate run for the same month is refused (409); a second roster entry for the same employee and day is refused (409).</w:t>
      </w:r>
    </w:p>
    <w:p>
      <w:pPr>
        <w:pStyle w:val="Heading2"/>
      </w:pPr>
      <w:r>
        <w:t>Impact on this document</w:t>
      </w:r>
    </w:p>
    <w:p>
      <w:pPr>
        <w:pStyle w:val="BodyText"/>
      </w:pPr>
      <w:r>
        <w:t>Feasibility: one additive migration (four tables, three enums, two columns). The PAYE / NSSF rates are a configurable constant set in one file; a deployment confirms the current URA / NSSF thresholds. The GL posting reuses the same journal-entry mechanism the sales and expense flows already use.</w:t>
      </w:r>
    </w:p>
    <w:p>
      <w:pPr>
        <w:pStyle w:val="Heading1"/>
      </w:pPr>
      <w:r>
        <w:t>Implementation Status Update 42 (28 August 2026) — My HR Self-Service Sections Activated</w:t>
      </w:r>
    </w:p>
    <w:p>
      <w:pPr>
        <w:pStyle w:val="BodyText"/>
      </w:pPr>
      <w:r>
        <w:t>The six MY HR placeholders from the navigation redesign — Clock In / Out, My Leave, My Shifts, My Performance, My Payslips and My Salary Advances — are now working self-service screens. Every one is scoped to the Employee record linked to the signed-in user; an account with no linked record sees a friendly notice on each screen.</w:t>
      </w:r>
    </w:p>
    <w:p>
      <w:pPr>
        <w:pStyle w:val="BodyText"/>
      </w:pPr>
      <w:r>
        <w:t>What was delivered:</w:t>
      </w:r>
    </w:p>
    <w:p>
      <w:pPr>
        <w:pStyle w:val="BodyText"/>
      </w:pPr>
      <w:r>
        <w:t>•  New read layer: a new module src/my-hr with GET /api/v1/my-hr/{summary,attendance,leave,shifts,performance,payslips,salary-advances}. Each resolves the caller's Employee via Employee.userId and returns only that person's data — attendance records and today's clock state, leave balances and requests, roster entries, performance reviews and objectives, paid payslips, and salary advances. No permission is required — these are “my own” reads.</w:t>
      </w:r>
    </w:p>
    <w:p>
      <w:pPr>
        <w:pStyle w:val="BodyText"/>
      </w:pPr>
      <w:r>
        <w:t>•  Self-service actions: Clock In / Out calls the existing POST /attendance/clock-in|clock-out (already un-gated and self-resolving); My Leave calls POST /leave/applications and .../cancel; My Performance calls POST /performance/reviews/{id}/self-assessment (which already checks the review belongs to the caller). Only “request a salary advance for myself” is new: POST /api/v1/my-hr/salary-advances creates a requested advance for the caller's employee (the staff endpoint needs payroll.manage), with a one-open-advance-at-a-time guard (409).</w:t>
      </w:r>
    </w:p>
    <w:p>
      <w:pPr>
        <w:pStyle w:val="BodyText"/>
      </w:pPr>
      <w:r>
        <w:t>•  Screens: src/pages/MyHr.jsx — six components. Clock In / Out: today's status, one-tap clock in / out, 30-day present / late / absent counts and a record history. My Leave: balance cards per type and a requests table with Apply and Cancel. My Shifts: the employee's roster (published and planned), today highlighted. My Performance: objectives, reviews, and a self-assessment dialog when one is pending. My Payslips: a payslip list and a breakdown dialog (gross, PAYE, NSSF, advance recovery, net). My Salary Advances: the employee's advances with outstanding balance, and a Request dialog.</w:t>
      </w:r>
    </w:p>
    <w:p>
      <w:pPr>
        <w:pStyle w:val="BodyText"/>
      </w:pPr>
      <w:r>
        <w:t>No schema change and no new permission — the module reads existing tables (attendance_records, leave_balances / leave_applications, roster_entries, performance_reviews / performance_objectives, payslips, salary_advances) and reuses the un-gated self-service actions the attendance, leave and performance modules already expose. The six routes were already marked always-visible in the front-end capability map; they are removed from STUB_ROUTES and the sidebar entries lose their “Soon” badge.</w:t>
      </w:r>
    </w:p>
    <w:p>
      <w:pPr>
        <w:pStyle w:val="BodyText"/>
      </w:pPr>
      <w:r>
        <w:t>Verified with the demo persona whose login is linked to an employee record: the summary returns the linked profile (name, department, company, shift, gross salary); clocking in updates today's state and the 30-day counts; leave balances and the approved / submitted requests display, and a new request can be submitted and cancelled; the roster shows this week's published and next week's planned shifts; the completed performance review and its rating display; requesting a salary advance succeeds and a second concurrent request is refused (409). An account with no linked employee record gets linked:false from the summary and a 404 from the detail endpoints, and each screen shows the “ask HR to link your account” notice.</w:t>
      </w:r>
    </w:p>
    <w:p>
      <w:pPr>
        <w:pStyle w:val="Heading2"/>
      </w:pPr>
      <w:r>
        <w:t>Impact on this document</w:t>
      </w:r>
    </w:p>
    <w:p>
      <w:pPr>
        <w:pStyle w:val="BodyText"/>
      </w:pPr>
      <w:r>
        <w:t>Feasibility: no new capability and no migration — a read layer over data the HR modules already hold, plus one small self-service action (request an advance). Delivered on the existing stack.</w:t>
      </w:r>
    </w:p>
    <w:p>
      <w:pPr>
        <w:pStyle w:val="Heading1"/>
      </w:pPr>
      <w:r>
        <w:t>Implementation Status Update 43 (28 August 2026) — Demo Staff Logins Linked to Employee Records</w:t>
      </w:r>
    </w:p>
    <w:p>
      <w:pPr>
        <w:pStyle w:val="BodyText"/>
      </w:pPr>
      <w:r>
        <w:t>The My HR self-service screens work only for a login that is linked to an employee record (Employee.userId). Until now only one demo persona (the Branch Manager) was linked, so every other demo login saw the “your account is not linked to an employee record” notice on those screens. All the seeded staff logins are now linked.</w:t>
      </w:r>
    </w:p>
    <w:p>
      <w:pPr>
        <w:pStyle w:val="BodyText"/>
      </w:pPr>
      <w:r>
        <w:t>What changed:</w:t>
      </w:r>
    </w:p>
    <w:p>
      <w:pPr>
        <w:pStyle w:val="BodyText"/>
      </w:pPr>
      <w:r>
        <w:t>•  Linked accounts: the Managing Director, IT Administrator and Auditor logins are linked to new employee records in Morise Holdings Limited; the Human Resources Manager, Finance Manager, Sales Manager and Procurement Manager logins to new records in Morise Agro Ltd. Each record has a job title, department, monthly gross salary and employment start date; the Agro records also have the Day Shift and a published roster for the current week. Every linked employee gets the 2026 leave-balance set (21 annual, 10 sick, 90 maternity, 4 paternity, 5 emergency).</w:t>
      </w:r>
    </w:p>
    <w:p>
      <w:pPr>
        <w:pStyle w:val="BodyText"/>
      </w:pPr>
      <w:r>
        <w:t>•  Effect: signed in as any seeded staff persona, the six My HR screens now show that person's own data — profile summary, attendance and clock state, leave balances, roster, performance reviews, payslips (once a run that includes them is paid) and salary advances — instead of the “not linked” notice. A login still genuinely unlinked (for example a future user created without an employee record) continues to see the notice.</w:t>
      </w:r>
    </w:p>
    <w:p>
      <w:pPr>
        <w:pStyle w:val="BodyText"/>
      </w:pPr>
      <w:r>
        <w:t>This is a seed-data change only — no schema, code or permission change. The linking mechanism already existed (the employee create/update API accepts a userId); the seed now uses it for the demo staff. Side effect: the HR Dashboard headcount and the Departments screen counts rise accordingly (Morise Holdings Limited now has three staffed departments, Morise Agro Ltd seven employees), and a payroll run for either company would include the newly-salaried staff. Verified: each seeded staff login returns linked:true from GET /api/v1/my-hr/summary with a full profile, and the My HR detail endpoints return that person's rows.</w:t>
      </w:r>
    </w:p>
    <w:p>
      <w:pPr>
        <w:pStyle w:val="Heading2"/>
      </w:pPr>
      <w:r>
        <w:t>Impact on this document</w:t>
      </w:r>
    </w:p>
    <w:p>
      <w:pPr>
        <w:pStyle w:val="BodyText"/>
      </w:pPr>
      <w:r>
        <w:t>No feasibility impact — seed data only.</w:t>
      </w:r>
    </w:p>
    <w:p>
      <w:pPr>
        <w:pStyle w:val="Heading1"/>
      </w:pPr>
      <w:r>
        <w:t>Implementation Status Update 44 (28 August 2026) — Financial &amp; Accounting Overview Activated</w:t>
      </w:r>
    </w:p>
    <w:p>
      <w:pPr>
        <w:pStyle w:val="BodyText"/>
      </w:pPr>
      <w:r>
        <w:t>The one remaining placeholder in the whole regrouped navigation — the Financial &amp; Accounting overview landing tile — is now a working read-only screen. With this every entry in the ADMIN / BACKEND, HUMAN RESOURCES, MY HR and FINANCIAL &amp; ACCOUNTING categories opens a working screen.</w:t>
      </w:r>
    </w:p>
    <w:p>
      <w:pPr>
        <w:pStyle w:val="BodyText"/>
      </w:pPr>
      <w:r>
        <w:t>What was delivered:</w:t>
      </w:r>
    </w:p>
    <w:p>
      <w:pPr>
        <w:pStyle w:val="BodyText"/>
      </w:pPr>
      <w:r>
        <w:t>•  Overview endpoint: a new module src/finance with GET /api/v1/finance/overview. It returns three parts. (1) The consolidated group financial position — total assets, liabilities and equity, cash position and bank balances, outstanding receivables and payables, and open-period revenue, expense and net profit, group-wide and per company — reusing the computation the dashboard already performs. (2) “Needs attention” working-capital figures — accounts-payable outstanding amount and count (with overdue and pending-approval counts), accounts-receivable outstanding amount and count (with overdue), expense claims awaiting finance approval, active-asset net book value and disposal requests, and active / on-hold / planned project counts. (3) Period-close status — each company's current financial period with its dates and open/closed state, and the group totals of open and closed periods.</w:t>
      </w:r>
    </w:p>
    <w:p>
      <w:pPr>
        <w:pStyle w:val="BodyText"/>
      </w:pPr>
      <w:r>
        <w:t>•  Screen: src/pages/Finance.jsx — KPI tiles for the group position, a by-company table, a “Needs attention” tile row, a period-close table, and a grid of shortcut cards into the working finance sub-screens (General Ledger &amp; Journals, Accounts Payable, Expenses, Assets, Projects, Reports, Suppliers, Inter-Company). It replaces the &lt;ComingSoon&gt; stub for /finance in App.jsx; the sidebar entry loses its “Soon” badge and STUB_ROUTES is now empty.</w:t>
      </w:r>
    </w:p>
    <w:p>
      <w:pPr>
        <w:pStyle w:val="BodyText"/>
      </w:pPr>
      <w:r>
        <w:t>•  Access: read-only, no new permission. The endpoint is gated on any one of the finance-area permissions — the same list the front-end capability map already uses for the /finance route (accounting / ap / expense / asset / project / supplier / inter-company, in their manage / approve / viewAll forms). A user with none of them is refused (403).</w:t>
      </w:r>
    </w:p>
    <w:p>
      <w:pPr>
        <w:pStyle w:val="BodyText"/>
      </w:pPr>
      <w:r>
        <w:t>No schema change. The DashboardModule now exports its service so the finance overview can reuse the balance-sheet and income computation; everything else is a straightforward aggregation over supplier invoices, customer invoices, expenses, assets, projects and financial periods. Verified: as a Finance Manager the overview returns the consolidated position (group net profit UGX 19,833,800 across five companies), the working-capital figures (AP UGX 500,000 outstanding, AR UGX 15,301,200 with 3 overdue, one expense claim awaiting finance, asset net book value UGX 45,000,000, one active project) and the two open FY2026-Q1 periods; a Sales Manager with no finance permission is refused (403).</w:t>
      </w:r>
    </w:p>
    <w:p>
      <w:pPr>
        <w:pStyle w:val="Heading2"/>
      </w:pPr>
      <w:r>
        <w:t>Impact on this document</w:t>
      </w:r>
    </w:p>
    <w:p>
      <w:pPr>
        <w:pStyle w:val="BodyText"/>
      </w:pPr>
      <w:r>
        <w:t>Feasibility: no new capability — an aggregation over data the accounting, AP, expense, asset, project and period modules already hold, reusing the dashboard's balance computation. No migration.</w:t>
      </w:r>
    </w:p>
    <w:p>
      <w:pPr>
        <w:pStyle w:val="Heading1"/>
      </w:pPr>
      <w:r>
        <w:t>Implementation Status Update 45 (29 August 2026) — Customer Sign-Up, Multi-Identifier Login &amp; Password Reset</w:t>
      </w:r>
    </w:p>
    <w:p>
      <w:pPr>
        <w:pStyle w:val="BodyText"/>
      </w:pPr>
      <w:r>
        <w:t>The Customer Storefront login previously accepted only a staff-issued email or account number and had no self-registration and no password reset. Customers can now sign themselves up, sign in with an email, phone number or account number (or with Google), and reset a forgotten password.</w:t>
      </w:r>
    </w:p>
    <w:p>
      <w:pPr>
        <w:pStyle w:val="BodyText"/>
      </w:pPr>
      <w:r>
        <w:t>What was delivered:</w:t>
      </w:r>
    </w:p>
    <w:p>
      <w:pPr>
        <w:pStyle w:val="BodyText"/>
      </w:pPr>
      <w:r>
        <w:t>•  Sign up: POST /api/v1/customer-portal/auth/register (name, email, optional phone, password, and which Morise company to buy from — listed by the public GET /customer-portal/auth/companies). It creates an active customer with a generated account number and starter terms (a small credit limit and 14-day payment terms, for staff to review in the CRM) and signs the customer straight in. A second account for the same email or phone is refused (409).</w:t>
      </w:r>
    </w:p>
    <w:p>
      <w:pPr>
        <w:pStyle w:val="BodyText"/>
      </w:pPr>
      <w:r>
        <w:t>•  Login by email, phone or account number: the single identifier field now matches a customer's email, account number OR phone. The phone match ignores formatting and country-code style, so “+256 701 234 567”, “0701234567” and “701234567” all resolve to the same account. The 5-attempt lockout is unchanged.</w:t>
      </w:r>
    </w:p>
    <w:p>
      <w:pPr>
        <w:pStyle w:val="BodyText"/>
      </w:pPr>
      <w:r>
        <w:t>•  Sign in with Google: POST /api/v1/customer-portal/auth/google. In production the request carries a verified Google ID token; this offline build trusts the email the “Continue with Google” button sends (a documented seam, like the deferred payment gateway and in-app-only notifications). A known email is signed in passwordlessly; an unknown email auto-registers a Google-linked account.</w:t>
      </w:r>
    </w:p>
    <w:p>
      <w:pPr>
        <w:pStyle w:val="BodyText"/>
      </w:pPr>
      <w:r>
        <w:t>•  Forgot / reset password: POST /customer-portal/auth/forgot-password (by email, phone or account number) issues a one-time token stored hashed with a 30-minute expiry; POST /customer-portal/auth/reset-password consumes it, sets the new password, clears any lockout and revokes every active session. With no SMTP/SMS in this build the plain token is returned in the response in dev so the flow completes end to end; a real deployment e-mails / SMSes a link instead. The forgot-password response is identical whether or not an account matched, so it never reveals which identifiers are registered.</w:t>
      </w:r>
    </w:p>
    <w:p>
      <w:pPr>
        <w:pStyle w:val="BodyText"/>
      </w:pPr>
      <w:r>
        <w:t>Backend: src/customer-portal/auth gains the four endpoints plus the companies list on the existing CustomerAuthController /Service; a new customer_password_reset_tokens table and two Customer columns (self_registered, google_linked) via migration 20260829090000_customer_self_service_auth. Every new endpoint is rate-limited. Storefront: new pages /register, /forgot-password and /reset-password, a “Continue with Google” component, and the login screen updated with the new identifier label, a “Forgot your password?” link and a “Create an account” link; the auth strings are added to the eight fully-translated languages.</w:t>
      </w:r>
    </w:p>
    <w:p>
      <w:pPr>
        <w:pStyle w:val="BodyText"/>
      </w:pPr>
      <w:r>
        <w:t>Verified end to end: a new customer registers and is signed in with a generated account number; the same customer then signs in with the email, with the phone in three different formats, and with the account number; a duplicate registration is refused (409); Google sign-in logs an existing customer in and auto-registers a new one; a reset token issued by forgot-password lets the customer set a new password, after which the old password is rejected and the token cannot be reused (401); forgot-password for an unknown identifier still returns 200 with no token.</w:t>
      </w:r>
    </w:p>
    <w:p>
      <w:pPr>
        <w:pStyle w:val="Heading2"/>
      </w:pPr>
      <w:r>
        <w:t>Impact on this document</w:t>
      </w:r>
    </w:p>
    <w:p>
      <w:pPr>
        <w:pStyle w:val="BodyText"/>
      </w:pPr>
      <w:r>
        <w:t>Feasibility: one small migration (a token table, two boolean columns). Google verification and reset-link delivery are seams — the endpoints work now and a real Google client / SMTP / SMS provider plugs in, the same pattern already used for the payment gateway and notifications.</w:t>
      </w:r>
    </w:p>
    <w:p>
      <w:pPr>
        <w:pStyle w:val="Heading1"/>
      </w:pPr>
      <w:r>
        <w:t>Implementation Status Update 46 (29 August 2026) — One Storefront Across Every Subsidiary and Its Branches</w:t>
      </w:r>
    </w:p>
    <w:p>
      <w:pPr>
        <w:pStyle w:val="BodyText"/>
      </w:pPr>
      <w:r>
        <w:t>The Customer Storefront previously showed only the products of the one Morise company on the customer's account. It now shows the priced, active products and services of every subsidiary in the holding group, each listing tagged with the subsidiary that sells it and the branch that produces or fulfils it, and the customer's own screens always show which subsidiary and branch their account belongs to.</w:t>
      </w:r>
    </w:p>
    <w:p>
      <w:pPr>
        <w:pStyle w:val="BodyText"/>
      </w:pPr>
      <w:r>
        <w:t>What was delivered:</w:t>
      </w:r>
    </w:p>
    <w:p>
      <w:pPr>
        <w:pStyle w:val="BodyText"/>
      </w:pPr>
      <w:r>
        <w:t>•  Group catalogue: GET /api/v1/customer-portal/catalog/products now resolves the customer's holding group (the root holding company plus every active subsidiary) and lists all of their priced, active products, each carrying companyId / companyName and branchId / branchName / branchAddress. New companyId and branchId query filters; GET /customer-portal/catalog/categories spans the group; a new GET /customer-portal/catalog/subsidiaries returns the holding company plus each subsidiary with its branch list and its branch and product counts.</w:t>
      </w:r>
    </w:p>
    <w:p>
      <w:pPr>
        <w:pStyle w:val="BodyText"/>
      </w:pPr>
      <w:r>
        <w:t>•  Branch attribution: a nullable branch_id on products (the branch that produces / stocks / fulfils the item) and a nullable home_branch_id on customers (the branch of the customer's own subsidiary that serves the account), plus a real orders.company_id → companies foreign key, via migration 20260829120000_storefront_group_catalog_branch_attribution. Sign-up gains an optional home-branch picker backed by a public GET /customer-portal/auth/branches?companyId=.</w:t>
      </w:r>
    </w:p>
    <w:p>
      <w:pPr>
        <w:pStyle w:val="BodyText"/>
      </w:pPr>
      <w:r>
        <w:t>•  “Which subsidiary and branch is mine”: GET /customer-portal/me and the login / refresh token response now return companyId / companyName, homeBranchId / homeBranchName / homeBranchAddress and the holding company name; the storefront shows them in the header, on My Account and against every product.</w:t>
      </w:r>
    </w:p>
    <w:p>
      <w:pPr>
        <w:pStyle w:val="BodyText"/>
      </w:pPr>
      <w:r>
        <w:t>•  Checkout across subsidiaries: an order — with its invoice and balanced GL posting — belongs to the selling subsidiary, so a basket is placed as one order per subsidiary. The storefront groups the cart by selling company and posts each group in turn; the API rejects a single order that mixes companies (409). A discount code, which belongs to one subsidiary, is offered only on a single-company cart. The customer's credit limit stays one account-wide facility, checked across every subsidiary's invoices.</w:t>
      </w:r>
    </w:p>
    <w:p>
      <w:pPr>
        <w:pStyle w:val="BodyText"/>
      </w:pPr>
      <w:r>
        <w:t>•  Storefront: the Shop page gains company and branch filters and a per-card “company · branch” tag; a new Subsidiaries directory page lists every company in the group with its branches and counts; the cart is sectioned by fulfilling subsidiary with per-company subtotals and a “placed as N separate orders” note; My Account shows “you buy through &lt;subsidiary&gt; · &lt;branch&gt;, part of &lt;holding&gt;”; the new strings are added to the eight fully-translated languages.</w:t>
      </w:r>
    </w:p>
    <w:p>
      <w:pPr>
        <w:pStyle w:val="BodyText"/>
      </w:pPr>
      <w:r>
        <w:t>•  Seed: Morise Agro Ltd's eight products are attributed to its Kira HQ and Mbale branches, and Morise Logistics Ltd is given a four-item priced service catalogue (road freight Kampala–Mombasa and Kampala–Kigali, last-mile delivery, pallet storage) on its Jinja branch, so the group shop is genuinely multi-company; the demo portal customers are given a home branch.</w:t>
      </w:r>
    </w:p>
    <w:p>
      <w:pPr>
        <w:pStyle w:val="BodyText"/>
      </w:pPr>
      <w:r>
        <w:t>Verified end to end: signed in as the Highland Traders Ltd portal account (a Morise Agro customer), the shop lists all twelve products across Morise Agro Ltd and Morise Logistics Ltd, each tagged with its company and branch; the subsidiaries endpoint lists all four subsidiaries with branch and product counts; the company and branch filters narrow the list; GET /me returns the subsidiary, home branch and holding company. A cart mixing Agro and Logistics items is refused (409); a Logistics-only order places ORD-2026-0001 in Morise Logistics Ltd's books, with INV-2026-0001 and a posted sale journal entry (JE-2026-0005) in that company. Backend tsc and both front-end builds are clean.</w:t>
      </w:r>
    </w:p>
    <w:p>
      <w:pPr>
        <w:pStyle w:val="Heading2"/>
      </w:pPr>
      <w:r>
        <w:t>Impact on this document</w:t>
      </w:r>
    </w:p>
    <w:p>
      <w:pPr>
        <w:pStyle w:val="BodyText"/>
      </w:pPr>
      <w:r>
        <w:t>Feasibility — one small migration (a nullable branch_id on products, a nullable home_branch_id on customers, a real orders → companies foreign key). Per-branch stock levels and “near me” distance ranking remain a documented future enhancement.</w:t>
      </w:r>
    </w:p>
    <w:p>
      <w:pPr>
        <w:pStyle w:val="Heading1"/>
      </w:pPr>
      <w:r>
        <w:t>Implementation Status Update 47 (29 August 2026) — Clearing / Forwarding and Warehouse-Management Catalogues Added to the Group Storefront</w:t>
      </w:r>
    </w:p>
    <w:p>
      <w:pPr>
        <w:pStyle w:val="BodyText"/>
      </w:pPr>
      <w:r>
        <w:t>Update 46 made the Customer Storefront a group shop but only two subsidiaries had a priced catalogue (Morise Agro Ltd and Morise Logistics Ltd). The remaining two subsidiaries — Morise Clearing &amp; Forwarding Ltd and Morise Warehouse Management Ltd — now also sell in the storefront, so a customer sees the goods and services of all four Morise subsidiaries in one shop.</w:t>
      </w:r>
    </w:p>
    <w:p>
      <w:pPr>
        <w:pStyle w:val="BodyText"/>
      </w:pPr>
      <w:r>
        <w:t>What was delivered (seed data only — no code or schema change; the group-catalogue engine from Update 46 already supports any number of selling subsidiaries):</w:t>
      </w:r>
    </w:p>
    <w:p>
      <w:pPr>
        <w:pStyle w:val="BodyText"/>
      </w:pPr>
      <w:r>
        <w:t>•  Morise Clearing &amp; Forwarding Ltd — six priced services on its Kampala HQ, Entebbe Airport, Malaba and Busia branches: import customs clearance (per entry), air import clearance at Entebbe (per AWB), ocean freight forwarding Mombasa–Kampala (per 20ft container), air freight consolidation (per kg), transit bond &amp; T1 documentation on the Malaba corridor (per consignment), and Certificate of Origin &amp; export-permit handling (per set). Categories: Customs Clearance, Freight Forwarding, Transit &amp; Documentation.</w:t>
      </w:r>
    </w:p>
    <w:p>
      <w:pPr>
        <w:pStyle w:val="BodyText"/>
      </w:pPr>
      <w:r>
        <w:t>•  Morise Warehouse Management Ltd — six priced services on its Kampala Central, Jinja and Mbarara warehouses: ambient pallet storage, chilled cold storage and bonded storage (all per pallet-month), inbound handling &amp; putaway (per pallet), pick / pack / dispatch (per order line), and cycle count &amp; inventory reconciliation (per visit). Categories: Storage, Handling &amp; Fulfilment, Value-Added Services.</w:t>
      </w:r>
    </w:p>
    <w:p>
      <w:pPr>
        <w:pStyle w:val="BodyText"/>
      </w:pPr>
      <w:r>
        <w:t>•  Each of the two companies is given a minimal chart of accounts (Cash and Bank, Accounts Receivable, Accounts Payable, Retained Earnings, Service Revenue, Cost of Services) and an open FY2026-Q1 financial period, so an order placed through the storefront is invoiced and GL-posted in that subsidiary's own books, exactly as for Morise Agro Ltd and Morise Logistics Ltd. Their full Clearing/Forwarding and Warehouse Management systems (documents 19 and 20) remain unbuilt — this is the storefront-facing service list only.</w:t>
      </w:r>
    </w:p>
    <w:p>
      <w:pPr>
        <w:pStyle w:val="BodyText"/>
      </w:pPr>
      <w:r>
        <w:t>Verified end to end: signed in as the Highland Traders Ltd portal account, the shop now lists twenty-four products across all four subsidiaries (Agro 8, Clearing &amp; Forwarding 6, Warehouse Management 6, Logistics 4); the Subsidiaries directory shows every company with a non-zero product count and an enabled “Shop” button; an order placed for a Warehouse Management service creates ORD-2026-0001, INV-2026-0001 and a posted sale journal entry in Morise Warehouse Management Ltd's books, and the same for a Clearing &amp; Forwarding order in that company's books.</w:t>
      </w:r>
    </w:p>
    <w:p>
      <w:pPr>
        <w:pStyle w:val="Heading2"/>
      </w:pPr>
      <w:r>
        <w:t>Impact on this document</w:t>
      </w:r>
    </w:p>
    <w:p>
      <w:pPr>
        <w:pStyle w:val="BodyText"/>
      </w:pPr>
      <w:r>
        <w:t>Feasibility — a seed-only change; the two companies gain a six-account chart plus an open period so storefront orders post to their books. No migration.</w:t>
      </w:r>
    </w:p>
    <w:p>
      <w:pPr>
        <w:pStyle w:val="Heading1"/>
      </w:pPr>
      <w:r>
        <w:t>Implementation Status Update 48 (29 August 2026) — Content Localisation Extended to the Group Storefront — Read in the Chosen Language, Store Customer Input in English</w:t>
      </w:r>
    </w:p>
    <w:p>
      <w:pPr>
        <w:pStyle w:val="BodyText"/>
      </w:pPr>
      <w:r>
        <w:t>The "read database text in the customer's language, store the customer's input in English" behaviour first delivered on 27 August 2026 (and extended to promo banners and CMS content on 28 August) now also covers the storefront paths added by the group-catalogue work (sign-up, the group catalogue, the subsidiary directory and My Account). A customer sees the database in the language they chose; an administrator always reads English in the database.</w:t>
      </w:r>
    </w:p>
    <w:p>
      <w:pPr>
        <w:pStyle w:val="BodyText"/>
      </w:pPr>
      <w:r>
        <w:t>Read — shown in the chosen language:</w:t>
      </w:r>
    </w:p>
    <w:p>
      <w:pPr>
        <w:pStyle w:val="BodyText"/>
      </w:pPr>
      <w:r>
        <w:t>•  Every product listing's subsidiary, branch and branch-address tag, the group category list, and the whole Subsidiaries directory (each company name, its branch names and addresses) are now rendered in the customer's language through the same curated glossary the catalogue and support screens use — as far as the glossary reaches; company and place proper nouns largely pass through, while words like "Warehouse", "Forwarding", "Border", "Office", "Freight", "Storage", "Delivery" translate.</w:t>
      </w:r>
    </w:p>
    <w:p>
      <w:pPr>
        <w:pStyle w:val="BodyText"/>
      </w:pPr>
      <w:r>
        <w:t>•  GET /customer-portal/me returns the customer's own business name and address, and the subsidiary / branch / holding-company names, in the chosen language; when the customer is browsing in the language they typed their name or address in, their own exact wording is shown back instead of the glossary-translated English.</w:t>
      </w:r>
    </w:p>
    <w:p>
      <w:pPr>
        <w:pStyle w:val="BodyText"/>
      </w:pPr>
      <w:r>
        <w:t>•  The glossary gained the group-catalogue vocabulary: the eight new service categories (Freight Services, Warehousing Services, Customs Clearance, Freight Forwarding, Transit &amp; Documentation, Storage, Handling &amp; Fulfilment, Value-Added Services) and about thirty recurring service-name tokens (freight, forwarding, customs, clearance, transit, storage, handling, ocean, air, road, delivery, border, bonded, cold, ambient, inbound, dispatch, container, consolidation, cycle count, pick, pack, …), each in the eight fully-translated languages.</w:t>
      </w:r>
    </w:p>
    <w:p>
      <w:pPr>
        <w:pStyle w:val="BodyText"/>
      </w:pPr>
      <w:r>
        <w:t>Write — stored in English only:</w:t>
      </w:r>
    </w:p>
    <w:p>
      <w:pPr>
        <w:pStyle w:val="BodyText"/>
      </w:pPr>
      <w:r>
        <w:t>•  At sign-up the business name and phone number are normalised before storage: the name is mapped to English through the glossary (free-form remainder left to the translation-provider seam, a no-op until a real machine-translation service is configured) and any non-Western numerals a customer typed (for example Arabic-Indic digits in a phone number) are converted to 0-9. On My Account the same is done for the address and phone. The row keeps the source language and the customer's exact original wording (customers.source_language, customers.name_original, customers.address_original — migration 20260829150000_customer_content_originals) so the storefront can show the customer their own words and an administrator still reads the English columns, exactly as delivery addresses and support tickets already work.</w:t>
      </w:r>
    </w:p>
    <w:p>
      <w:pPr>
        <w:pStyle w:val="BodyText"/>
      </w:pPr>
      <w:r>
        <w:t>Verified: signed in as a customer browsing in Swahili, the shop shows "Huduma za Usafirishaji" for Freight Services and "Jinja Tawi" for Jinja Branch, and the Subsidiaries directory names read in Swahili; registering with an Arabic business name and an Arabic-Indic phone number stores "warehouse …" and "+256 701 234 555" in the database with source_language = ar and the original Arabic kept, GET /me returns the original Arabic to that customer and the English column to an English (admin) reader; editing the address in Swahili stores the English form with the Swahili original kept. Backend tsc clean.</w:t>
      </w:r>
    </w:p>
    <w:p>
      <w:pPr>
        <w:pStyle w:val="Heading2"/>
      </w:pPr>
      <w:r>
        <w:t>Impact on this document</w:t>
      </w:r>
    </w:p>
    <w:p>
      <w:pPr>
        <w:pStyle w:val="BodyText"/>
      </w:pPr>
      <w:r>
        <w:t>Feasibility — a small migration (three nullable-ish columns on customers) plus glossary entries; free-form translation remains a provider seam, no external dependency added.</w:t>
      </w:r>
    </w:p>
    <w:p>
      <w:pPr>
        <w:pStyle w:val="Heading1"/>
      </w:pPr>
      <w:r>
        <w:t>Implementation Status Update 49 (29 August 2026) — OpenAPI / Swagger API Documentation for the Phase 1 Backend</w:t>
      </w:r>
    </w:p>
    <w:p>
      <w:pPr>
        <w:pStyle w:val="BodyText"/>
      </w:pPr>
      <w:r>
        <w:t>09_API Specification, Section 1 described this deliverable as "a build-ready specification, not a finished OpenAPI/Swagger contract" and left the machine-readable contract to the engaged development team. That contract now exists and is generated from the running backend code.</w:t>
      </w:r>
    </w:p>
    <w:p>
      <w:pPr>
        <w:pStyle w:val="BodyText"/>
      </w:pPr>
      <w:r>
        <w:t>What was delivered (backend only — no database change, and no change to any endpoint's behaviour, request shape or response envelope):</w:t>
      </w:r>
    </w:p>
    <w:p>
      <w:pPr>
        <w:pStyle w:val="BodyText"/>
      </w:pPr>
      <w:r>
        <w:t>•  @nestjs/swagger is wired into the NestJS / Fastify backend in src/main.ts, with its CLI plugin enabled in nest-cli.json so request and response schemas are derived automatically from the existing class-validator DTOs. At the time of writing the document covers 245 paths, 309 operations and 116 component schemas.</w:t>
      </w:r>
    </w:p>
    <w:p>
      <w:pPr>
        <w:pStyle w:val="BodyText"/>
      </w:pPr>
      <w:r>
        <w:t>•  Interactive documentation (Swagger UI) is served at GET /api/v1/docs and the raw OpenAPI 3 document at GET /api/v1/docs-json, on the same port as the API (3001 in development). Two bearer security schemes — staff and customer — mirror the two JWT audiences already defined in .env (JWT_ACCESS_SECRET and JWT_CUSTOMER_ACCESS_SECRET); the UI’s Authorize state persists across reloads.</w:t>
      </w:r>
    </w:p>
    <w:p>
      <w:pPr>
        <w:pStyle w:val="BodyText"/>
      </w:pPr>
      <w:r>
        <w:t>•  A snapshot of the document is committed at backend/openapi.json and is refreshed with a new npm script, npm run openapi:generate, which reads /api/v1/docs-json from a running instance. Two dependencies were added: @nestjs/swagger and @fastify/static (the Fastify adapter serves the UI’s static assets through the latter).</w:t>
      </w:r>
    </w:p>
    <w:p>
      <w:pPr>
        <w:pStyle w:val="BodyText"/>
      </w:pPr>
      <w:r>
        <w:t>•  Build note: the @nestjs/swagger CLI plugin runs only through nest build / nest start, not a bare tsc invocation, so the backend is now built with npm run build. In this environment tsconfig.tsbuildinfo must be deleted first or the incremental compiler skips re-emitting.</w:t>
      </w:r>
    </w:p>
    <w:p>
      <w:pPr>
        <w:pStyle w:val="BodyText"/>
      </w:pPr>
      <w:r>
        <w:t>Verified end to end: after npm run build and a restart, GET /api/v1/docs returns the Swagger UI (HTTP 200) and GET /api/v1/docs-json returns a valid OpenAPI 3 document (200); POST /api/v1/identity/auth/login was executed from the UI without a token, and the staff access token it returned authorised a follow-up call to a guarded endpoint.</w:t>
      </w:r>
    </w:p>
    <w:p>
      <w:pPr>
        <w:pStyle w:val="Heading2"/>
      </w:pPr>
      <w:r>
        <w:t>Impact on this document</w:t>
      </w:r>
    </w:p>
    <w:p>
      <w:pPr>
        <w:pStyle w:val="BodyText"/>
      </w:pPr>
      <w:r>
        <w:t>Feasibility — no new risk; two well-established libraries (@nestjs/swagger, @fastify/static) and a generated document. The plugin-vs-tsc build note is the only operational wrinkle and is carried in the Development and Deployment plans.</w:t>
      </w:r>
    </w:p>
    <w:p>
      <w:pPr>
        <w:pStyle w:val="Heading1"/>
      </w:pPr>
      <w:r>
        <w:t>Implementation Status Update 50 (29 August 2026) — Corporate Landing Page &amp; Public Holding-Company Mini-Site</w:t>
      </w:r>
    </w:p>
    <w:p>
      <w:pPr>
        <w:pStyle w:val="BodyText"/>
      </w:pPr>
      <w:r>
        <w:t>The Customer Storefront’s pre-login landing page has been redesigned as the public, holding-company face of Morise Holdings, following the reference mockups in screenshots/files(13)/. It is no longer a single marketing page but a small public site rendered before any sign-in.</w:t>
      </w:r>
    </w:p>
    <w:p>
      <w:pPr>
        <w:pStyle w:val="BodyText"/>
      </w:pPr>
      <w:r>
        <w:t>What was delivered:</w:t>
      </w:r>
    </w:p>
    <w:p>
      <w:pPr>
        <w:pStyle w:val="BodyText"/>
      </w:pPr>
      <w:r>
        <w:t>•  A "paper &amp; bronze" visual system (Fraunces display + Inter text + IBM Plex Mono figures) in a new storefront stylesheet (styles/corporate.css), with a shared utility bar / main navigation / footer and the demonstration disclaimer (components/CorporateLayout.jsx).</w:t>
      </w:r>
    </w:p>
    <w:p>
      <w:pPr>
        <w:pStyle w:val="BodyText"/>
      </w:pPr>
      <w:r>
        <w:t>•  Seven public routes, none behind authentication: the landing page (/), Companies directory (/companies), a per-company page (/companies/:id), Profile (/profile), Group Leadership (/governance/board), Group Overview (/investors/overview), News (/investors/news) and Contacts (/contacts).</w:t>
      </w:r>
    </w:p>
    <w:p>
      <w:pPr>
        <w:pStyle w:val="BodyText"/>
      </w:pPr>
      <w:r>
        <w:t>•  One new backend endpoint — GET /api/v1/customer-portal/public/overview — PUBLIC (no customer token), returning only already-public facts: the holding company, its active subsidiaries with branches and ownership, and roll-up group figures (subsidiaries, branches, catalogue items, categories). It honours Accept-Language like the rest of the storefront. No database or schema change; it reuses the existing group-catalogue resolution, generalised to take no customer.</w:t>
      </w:r>
    </w:p>
    <w:p>
      <w:pPr>
        <w:pStyle w:val="BodyText"/>
      </w:pPr>
      <w:r>
        <w:t>•  The Companies grid, per-company pages and Group Overview table are populated live from that endpoint (four wholly-owned subsidiaries, 14 branches, 24 catalogue items at the time of writing); sector labels and one-line descriptions are presentation-only, keyed by subsidiary name with a generic fallback. Group leadership and news items are clearly labelled illustrative demo data.</w:t>
      </w:r>
    </w:p>
    <w:p>
      <w:pPr>
        <w:pStyle w:val="BodyText"/>
      </w:pPr>
      <w:r>
        <w:t>•  A signed-in customer is unaffected: "/" still shows their dashboard; the storefront, catalogue and account screens are unchanged.</w:t>
      </w:r>
    </w:p>
    <w:p>
      <w:pPr>
        <w:pStyle w:val="BodyText"/>
      </w:pPr>
      <w:r>
        <w:t>Verified end to end: signed out, "/" renders the holding-company landing with live group figures; every public route loads without a token; GET /customer-portal/public/overview returns HTTP 200 with the group shape; the storefront production build passes; signing in still lands on the customer dashboard.</w:t>
      </w:r>
    </w:p>
    <w:p>
      <w:pPr>
        <w:pStyle w:val="Heading2"/>
      </w:pPr>
      <w:r>
        <w:t>Impact on this document</w:t>
      </w:r>
    </w:p>
    <w:p>
      <w:pPr>
        <w:pStyle w:val="BodyText"/>
      </w:pPr>
      <w:r>
        <w:t>Feasibility — front-end work plus one additive, read-only public endpoint that reuses existing group-catalogue logic. No new dependency, no migration, no new risk.</w:t>
      </w:r>
    </w:p>
    <w:p>
      <w:pPr>
        <w:pStyle w:val="Heading1"/>
      </w:pPr>
      <w:r>
        <w:t>Implementation Status Update 51 (29 August 2026) — Corporate Landing Page Restyled to the Storefront Design System</w:t>
      </w:r>
    </w:p>
    <w:p>
      <w:pPr>
        <w:pStyle w:val="BodyText"/>
      </w:pPr>
      <w:r>
        <w:t>The public corporate mini-site added in Update 50 (landing page, Companies directory + per-company pages, Profile, Group Leadership, Group Overview, News, Contacts) has been restyled so it looks like the rest of the Customer Storefront. This is a presentation-only change.</w:t>
      </w:r>
    </w:p>
    <w:p>
      <w:pPr>
        <w:pStyle w:val="BodyText"/>
      </w:pPr>
      <w:r>
        <w:t>What changed:</w:t>
      </w:r>
    </w:p>
    <w:p>
      <w:pPr>
        <w:pStyle w:val="BodyText"/>
      </w:pPr>
      <w:r>
        <w:t>•  The corporate pages now use the SAME visual system as the shop page (mbms/storefront/src/styles/storefront.css): the system-font stack (-apple-system / Segoe UI / Roboto …), the navy (#1E3A5F) / blue (#2E5395) / amber (#D97706) palette, the #F2F5FA page background, white cards with a 10px radius and a hairline #E2E8F0 border, and the .sf-btn-style buttons and font sizes (24px page-head H1, ~20px section headings, 14px body).</w:t>
      </w:r>
    </w:p>
    <w:p>
      <w:pPr>
        <w:pStyle w:val="BodyText"/>
      </w:pPr>
      <w:r>
        <w:t>•  The earlier “paper &amp; bronze” treatment — the imported Fraunces / IBM Plex Mono web fonts, the cream #F2F0EA background and the serif headings from screenshots/files(13)/ — has been dropped. The web-font @import is removed, so the corporate pages now load no external fonts.</w:t>
      </w:r>
    </w:p>
    <w:p>
      <w:pPr>
        <w:pStyle w:val="BodyText"/>
      </w:pPr>
      <w:r>
        <w:t>•  Only mbms/storefront/src/styles/corporate.css changed. The page structure, routes, component files and the GET /api/v1/customer-portal/public/overview endpoint from Update 50 are untouched; the mc-* class names are unchanged. No backend, API, schema or data change.</w:t>
      </w:r>
    </w:p>
    <w:p>
      <w:pPr>
        <w:pStyle w:val="BodyText"/>
      </w:pPr>
      <w:r>
        <w:t>Verified: the storefront production build passes; signed out, the landing page and the six inner corporate pages render in the storefront’s navy / white / amber styling and sit visually alongside /shop; a signed-in customer still lands on the dashboard.</w:t>
      </w:r>
    </w:p>
    <w:p>
      <w:pPr>
        <w:pStyle w:val="Heading2"/>
      </w:pPr>
      <w:r>
        <w:t>Impact on this document</w:t>
      </w:r>
    </w:p>
    <w:p>
      <w:pPr>
        <w:pStyle w:val="BodyText"/>
      </w:pPr>
      <w:r>
        <w:t>Feasibility — no material impact — this update only changes the CSS of the public corporate pages (fonts, colours, radii) to match the storefront. No requirement, interface, data, process or plan item changes. One stylesheet edited; the removal of the imported web fonts slightly reduces page weight.</w:t>
      </w:r>
    </w:p>
    <w:p>
      <w:pPr>
        <w:pStyle w:val="Heading1"/>
      </w:pPr>
      <w:r>
        <w:t>Implementation Status Update 52 (29 August 2026) — Public Content Pages Folded Into the Corporate Site Chrome</w:t>
      </w:r>
    </w:p>
    <w:p>
      <w:pPr>
        <w:pStyle w:val="BodyText"/>
      </w:pPr>
      <w:r>
        <w:t>The public CMS content pages at /page/:slug (About, Terms, Delivery — linked from the corporate site’s utility bar and footer) now render inside the same shell and styling as the rest of the pre-login corporate mini-site (landing, Companies, Group Overview, News, Contacts). Presentation-only.</w:t>
      </w:r>
    </w:p>
    <w:p>
      <w:pPr>
        <w:pStyle w:val="BodyText"/>
      </w:pPr>
      <w:r>
        <w:t>What changed:</w:t>
      </w:r>
    </w:p>
    <w:p>
      <w:pPr>
        <w:pStyle w:val="BodyText"/>
      </w:pPr>
      <w:r>
        <w:t>•  ContentPage (mbms/storefront/src/pages/Page.jsx) now wraps its body in &lt;CorporateLayout&gt; — the shared utility bar, main navigation, footer and demonstration disclaimer — and uses the mc-* classes and the storefront design system (system fonts; navy / white / amber). It previously used a stripped-down header of its own and the earlier landing-page styling.</w:t>
      </w:r>
    </w:p>
    <w:p>
      <w:pPr>
        <w:pStyle w:val="BodyText"/>
      </w:pPr>
      <w:r>
        <w:t>•  One small block of card / article styles was added to mbms/storefront/src/styles/corporate.css (.mc-article). No other file changed.</w:t>
      </w:r>
    </w:p>
    <w:p>
      <w:pPr>
        <w:pStyle w:val="BodyText"/>
      </w:pPr>
      <w:r>
        <w:t>•  No change to the content itself, to the CMS admin screen, or to the endpoint that serves it (GET /api/v1/customer-portal/content/:slug — still public, unchanged). No backend, API, schema or data change.</w:t>
      </w:r>
    </w:p>
    <w:p>
      <w:pPr>
        <w:pStyle w:val="BodyText"/>
      </w:pPr>
      <w:r>
        <w:t>Verified: /page/about and /page/terms render with the corporate utility bar / nav / footer and the storefront’s navy / white / amber styling, matching /, /companies, /investors/overview, /investors/news and /contacts; the storefront production build passes; a signed-in customer still lands on the dashboard.</w:t>
      </w:r>
    </w:p>
    <w:p>
      <w:pPr>
        <w:pStyle w:val="Heading2"/>
      </w:pPr>
      <w:r>
        <w:t>Impact on this document</w:t>
      </w:r>
    </w:p>
    <w:p>
      <w:pPr>
        <w:pStyle w:val="BodyText"/>
      </w:pPr>
      <w:r>
        <w:t>Feasibility — no material impact — this update only changes which shell and CSS the public /page/:slug content pages use, so they match the rest of the corporate site. No requirement, interface, data, process or plan item changes.</w:t>
      </w:r>
    </w:p>
    <w:p>
      <w:pPr>
        <w:pStyle w:val="Heading1"/>
      </w:pPr>
      <w:r>
        <w:t>Implementation Status Update 53 (29 August 2026) — Social Media Channels — Managed in Admin, Shown in the Storefront</w:t>
      </w:r>
    </w:p>
    <w:p>
      <w:pPr>
        <w:pStyle w:val="BodyText"/>
      </w:pPr>
      <w:r>
        <w:t>An administrator can now add the group’s social media channels in Admin » CMS / Site Builder, and they appear in the storefront footer — both the pre-login corporate pages and the signed-in customer pages.</w:t>
      </w:r>
    </w:p>
    <w:p>
      <w:pPr>
        <w:pStyle w:val="BodyText"/>
      </w:pPr>
      <w:r>
        <w:t>What was delivered:</w:t>
      </w:r>
    </w:p>
    <w:p>
      <w:pPr>
        <w:pStyle w:val="BodyText"/>
      </w:pPr>
      <w:r>
        <w:t>•  New table social_links (migration 20260829180000_social_media_links) — platform (enum: facebook, x, instagram, linkedin, youtube, tiktok, whatsapp, telegram, other), optional label, url, sort_order, is_visible, created_by, timestamps. Site-wide, not per-company — the same scope model as content pages.</w:t>
      </w:r>
    </w:p>
    <w:p>
      <w:pPr>
        <w:pStyle w:val="BodyText"/>
      </w:pPr>
      <w:r>
        <w:t>•  Admin API under /api/v1/cms: GET /cms/social-links (needs cms.viewAll or cms.manage), POST /cms/social-links, PATCH /cms/social-links/{id}, DELETE /cms/social-links/{id} (all writes need cms.manage). New service SocialLinksService in the CMS module; every write is audited (cms.social_link.created / updated / deleted, entity_type social_link). No new permission — it reuses cms.manage / cms.viewAll.</w:t>
      </w:r>
    </w:p>
    <w:p>
      <w:pPr>
        <w:pStyle w:val="BodyText"/>
      </w:pPr>
      <w:r>
        <w:t>•  Public API: GET /api/v1/customer-portal/public/social-links — PUBLIC, no token — returns the visible channels in the admin-set order ({ platform, label, url }); honours Accept-Language for the label.</w:t>
      </w:r>
    </w:p>
    <w:p>
      <w:pPr>
        <w:pStyle w:val="BodyText"/>
      </w:pPr>
      <w:r>
        <w:t>•  Admin UI: a “Social media channels” panel on the CMS / Site Builder screen — list with visible/hidden toggle, re-order, remove, and an add row (platform, URL, label). Storefront: the footer of CorporateLayout (corporate pages) and of the signed-in Layout renders a “Follow us” row of channel links; an empty list renders nothing.</w:t>
      </w:r>
    </w:p>
    <w:p>
      <w:pPr>
        <w:pStyle w:val="BodyText"/>
      </w:pPr>
      <w:r>
        <w:t>•  Seed: Facebook, X, LinkedIn and Instagram seeded as visible, a WhatsApp channel seeded hidden, all owned by the Managing Director (fixed ids, idempotent).</w:t>
      </w:r>
    </w:p>
    <w:p>
      <w:pPr>
        <w:pStyle w:val="BodyText"/>
      </w:pPr>
      <w:r>
        <w:t>Verified end to end: signed in as the Managing Director, added and toggled a channel via /cms/social-links; GET /customer-portal/public/social-links immediately reflected the visible set (a hidden channel is excluded, appears the moment it is shown); the storefront and admin production builds pass; OpenAPI now documents the three new paths.</w:t>
      </w:r>
    </w:p>
    <w:p>
      <w:pPr>
        <w:pStyle w:val="Heading2"/>
      </w:pPr>
      <w:r>
        <w:t>Impact on this document</w:t>
      </w:r>
    </w:p>
    <w:p>
      <w:pPr>
        <w:pStyle w:val="BodyText"/>
      </w:pPr>
      <w:r>
        <w:t>Feasibility — low risk: one table + enum, a CRUD service modelled on the existing CMS block service, no new permission and no new dependency. One migration.</w:t>
      </w:r>
    </w:p>
    <w:p>
      <w:pPr>
        <w:pStyle w:val="Heading1"/>
      </w:pPr>
      <w:r>
        <w:t>Implementation Status Update 54 (29 August 2026) — Landing-page Newsletter Sign-up and FAQ Section</w:t>
      </w:r>
    </w:p>
    <w:p>
      <w:pPr>
        <w:pStyle w:val="BodyText"/>
      </w:pPr>
      <w:r>
        <w:t>The corporate landing page gains a Newsletter sign-up band and an FAQ section. The FAQ items are managed by an administrator in Admin » CMS / Site Builder; newsletter sign-ups are captured from the landing page and listed for administrators there too.</w:t>
      </w:r>
    </w:p>
    <w:p>
      <w:pPr>
        <w:pStyle w:val="BodyText"/>
      </w:pPr>
      <w:r>
        <w:t>What was delivered:</w:t>
      </w:r>
    </w:p>
    <w:p>
      <w:pPr>
        <w:pStyle w:val="BodyText"/>
      </w:pPr>
      <w:r>
        <w:t>•  Two new tables (migration 20260829200000_landing_faq_newsletter). faq_items — question VARCHAR(300), answer TEXT, sort_order, is_visible, created_by, timestamps (site-wide, same scope model as content pages). newsletter_subscribers — email VARCHAR(255) UNIQUE, status (enum NewsletterStatus: subscribed / unsubscribed), source VARCHAR(80), timestamps.</w:t>
      </w:r>
    </w:p>
    <w:p>
      <w:pPr>
        <w:pStyle w:val="BodyText"/>
      </w:pPr>
      <w:r>
        <w:t>•  Admin API on /api/v1/cms (JWT + cms permissions): GET/POST/PATCH/DELETE /cms/faqs (writes need cms.manage; reads cms.viewAll or cms.manage); GET /cms/newsletter-subscribers (read, with total / subscribed / unsubscribed counts) and DELETE /cms/newsletter-subscribers/{id} (cms.manage). No new permission — reuses cms.manage / cms.viewAll. FAQ writes are audited (cms.faq_item.created / updated / deleted); a subscriber delete is audited (cms.newsletter_subscriber.deleted).</w:t>
      </w:r>
    </w:p>
    <w:p>
      <w:pPr>
        <w:pStyle w:val="BodyText"/>
      </w:pPr>
      <w:r>
        <w:t>•  Public API (no token): GET /api/v1/customer-portal/public/faqs — visible items in the admin order, { id, question, answer }, Accept-Language applied. POST /api/v1/customer-portal/public/newsletter { email, source? } — rate-limited (10 / minute / IP, SEC-05 style), idempotent, and non-enumerating (always returns { subscribed: true }; a repeat sign-up or a previously-unsubscribed address is silently re-subscribed).</w:t>
      </w:r>
    </w:p>
    <w:p>
      <w:pPr>
        <w:pStyle w:val="BodyText"/>
      </w:pPr>
      <w:r>
        <w:t>•  Admin UI: a “Landing-page FAQ” panel (inline-edit question / answer, show-hide, re-order, add, remove) and a read-only “Newsletter sign-ups” panel (counts + list + remove) on the CMS / Site Builder screen. Storefront: a NewsletterSection band and an expand/collapse FaqSection on the landing page; the FAQ section is omitted when there are no visible items.</w:t>
      </w:r>
    </w:p>
    <w:p>
      <w:pPr>
        <w:pStyle w:val="BodyText"/>
      </w:pPr>
      <w:r>
        <w:t>•  Seed: five demo FAQ items (four visible, one hidden), owned by the Managing Director (fixed ids, idempotent). No newsletter subscribers seeded.</w:t>
      </w:r>
    </w:p>
    <w:p>
      <w:pPr>
        <w:pStyle w:val="BodyText"/>
      </w:pPr>
      <w:r>
        <w:t>Verified end to end: as the Managing Director, listed and edited FAQ items via /cms/faqs; GET /customer-portal/public/faqs returned only the visible four; POST /customer-portal/public/newsletter accepted a new address (201) and a repeat (still 201), rejected a malformed address (400), and the sign-up appeared in GET /cms/newsletter-subscribers; the storefront and admin production builds pass; OpenAPI now documents the six new paths.</w:t>
      </w:r>
    </w:p>
    <w:p>
      <w:pPr>
        <w:pStyle w:val="Heading2"/>
      </w:pPr>
      <w:r>
        <w:t>Impact on this document</w:t>
      </w:r>
    </w:p>
    <w:p>
      <w:pPr>
        <w:pStyle w:val="BodyText"/>
      </w:pPr>
      <w:r>
        <w:t>Feasibility — low risk: two tables, a CRUD service modelled on the existing CMS block / social-link services, no new permission, no new dependency (the rate-limit reuses the existing throttler). One migration.</w:t>
      </w:r>
    </w:p>
    <w:p>
      <w:pPr>
        <w:pStyle w:val="Heading1"/>
      </w:pPr>
      <w:r>
        <w:t>Implementation Status Update 55 (30 August 2026) — Content Localisation Completed — Orders &amp; Payments (Read in Chosen Language, Store Input in English)</w:t>
      </w:r>
    </w:p>
    <w:p>
      <w:pPr>
        <w:pStyle w:val="BodyText"/>
      </w:pPr>
      <w:r>
        <w:t>The "read database text in the customer’s language, store the customer’s input in English" behaviour (Updates 32, 33, 39, 48) is now also applied to the two customer-facing areas it had not yet reached — order history and payments — closing the gap so the rule holds across the whole storefront.</w:t>
      </w:r>
    </w:p>
    <w:p>
      <w:pPr>
        <w:pStyle w:val="BodyText"/>
      </w:pPr>
      <w:r>
        <w:t>READ — shown in the chosen language (Accept-Language):</w:t>
      </w:r>
    </w:p>
    <w:p>
      <w:pPr>
        <w:pStyle w:val="BodyText"/>
      </w:pPr>
      <w:r>
        <w:t>•  GET /customer-portal/orders and /orders/{id} now return each line item’s product name, the selling subsidiary name, and the cancellation reason in the customer’s language, as far as the content glossary reaches; digits follow the language’s script. When the customer cancelled the order in the language they are now browsing in, their exact original wording is shown back instead of the translated English. The order-placement confirmation is localised the same way.</w:t>
      </w:r>
    </w:p>
    <w:p>
      <w:pPr>
        <w:pStyle w:val="BodyText"/>
      </w:pPr>
      <w:r>
        <w:t>WRITE — stored in English + 0-9 only:</w:t>
      </w:r>
    </w:p>
    <w:p>
      <w:pPr>
        <w:pStyle w:val="BodyText"/>
      </w:pPr>
      <w:r>
        <w:t>•  An order cancellation reason a customer types is normalised to English before it is stored (glossary + digit-normalise). The row keeps the customer’s exact original and its source language — new columns orders.cancellation_reason_original and orders.cancellation_source_language (migration 20260829210000_order_cancellation_reason_localisation) — the same shape delivery addresses, support tickets and the customer record already use. Staff who cancel an order type English; no original is kept.</w:t>
      </w:r>
    </w:p>
    <w:p>
      <w:pPr>
        <w:pStyle w:val="BodyText"/>
      </w:pPr>
      <w:r>
        <w:t>•  A payment reference (a bank / mobile-money transaction id) has its digits normalised to 0-9 on write, so a reference a customer typed in another numeral script is stored in the form a bank statement uses. It is an identifier, not prose — nothing else about it changes.</w:t>
      </w:r>
    </w:p>
    <w:p>
      <w:pPr>
        <w:pStyle w:val="BodyText"/>
      </w:pPr>
      <w:r>
        <w:t>No new endpoint and no new permission; the existing order routes now honour Accept-Language and the cancel route normalises its input. Staff always read and write English.</w:t>
      </w:r>
    </w:p>
    <w:p>
      <w:pPr>
        <w:pStyle w:val="BodyText"/>
      </w:pPr>
      <w:r>
        <w:t>Verified end to end: browsing in Swahili, order ORD-2026-0011’s line "Bean Seed — 10kg Bag" reads "Maharage Mbegu — 10kg Mfuko"; cancelling an order in Swahili with reason "Ghala" stores cancellation_reason = "Warehouse" with cancellation_reason_original = "Ghala" and cancellation_source_language = "sw" — an English (admin) read shows "Warehouse", the Swahili customer sees "Ghala"; a payment reference "MP٢٤٠٨٢٩.٠٠١" is stored as "MP240829.001". The backend build is clean.</w:t>
      </w:r>
    </w:p>
    <w:p>
      <w:pPr>
        <w:pStyle w:val="Heading2"/>
      </w:pPr>
      <w:r>
        <w:t>Impact on this document</w:t>
      </w:r>
    </w:p>
    <w:p>
      <w:pPr>
        <w:pStyle w:val="BodyText"/>
      </w:pPr>
      <w:r>
        <w:t>Feasibility — no material impact — this update only extends the existing read-in-language / store-in-English behaviour to order history and payments. No new endpoint, permission, process or plan item; one additive migration (two nullable columns on orders).</w:t>
      </w:r>
    </w:p>
    <w:p>
      <w:pPr>
        <w:pStyle w:val="Heading1"/>
      </w:pPr>
      <w:r>
        <w:t>Implementation Status Update 56 (30 August 2026) — Content Localisation — Final Edges (Dashboard, Account Statement &amp; Exported PDFs, Discount-Code Input)</w:t>
      </w:r>
    </w:p>
    <w:p>
      <w:pPr>
        <w:pStyle w:val="BodyText"/>
      </w:pPr>
      <w:r>
        <w:t>A sweep of every remaining customer-facing read and write path found three edges the "read in the customer’s language / store the customer’s input in English" rule had not yet reached; all three are now closed, so the rule holds everywhere a customer sees text or types it.</w:t>
      </w:r>
    </w:p>
    <w:p>
      <w:pPr>
        <w:pStyle w:val="BodyText"/>
      </w:pPr>
      <w:r>
        <w:t>READ — now shown in the chosen language (Accept-Language):</w:t>
      </w:r>
    </w:p>
    <w:p>
      <w:pPr>
        <w:pStyle w:val="BodyText"/>
      </w:pPr>
      <w:r>
        <w:t>•  GET /customer-portal/dashboard-summary — the Home screen’s "Recent Orders" widget: line-item product names and the selling subsidiary name (it passes the language through to the order projection).</w:t>
      </w:r>
    </w:p>
    <w:p>
      <w:pPr>
        <w:pStyle w:val="BodyText"/>
      </w:pPr>
      <w:r>
        <w:t>•  GET /customer-portal/invoices/statement — each transaction row now carries a typeLabel ("invoice" / "payment") in the customer’s language alongside the machine type.</w:t>
      </w:r>
    </w:p>
    <w:p>
      <w:pPr>
        <w:pStyle w:val="BodyText"/>
      </w:pPr>
      <w:r>
        <w:t>•  GET /customer-portal/invoices/statement/pdf and /invoices/{id}/pdf — the exported Account Statement and Invoice PDFs are labelled in the customer’s language (title, "Balance", the column headers, the row type and the invoice status), with digits transliterated. The storefront now sends Accept-Language on the download too. Known limit: PDFKit’s built-in font renders Latin scripts and 0-9 only, so a non-Latin script (Arabic, CJK, …) still shows those label words in English — font embedding is the follow-up, the same class of seam as free-prose translation.</w:t>
      </w:r>
    </w:p>
    <w:p>
      <w:pPr>
        <w:pStyle w:val="BodyText"/>
      </w:pPr>
      <w:r>
        <w:t>WRITE — matched / stored in English + 0-9:</w:t>
      </w:r>
    </w:p>
    <w:p>
      <w:pPr>
        <w:pStyle w:val="BodyText"/>
      </w:pPr>
      <w:r>
        <w:t>•  A discount code a customer types at checkout or in the validate call is normalised to 0-9 before the look-up (a code entered as "WELCOME١٠" now matches "WELCOME10"), then upper-cased — on both POST /customer-portal/orders and POST /customer-portal/discount-codes/validate.</w:t>
      </w:r>
    </w:p>
    <w:p>
      <w:pPr>
        <w:pStyle w:val="BodyText"/>
      </w:pPr>
      <w:r>
        <w:t>Glossary: added the account-statement / invoice-PDF label vocabulary ("Account Statement", "Balance", "Date", "Type", "Reference", "Amount", "Running Balance", "Order", "Status", "Invoice Number", "Due Date", "Paid At", the row types "invoice"/"payment", and the invoice statuses paid / overdue / due_soon / upcoming) for the eight fully-translated languages.</w:t>
      </w:r>
    </w:p>
    <w:p>
      <w:pPr>
        <w:pStyle w:val="BodyText"/>
      </w:pPr>
      <w:r>
        <w:t>No new endpoint, no new permission, no schema change. Staff always read and write English.</w:t>
      </w:r>
    </w:p>
    <w:p>
      <w:pPr>
        <w:pStyle w:val="BodyText"/>
      </w:pPr>
      <w:r>
        <w:t>Verified end to end: browsing in Swahili, the dashboard’s recent orders read "Maharage Mbegu — 10kg Mfuko"; the statement rows read "ankara" / "malipo"; the statement PDF header reads "Taarifa ya Akaunti … Tarehe / Aina / Kumbukumbu / Kiasi / Salio Linaloendelea" (and "Relevé de compte …" in French); a discount code "WELCOME١٠" is matched as "WELCOME10". Backend build clean; OpenAPI regenerated.</w:t>
      </w:r>
    </w:p>
    <w:p>
      <w:pPr>
        <w:pStyle w:val="Heading2"/>
      </w:pPr>
      <w:r>
        <w:t>Impact on this document</w:t>
      </w:r>
    </w:p>
    <w:p>
      <w:pPr>
        <w:pStyle w:val="BodyText"/>
      </w:pPr>
      <w:r>
        <w:t>Feasibility — no material impact — this update only extends the existing read-in-language / store-in-English behaviour to three remaining edges (the dashboard recent-orders widget, the account statement and its PDFs, and the typed discount code). No new endpoint, permission, schema, process or plan item. The one carried-forward limit (PDFKit renders Latin scripts only) is documented as a font-embedding follow-up.</w:t>
      </w:r>
    </w:p>
    <w:p>
      <w:pPr>
        <w:pStyle w:val="Heading1"/>
      </w:pPr>
      <w:r>
        <w:t>Implementation Status Update 57 (30 August 2026) — Collateral Management Subsidiary + Multi-Site Collateral Management System Specification (New Doc 21)</w:t>
      </w:r>
    </w:p>
    <w:p>
      <w:pPr>
        <w:pStyle w:val="BodyText"/>
      </w:pPr>
      <w:r>
        <w:t>Using the same subsidiary-lifecycle capability, the Managing Director has set up a third specification-stage subsidiary — Morise Collateral Management Ltd — a wholly-owned collateral management agent (CMA) that monitors physical goods pledged as collateral (commodities, inventory, stored assets) for banks and financiers across many client sites (warehouses, silos, tank farms, yards, cold stores).</w:t>
      </w:r>
    </w:p>
    <w:p>
      <w:pPr>
        <w:pStyle w:val="BodyText"/>
      </w:pPr>
      <w:r>
        <w:t>Delivered — seed data only, no code / schema / permission change:</w:t>
      </w:r>
    </w:p>
    <w:p>
      <w:pPr>
        <w:pStyle w:val="BodyText"/>
      </w:pPr>
      <w:r>
        <w:t>•  Org structure seeded in seed.ts and fully manageable by the Managing Director (view / create / update / delete / activate): the company (a1000000-…-000000000006, wholly-owned, UGX, FY 1 January, registered office Nakasero, Kampala); 6 sites / branches (Kampala Head Office, Jinja Grain Silos, Mbale Warehouse, Masindi Grain Store, Kasese Cold Store, Buikwe Tank Farm); 9 departments (Field Inspection; Site &amp; Warehouse Management; Stock &amp; Collateral Control; Inspection &amp; Audit; Release &amp; Movement Authorization; Client &amp; Lender Relations; Compliance &amp; Risk; Workforce &amp; Rostering; IT &amp; Integrations); and 6 starter policies (GPS &amp; Evidence Integrity; Dual-Control Release Approval; Coverage Threshold Auto-Hold; Offline Field Sync; Multi-Client Stock Segregation; Inspection Frequency by Risk).</w:t>
      </w:r>
    </w:p>
    <w:p>
      <w:pPr>
        <w:pStyle w:val="BodyText"/>
      </w:pPr>
      <w:r>
        <w:t>•  A new numbered document — 21_Multi-Site Collateral Management System — Feature Specification — restates the client-supplied specification (retained in docx/ as Multi-Site-Collateral-Management-System-Feature-Specification.docx) in the house format of docs 19 and 20: ten feature modules (Site &amp; Warehouse Management; Field Inspector Operations / mobile app; Staff &amp; Workforce Management; Stock &amp; Collateral Management; Inspection &amp; Audit Workflow; Release &amp; Movement Authorization; Client / Lender Portal; Alerts &amp; Notifications; Reporting &amp; Compliance; Document Management), plus non-functional requirements, an architecture overview, the integration-points and phased-roadmap tables, user roles, the suggested technology stack, the organisation-as-built section, the relationship to the existing MBMS platform, and approval.</w:t>
      </w:r>
    </w:p>
    <w:p>
      <w:pPr>
        <w:pStyle w:val="BodyText"/>
      </w:pPr>
      <w:r>
        <w:t>•  None of the CMS modules are implemented. The subsidiary appears in the group directory / Group Overview (five subsidiaries now, 20 sites / branches) with no priced catalogue — it is a monitoring and inspection service, not a shop. A storefront presentation entry (sector + blurb) was added for its corporate-site card.</w:t>
      </w:r>
    </w:p>
    <w:p>
      <w:pPr>
        <w:pStyle w:val="BodyText"/>
      </w:pPr>
      <w:r>
        <w:t>Verified: after re-seed, GET /customer-portal/public/overview lists Morise Collateral Management Ltd with 6 branches and 0 products; the database holds the company, 6 branches, 9 departments and 6 policies under it; no migration ran (schema unchanged).</w:t>
      </w:r>
    </w:p>
    <w:p>
      <w:pPr>
        <w:pStyle w:val="Heading2"/>
      </w:pPr>
      <w:r>
        <w:t>Impact on this document</w:t>
      </w:r>
    </w:p>
    <w:p>
      <w:pPr>
        <w:pStyle w:val="BodyText"/>
      </w:pPr>
      <w:r>
        <w:t>Feasibility — the CMS is a substantial net-new build (offline field app, geofenced site registry, valuation / coverage engine, dual-control release, lender portal, weighbridge / IoT ingestion). The present change is only the seeded org structure and the doc-21 specification; no feasibility risk is taken on now.</w:t>
      </w:r>
    </w:p>
    <w:p>
      <w:pPr>
        <w:pStyle w:val="Heading1"/>
      </w:pPr>
      <w:r>
        <w:t>Implementation Status Update 58 (30 August 2026) — Full-page Demonstration-Disclaimer Gate (10-second Hold) + Admin-Managed Disclaimer Statements</w:t>
      </w:r>
    </w:p>
    <w:p>
      <w:pPr>
        <w:pStyle w:val="BodyText"/>
      </w:pPr>
      <w:r>
        <w:t>The demonstration disclaimer that used to appear as a dismissible modal over the corporate landing page is now a full-page gate a signed-out visitor must pass through first: the disclaimer is shown for a hold period (10 seconds by default, set server-side) with a live countdown on the button, then an "I Understand, Continue" button becomes active and the landing page appears. The acknowledgement is remembered per browser, so a return visitor goes straight to the landing page.</w:t>
      </w:r>
    </w:p>
    <w:p>
      <w:pPr>
        <w:pStyle w:val="BodyText"/>
      </w:pPr>
      <w:r>
        <w:t>The disclaimer text is now managed by admin staff, not hard-coded:</w:t>
      </w:r>
    </w:p>
    <w:p>
      <w:pPr>
        <w:pStyle w:val="BodyText"/>
      </w:pPr>
      <w:r>
        <w:t>•  New table disclaimer_items (migration 20260830130000_site_disclaimer) — body (text), sort_order, is_visible, created_by, timestamps. Site-wide, the same scope model as faq_items / social_links.</w:t>
      </w:r>
    </w:p>
    <w:p>
      <w:pPr>
        <w:pStyle w:val="BodyText"/>
      </w:pPr>
      <w:r>
        <w:t>•  Admin API on /api/v1/cms (JWT + cms permissions): GET / POST / PATCH / DELETE /cms/disclaimer-items — writes need cms.manage, reads cms.viewAll or cms.manage. No new permission. Every write is audited (cms.disclaimer_item.created / updated / deleted).</w:t>
      </w:r>
    </w:p>
    <w:p>
      <w:pPr>
        <w:pStyle w:val="BodyText"/>
      </w:pPr>
      <w:r>
        <w:t>•  Public API (no token): GET /api/v1/customer-portal/public/disclaimer → { holdSeconds, items: [{ id, body }] } — visible statements in the admin-set order, Accept-Language applied to the text, and the hold period the gate counts down.</w:t>
      </w:r>
    </w:p>
    <w:p>
      <w:pPr>
        <w:pStyle w:val="BodyText"/>
      </w:pPr>
      <w:r>
        <w:t>•  Admin UI: a "Site disclaimer" panel on the CMS / Site Builder screen (inline-edit statement, show / hide, re-order, add, remove). Storefront: a new full-page DisclaimerGate component gates "/" for a signed-out, un-acknowledged visitor; the deep-link corporate marketing routes redirect back through it. The old CorporateLayout modal remains only as a "Read disclaimer" re-opener, now fed by the same admin statements.</w:t>
      </w:r>
    </w:p>
    <w:p>
      <w:pPr>
        <w:pStyle w:val="BodyText"/>
      </w:pPr>
      <w:r>
        <w:t>•  Seed: five demonstration statements (proof-of-concept build; demo data; simulated payments; do not enter real information; access is issued by Morise Holdings), owned by the Managing Director (fixed ids, idempotent).</w:t>
      </w:r>
    </w:p>
    <w:p>
      <w:pPr>
        <w:pStyle w:val="BodyText"/>
      </w:pPr>
      <w:r>
        <w:t>Verified end to end: signed out, "/" shows the disclaimer gate with the five seeded statements and a disabled button counting down from 10; after the countdown the button activates and continuing shows the landing page; a reload goes straight to the landing page. As the Managing Director, adding a statement via /cms/disclaimer-items made it appear immediately in GET /customer-portal/public/disclaimer. Storefront and admin production builds pass; OpenAPI documents the three new paths.</w:t>
      </w:r>
    </w:p>
    <w:p>
      <w:pPr>
        <w:pStyle w:val="Heading2"/>
      </w:pPr>
      <w:r>
        <w:t>Impact on this document</w:t>
      </w:r>
    </w:p>
    <w:p>
      <w:pPr>
        <w:pStyle w:val="BodyText"/>
      </w:pPr>
      <w:r>
        <w:t>Feasibility — no material impact — this update changes the demonstration disclaimer from a modal into a first-shown full-page gate with a 10-second hold, and moves its statements into an admin-managed table (one additive migration; reuses the existing CMS permissions).</w:t>
      </w:r>
    </w:p>
    <w:p>
      <w:pPr>
        <w:pStyle w:val="Heading1"/>
      </w:pPr>
      <w:r>
        <w:t>Implementation Status Update 59 (30 August 2026) — Disclaimer Gate &amp; Corporate Landing Pages Localised into the Chosen Language</w:t>
      </w:r>
    </w:p>
    <w:p>
      <w:pPr>
        <w:pStyle w:val="BodyText"/>
      </w:pPr>
      <w:r>
        <w:t>The pre-login corporate surface — the full-page disclaimer gate, the landing page and the rest of the corporate mini-site (Companies, Profile, Group Leadership, Group Overview, News, Contacts, footer) — now renders in the language the visitor chooses, not only in English.</w:t>
      </w:r>
    </w:p>
    <w:p>
      <w:pPr>
        <w:pStyle w:val="BodyText"/>
      </w:pPr>
      <w:r>
        <w:t>What was delivered (front-end + glossary; no schema, endpoint or permission change):</w:t>
      </w:r>
    </w:p>
    <w:p>
      <w:pPr>
        <w:pStyle w:val="BodyText"/>
      </w:pPr>
      <w:r>
        <w:t>•  The 144 corporate / disclaimer / landing UI strings (previously English-only) are translated into the eight fully-supported languages — Swahili, Luganda, French, Spanish, Portuguese, German, Italian and Arabic — in locales/eu.js and locales/regional.js, so choosing one of those changes the whole pre-login surface, headings, labels, buttons and the disclaimer-gate countdown ("Please read — continue in Ns") included.</w:t>
      </w:r>
    </w:p>
    <w:p>
      <w:pPr>
        <w:pStyle w:val="BodyText"/>
      </w:pPr>
      <w:r>
        <w:t>•  The five seeded disclaimer statements are added to the content-translation glossary (content-glossary.ts) for the same eight languages, so GET /customer-portal/public/disclaimer returns them in the chosen language (Accept-Language), the same way the seeded CMS content-page bodies already do. An admin-added statement beyond the seeded five falls through untranslated until a real machine-translation provider is wired in — the documented glossary limit.</w:t>
      </w:r>
    </w:p>
    <w:p>
      <w:pPr>
        <w:pStyle w:val="BodyText"/>
      </w:pPr>
      <w:r>
        <w:t>•  First-visit language detection: with no stored choice, the storefront now honours an explicit ?lang=&lt;code&gt; on the URL (persisted), then the browser’s own preferred languages (navigator.languages), before falling back to English — so a Swahili, French or Arabic browser lands on its own language on the gate and landing page. The language picker on the gate still overrides and remembers the visitor’s explicit choice.</w:t>
      </w:r>
    </w:p>
    <w:p>
      <w:pPr>
        <w:pStyle w:val="BodyText"/>
      </w:pPr>
      <w:r>
        <w:t>•  Right-to-left safety net for Arabic: a small [dir="rtl"] block in corporate.css fixes the physically-placed bits (the gate’s list alignment, the overview table’s right-aligned figures, the FAQ question row, the two-column detail grids); the browser mirrors the rest from document.dir.</w:t>
      </w:r>
    </w:p>
    <w:p>
      <w:pPr>
        <w:pStyle w:val="BodyText"/>
      </w:pPr>
      <w:r>
        <w:t>Verified: the disclaimer gate opened at /?lang=sw, /?lang=fr and /?lang=ar renders its heading, the five statements, the countdown button, the hint line and the "Customer sign in" link entirely in that language, with the Arabic layout mirrored right-to-left; GET /customer-portal/public/disclaimer with Accept-Language: sw / fr / ar returns the statements translated. Storefront and admin production builds pass.</w:t>
      </w:r>
    </w:p>
    <w:p>
      <w:pPr>
        <w:pStyle w:val="Heading2"/>
      </w:pPr>
      <w:r>
        <w:t>Impact on this document</w:t>
      </w:r>
    </w:p>
    <w:p>
      <w:pPr>
        <w:pStyle w:val="BodyText"/>
      </w:pPr>
      <w:r>
        <w:t>Feasibility — no material impact — this update only translates the pre-login corporate / disclaimer / landing UI strings into the eight fully-supported languages and adds first-visit language detection. No new endpoint, permission or schema; no change to any built feature.</w:t>
      </w:r>
    </w:p>
    <w:p>
      <w:pPr>
        <w:pStyle w:val="Heading1"/>
      </w:pPr>
      <w:r>
        <w:t>Implementation Status Update 60 (30 August 2026) — Morise Collateral Management Ltd — Priced Services Catalogue Added to the Group Storefront</w:t>
      </w:r>
    </w:p>
    <w:p>
      <w:pPr>
        <w:pStyle w:val="BodyText"/>
      </w:pPr>
      <w:r>
        <w:t>Update 57 seeded Morise Collateral Management Ltd as an org structure only, with no storefront catalogue. It now has a priced service catalogue in the group storefront, drawn from the client-supplied reference catalogue “Services Offered by Collateral Management Companies” (retained in docx/ as Collateral-Management-Company-Services-Catalog.docx).</w:t>
      </w:r>
    </w:p>
    <w:p>
      <w:pPr>
        <w:pStyle w:val="BodyText"/>
      </w:pPr>
      <w:r>
        <w:t>What was delivered (seed data only — no code, schema or permission change; the group-storefront engine already supports any number of sellers):</w:t>
      </w:r>
    </w:p>
    <w:p>
      <w:pPr>
        <w:pStyle w:val="BodyText"/>
      </w:pPr>
      <w:r>
        <w:t>•  Ten priced services (CMC-5001–CMC-5010) across five storefront categories — Custody &amp; Control, Inspection &amp; Verification, Stock &amp; Movement Control, Risk &amp; Valuation, and Reporting &amp; Compliance — seeded onto the subsidiary’s six sites: Collateral Management Agreement (CMA) setup &amp; onboarding; Field Warehousing Control; Stock Inspection Visit (quantity, quality &amp; sampling); Weighbridge &amp; Tank / Silo Gauging; Stock Reconciliation &amp; Variance Report; Dual-Control Release Authorization; Collateral Valuation &amp; Coverage-Ratio Monitoring; Daily Stock-Position Reporting &amp; Lender Portal Access; Warehouse Receipt Issuance; and Facility / Site Accreditation Assessment. UGX pricing, per-service unit of measure, category and branch attribution.</w:t>
      </w:r>
    </w:p>
    <w:p>
      <w:pPr>
        <w:pStyle w:val="BodyText"/>
      </w:pPr>
      <w:r>
        <w:t>•  The subsidiary is given the same six-account starter chart (Cash and Bank, Accounts Receivable, Accounts Payable, Retained Earnings, Service Revenue, Cost of Services) and an open FY2026-Q1 period via ensureStorefrontBooks(), so its storefront orders invoice and GL-post in its own books — exactly as Update 47 did for Clearing &amp; Forwarding and Warehouse Management.</w:t>
      </w:r>
    </w:p>
    <w:p>
      <w:pPr>
        <w:pStyle w:val="BodyText"/>
      </w:pPr>
      <w:r>
        <w:t>•  The five catalogue category names and the recurring service-name tokens (collateral, custody, control, inspection, valuation, coverage, reconciliation, release, authorization, receipt, reporting, compliance, gauging, accreditation, facility, agreement, weighbridge, silo, tank, lender, portal, …) are added to the content-translation glossary for the eight fully-supported languages, so the rows render in the customer’s chosen language as far as the glossary reaches (proper nouns and the residual prose pass through, the documented limit).</w:t>
      </w:r>
    </w:p>
    <w:p>
      <w:pPr>
        <w:pStyle w:val="BodyText"/>
      </w:pPr>
      <w:r>
        <w:t>•  docx/21 gains an addendum — “Services Catalogue Seeded into the Storefront” — restating the reference catalogue’s nine categories, the physical-vs-financial comparison table, and the ten seeded services with their sites and prices. The Multi-Site Collateral Management System itself (docx/21 Sections 2–11) stays a future-phase backlog; only the priced catalogue is live.</w:t>
      </w:r>
    </w:p>
    <w:p>
      <w:pPr>
        <w:pStyle w:val="BodyText"/>
      </w:pPr>
      <w:r>
        <w:t>Verified end to end: after re-seed, GET /customer-portal/public/overview lists Morise Collateral Management Ltd with 6 sites and 10 products (group figures now 34 products across 18 categories); GET /customer-portal/catalog/products?companyId=…006 returns the ten services, priced and branch-tagged, and localised into Swahili / French on Accept-Language. No migration ran.</w:t>
      </w:r>
    </w:p>
    <w:p>
      <w:pPr>
        <w:pStyle w:val="Heading2"/>
      </w:pPr>
      <w:r>
        <w:t>Impact on this document</w:t>
      </w:r>
    </w:p>
    <w:p>
      <w:pPr>
        <w:pStyle w:val="BodyText"/>
      </w:pPr>
      <w:r>
        <w:t>Feasibility — no material impact — this update only seeds a priced service catalogue for Morise Collateral Management Ltd into the existing group-storefront mechanism, plus glossary entries so the rows localise. No code, schema, permission or interface change.</w:t>
      </w:r>
    </w:p>
    <w:p>
      <w:pPr>
        <w:pStyle w:val="Heading1"/>
      </w:pPr>
      <w:r>
        <w:t>Implementation Status Update 61 (30 August 2026) — Managing Director — Full Operational Authority Across Every Admin Category</w:t>
      </w:r>
    </w:p>
    <w:p>
      <w:pPr>
        <w:pStyle w:val="BodyText"/>
      </w:pPr>
      <w:r>
        <w:t>The Managing Director asked to be able to operate — view, create, edit, approve and execute — on every section of the four Admin categories (ADMIN / BACKEND, HUMAN RESOURCES, MY HR and FINANCIAL &amp; ACCOUNTING), not only to hold group-wide view. The role now carries the complete permission set, and the admin screens honour it.</w:t>
      </w:r>
    </w:p>
    <w:p>
      <w:pPr>
        <w:pStyle w:val="BodyText"/>
      </w:pPr>
      <w:r>
        <w:t>What changed (seed data + front-end gating; no schema, endpoint or migration):</w:t>
      </w:r>
    </w:p>
    <w:p>
      <w:pPr>
        <w:pStyle w:val="BodyText"/>
      </w:pPr>
      <w:r>
        <w:t>•  The Managing Director role in seed.ts (ROLE_PERMISSIONS['Managing Director']) is expanded from a mostly-view set to the full permission catalogue — all 53 codes, the same breadth as Super Administrator, plus identity.user.delegate as the top grantor of the delegated-administration model. It gains the manage / approve codes it previously lacked: employee.manage, employee.view.sensitive, accounting.manage, customer.manage, supplier.manage, supplier.view.sensitive, product.manage, asset.manage, recruitment.manage, attendance.manage, leave.manage, leave.approve, performance.manage, payroll.manage, sales.order.manage, support.ticket.manage, ap.manage, expense.approve.manager and expense.approve.finance. MY HR needs no permission (it is scoped by the signed-in user's employee record).</w:t>
      </w:r>
    </w:p>
    <w:p>
      <w:pPr>
        <w:pStyle w:val="BodyText"/>
      </w:pPr>
      <w:r>
        <w:t>•  Sixteen admin pages whose in-screen “manage / approve / create” controls were gated by a hard-coded role list — Accounting, Accounts Payable, Assets, Attendance, Customers, Employees, Expenses, Inter-Company, Leave, Order Management, Performance, Product Manager, Projects, Recruitment, Suppliers and Support Tickets — now also accept the matching permission code (hasRole(…) OR hasPermission('…')). This unlocks every control for the Managing Director and, more generally, for any role or user granted that permission through delegated administration; the newer screens (CMS, Departments, Inventory, Marketing, Payroll, Shift Scheduling) already worked this way.</w:t>
      </w:r>
    </w:p>
    <w:p>
      <w:pPr>
        <w:pStyle w:val="BodyText"/>
      </w:pPr>
      <w:r>
        <w:t>•  No new permission code and no change to how the API enforces each route — the backend already checked these codes; only the seeded grants and the front-end control visibility changed.</w:t>
      </w:r>
    </w:p>
    <w:p>
      <w:pPr>
        <w:pStyle w:val="BodyText"/>
      </w:pPr>
      <w:r>
        <w:t>Verified end to end: signed in as the Managing Director, GET /identity/auth/me returns all 53 permission codes; a read in every section of all four categories returns 200 with no 403; write (manage) calls — POST /suppliers, /customers, /products, /accounting/accounts, /assets, /attendance/shifts, /recruitment/vacancies, /payroll/runs, /shift-scheduling/entries, /employees — are accepted or fail only on payload validation (VALIDATION_ERROR), never on permission. Front-end build passes; OpenAPI unchanged.</w:t>
      </w:r>
    </w:p>
    <w:p>
      <w:pPr>
        <w:pStyle w:val="Heading2"/>
      </w:pPr>
      <w:r>
        <w:t>Impact on this document</w:t>
      </w:r>
    </w:p>
    <w:p>
      <w:pPr>
        <w:pStyle w:val="BodyText"/>
      </w:pPr>
      <w:r>
        <w:t>Feasibility — no material impact — this update only expands the seeded Managing Director role to the full permission set and makes sixteen admin screens' in-page controls permission-aware. No new permission code, endpoint, schema or migration; the API's per-route enforcement is unchanged.</w:t>
      </w:r>
    </w:p>
    <w:p>
      <w:pPr>
        <w:pStyle w:val="Heading1"/>
      </w:pPr>
      <w:r>
        <w:t>Implementation Status Update 62 (31 August 2026) — Morise Brand Mark — Professional Logo Across Both Apps</w:t>
      </w:r>
    </w:p>
    <w:p>
      <w:pPr>
        <w:pStyle w:val="BodyText"/>
      </w:pPr>
      <w:r>
        <w:t>The Managing Director asked for a proper, professional Morise logo to replace the plain letter “M” placeholder that stood in for a brand mark in both the staff Admin app and the Customer Storefront.</w:t>
      </w:r>
    </w:p>
    <w:p>
      <w:pPr>
        <w:pStyle w:val="BodyText"/>
      </w:pPr>
      <w:r>
        <w:t>The mark: a geometric monoline “M” that also reads as an upward growth line and as a route between points — the group moves inputs, fuel, freight and value across sites — with an amber diamond resting on its apex, standing for the holding company as the connecting keystone of its subsidiaries. Colours are the existing brand tokens: Morise Navy #1E3A5F, Morise Amber #D97706, white. The “M” is a single continuous stroke with round caps and joins so it stays crisp from a 16px favicon upward.</w:t>
      </w:r>
    </w:p>
    <w:p>
      <w:pPr>
        <w:pStyle w:val="BodyText"/>
      </w:pPr>
      <w:r>
        <w:t>What changed (front-end assets + a shared component; no backend, schema, endpoint or migration):</w:t>
      </w:r>
    </w:p>
    <w:p>
      <w:pPr>
        <w:pStyle w:val="BodyText"/>
      </w:pPr>
      <w:r>
        <w:t>•  New brand/ folder at the repository root: morise-logo.svg (primary lockup — navy tile mark + MORISE wordmark + HOLDINGS LIMITED subtitle), morise-logomark.svg (navy app-tile), morise-logomark-light.svg (white “M”, transparent) and morise-logomark-dark.svg (navy “M”, transparent), plus brand/README.md — a one-page brand sheet (concept, colour values, clear-space, minimum sizes, do / don’t, file inventory).</w:t>
      </w:r>
    </w:p>
    <w:p>
      <w:pPr>
        <w:pStyle w:val="BodyText"/>
      </w:pPr>
      <w:r>
        <w:t>•  One shared React component, src/components/Logo.jsx, added identically to mbms/frontend and mbms/storefront. The “M” stroke uses currentColor, so a &lt;Logo/&gt; dropped into an existing badge inherits navy-on-white or white-on-navy from that badge automatically; the apex diamond is always amber. Props: size, tile (standalone navy tile) and tone (stroke override).</w:t>
      </w:r>
    </w:p>
    <w:p>
      <w:pPr>
        <w:pStyle w:val="BodyText"/>
      </w:pPr>
      <w:r>
        <w:t>•  Every “M” placeholder now renders &lt;Logo/&gt;: the Admin top bar and the Admin login card; the Storefront shop header, the corporate mini-site nav, the full-page disclaimer gate, and the four customer auth screens (sign in, register, forgot / reset password). Both index.html files gained an inline SVG data-URI favicon of the navy tile mark.</w:t>
      </w:r>
    </w:p>
    <w:p>
      <w:pPr>
        <w:pStyle w:val="BodyText"/>
      </w:pPr>
      <w:r>
        <w:t>Verified: production build of both React apps passes (vite build, 73 modules each, no new warnings); headless screenshots of the Admin login and the Storefront disclaimer gate show the new mark rendering correctly on navy and on white. No API surface change — OpenAPI unchanged.</w:t>
      </w:r>
    </w:p>
    <w:p>
      <w:pPr>
        <w:pStyle w:val="Heading2"/>
      </w:pPr>
      <w:r>
        <w:t>Impact on this document</w:t>
      </w:r>
    </w:p>
    <w:p>
      <w:pPr>
        <w:pStyle w:val="BodyText"/>
      </w:pPr>
      <w:r>
        <w:t>Feasibility — no material impact — this update only adds brand SVG assets, a brand sheet and a shared Logo component, and swaps the letter-“M” placeholders in both React apps for it. No backend, permission, endpoint, schema or migration change.</w:t>
      </w:r>
    </w:p>
    <w:p>
      <w:pPr>
        <w:pStyle w:val="Heading1"/>
      </w:pPr>
      <w:r>
        <w:t>Implementation Status Update 63 (31 August 2026) — Morise Banner Family — Professional Banner Set Across Both Apps</w:t>
      </w:r>
    </w:p>
    <w:p>
      <w:pPr>
        <w:pStyle w:val="BodyText"/>
      </w:pPr>
      <w:r>
        <w:t>Following the new Morise logo, the Managing Director asked for a full set of professional banners for Morise. A coherent banner family was designed on the same brand language (navy #1E3A5F / amber #D97706, the monoline logomark as a watermark, an amber keystone diamond, and a thin “route” line through nodes for “every input, every mile, every store”).</w:t>
      </w:r>
    </w:p>
    <w:p>
      <w:pPr>
        <w:pStyle w:val="BodyText"/>
      </w:pPr>
      <w:r>
        <w:t>What was produced — SVG assets in a new brand/banners/ folder at the repository root, plus a one-page section in brand/README.md:</w:t>
      </w:r>
    </w:p>
    <w:p>
      <w:pPr>
        <w:pStyle w:val="BodyText"/>
      </w:pPr>
      <w:r>
        <w:t>•  group-hero.svg (1600×520, text baked) and group-hero-bg.svg (texture only, for use behind live page copy); page-header-bg.svg (1600×200) for interior page heads; social-card.svg (1200×630) for Open Graph / social sharing; email-header.svg (1200×280) for newsletters; promo-strip.svg (1600×200) for the storefront promotional strip; announcement-ribbon.svg (1600×56, “Demonstration build — not for production use”); auth-side.svg (960×1200) for the sign-in screens; and one banner per subsidiary — subsidiary-agro / -logistics / -clearing-forwarding / -warehouse / -collateral (1600×420 each), same navy ground and amber diamond with a single sector-accent hue on the route line.</w:t>
      </w:r>
    </w:p>
    <w:p>
      <w:pPr>
        <w:pStyle w:val="BodyText"/>
      </w:pPr>
      <w:r>
        <w:t>•  Every SVG is standalone — no external fonts (a system sans stack in &lt;text&gt;), no external refs — so each works as a file, an &lt;img&gt;, or a CSS background.</w:t>
      </w:r>
    </w:p>
    <w:p>
      <w:pPr>
        <w:pStyle w:val="BodyText"/>
      </w:pPr>
      <w:r>
        <w:t>Wired into the apps (front-end assets + a little CSS; no backend, schema, endpoint or migration): the banner SVGs are copied into mbms/frontend/public/brand/banners/ and mbms/storefront/public/brand/banners/; the storefront hero (.sf-hero) and the corporate mini-site hero (.mc-hero) now layer group-hero-bg.svg over their existing navy→blue gradient (the gradient stays as a graceful fallback); both index.html files gained Open Graph / Twitter-card meta tags pointing at social-card.svg.</w:t>
      </w:r>
    </w:p>
    <w:p>
      <w:pPr>
        <w:pStyle w:val="BodyText"/>
      </w:pPr>
      <w:r>
        <w:t>Seed data (seed-only, idempotent guards): the storefront promotional banner rail for the demo customer’s company (Morise Agro Ltd) is now a curated set of three — “Season stock-up”, “One storefront for the whole group” and “Bulk fuel and haulage, booked online” — each rendered by the existing text-only PromoBanner model that the storefront home already consumes.</w:t>
      </w:r>
    </w:p>
    <w:p>
      <w:pPr>
        <w:pStyle w:val="BodyText"/>
      </w:pPr>
      <w:r>
        <w:t>Verified: both React apps build (vite build, no new warnings); the backend seed type-checks; the banner assets serve at /brand/banners/… on both dev servers; a headless render of group-hero.svg and a contact sheet of the full set confirm the banners are correct on navy and on white. OpenAPI unchanged.</w:t>
      </w:r>
    </w:p>
    <w:p>
      <w:pPr>
        <w:pStyle w:val="Heading2"/>
      </w:pPr>
      <w:r>
        <w:t>Impact on this document</w:t>
      </w:r>
    </w:p>
    <w:p>
      <w:pPr>
        <w:pStyle w:val="BodyText"/>
      </w:pPr>
      <w:r>
        <w:t>Feasibility — no material impact — this update only adds SVG banner assets under brand/banners/, layers a hero background image in two CSS rules, adds Open Graph meta tags, and curates three text-only storefront promo banners in seed data. No backend, permission, endpoint, schema or migration change.</w:t>
      </w:r>
    </w:p>
    <w:p>
      <w:pPr>
        <w:pStyle w:val="Heading1"/>
      </w:pPr>
      <w:r>
        <w:t>Implementation Status Update 64 (31 August 2026) — Brand Banners Displayed Across the Customer Storefront</w:t>
      </w:r>
    </w:p>
    <w:p>
      <w:pPr>
        <w:pStyle w:val="BodyText"/>
      </w:pPr>
      <w:r>
        <w:t>The Managing Director asked that the Morise banners actually be displayed on the customer storefront, not only exist as brand assets. The banner family from brand/banners/ is now shown on every relevant storefront surface.</w:t>
      </w:r>
    </w:p>
    <w:p>
      <w:pPr>
        <w:pStyle w:val="BodyText"/>
      </w:pPr>
      <w:r>
        <w:t>What changed (storefront front-end only; no backend, schema, endpoint, permission or migration):</w:t>
      </w:r>
    </w:p>
    <w:p>
      <w:pPr>
        <w:pStyle w:val="BodyText"/>
      </w:pPr>
      <w:r>
        <w:t>•  A small helper in mbms/storefront/src/lib/corporate.js — bannerFor(name) maps a subsidiary to its /brand/banners/subsidiary-*.svg (group hero as the fallback), plus GROUP_HERO_BANNER and PROMO_STRIP_BANNER constants.</w:t>
      </w:r>
    </w:p>
    <w:p>
      <w:pPr>
        <w:pStyle w:val="BodyText"/>
      </w:pPr>
      <w:r>
        <w:t>•  Public holding-company site: the Companies grid on the landing page (corporate/Home.jsx) and the Companies directory (corporate/Companies.jsx) now render each card's picture as that subsidiary's banner instead of an empty grey placeholder; the single portfolio-company page (corporate/CompanyDetail.jsx) shows the subsidiary banner as its photo strip.</w:t>
      </w:r>
    </w:p>
    <w:p>
      <w:pPr>
        <w:pStyle w:val="BodyText"/>
      </w:pPr>
      <w:r>
        <w:t>•  Signed-in storefront: the subsidiary directory (Subsidiaries.jsx) shows the group hero banner at the top and each subsidiary's own banner on its card; the shop (Shop.jsx) shows the “One storefront for the whole group” promo strip, and swaps it for the selected subsidiary's banner when the company filter is set.</w:t>
      </w:r>
    </w:p>
    <w:p>
      <w:pPr>
        <w:pStyle w:val="BodyText"/>
      </w:pPr>
      <w:r>
        <w:t>•  CSS: img rules for .mc-co-photo and .mc-photo-strip (object-fit cover, left-anchored) and new .sf-hero-banner / .sf-shop-banner / .sf-sub-banner classes in storefront.css and corporate.css. The earlier .sf-hero / .mc-hero background-image treatment is unchanged.</w:t>
      </w:r>
    </w:p>
    <w:p>
      <w:pPr>
        <w:pStyle w:val="BodyText"/>
      </w:pPr>
      <w:r>
        <w:t>The admin-managed text PromoBanner rail on the signed-in home was already displayed and is unchanged (three curated rows since the previous update). No API surface change — OpenAPI unchanged.</w:t>
      </w:r>
    </w:p>
    <w:p>
      <w:pPr>
        <w:pStyle w:val="BodyText"/>
      </w:pPr>
      <w:r>
        <w:t>Verified: the storefront builds (vite build, no new warnings); the admin build is unaffected; headless screenshots of the landing Companies grid, the Companies directory, the subsidiary directory and the shop show the banners rendering correctly (per-subsidiary accent hues, left-anchored crop, group hero and promo strip in place).</w:t>
      </w:r>
    </w:p>
    <w:p>
      <w:pPr>
        <w:pStyle w:val="Heading2"/>
      </w:pPr>
      <w:r>
        <w:t>Impact on this document</w:t>
      </w:r>
    </w:p>
    <w:p>
      <w:pPr>
        <w:pStyle w:val="BodyText"/>
      </w:pPr>
      <w:r>
        <w:t>Feasibility — no material impact — this update only displays the existing brand/banners/ SVGs on storefront pages that previously showed empty placeholders or a plain gradient. Storefront front-end only; no backend, permission, endpoint, schema or migration change.</w:t>
      </w:r>
    </w:p>
    <w:p>
      <w:pPr>
        <w:pStyle w:val="Heading1"/>
      </w:pPr>
      <w:r>
        <w:t>Implementation Status Update 65 (31 August 2026) — Delivery Management System for Morise Logistics Ltd — Specification (New Doc 22) + Phase 1 Back End</w:t>
      </w:r>
    </w:p>
    <w:p>
      <w:pPr>
        <w:pStyle w:val="BodyText"/>
      </w:pPr>
      <w:r>
        <w:t>As an administrator, the Managing Director asked for the concept of delivery to be added to the subsidiary Morise Logistics Ltd — a delivery capability that takes goods, services and invoices to customers who have placed orders through the group Customer Storefront, carrying each order from “ready for delivery” through dispatch and transit to a recorded proof of delivery. The delivery software's functional and technical scope has been captured as a new companion specification, docx/22_Delivery Management System — Feature Specification, restating the client-supplied Delivery-Software-Feature-Specification.docx in the same house format as docs 19, 20 and 21.</w:t>
      </w:r>
    </w:p>
    <w:p>
      <w:pPr>
        <w:pStyle w:val="BodyText"/>
      </w:pPr>
      <w:r>
        <w:t>The specification describes the full target platform (ten feature modules — customer delivery experience; driver / courier app; dispatch &amp; operations console; route optimisation; proof of delivery &amp; exceptions; document &amp; invoice delivery; pricing, zones &amp; fees; fleet &amp; driver management; notifications; reporting — plus architecture, roles and a roadmap). A Phase 1 back end covering the core of that workflow is already implemented in MBMS: Prisma migration 20260831120000_delivery (tables deliveries, delivery_drivers, delivery_events; status / kind / proof enums), a src/delivery/ NestJS module wired into AppModule, a staff API at /api/v1/delivery (list / create / assign driver / advance status / capture proof / fail / cancel, dispatch metrics, an eligible-orders queue, and driver CRUD) and a customer tracking read at GET /api/v1/customer-portal/orders/:id/delivery — every endpoint scope-checked and every mutation audited. Completing a goods delivery advances its order to “delivered”.</w:t>
      </w:r>
    </w:p>
    <w:p>
      <w:pPr>
        <w:pStyle w:val="BodyText"/>
      </w:pPr>
      <w:r>
        <w:t>The capability is not yet wired for use: the delivery.manage and delivery.viewAll permission codes are not in the seed permission catalogue and no role holds them, so every /api/v1/delivery call currently returns 403; there is no seed data, no “Delivery” screen in the Admin app and no tracking view in the storefront, and openapi.json has not been regenerated. Morise Logistics Ltd already exists as a live subsidiary (Jinja Branch; last-mile delivery service LOG-2003); the delivery hubs, departments and policies in doc 22 Section 8 remain proposals. The wider platform (mobile apps, route optimisation, the fee engine, telematics, notifications, driver analytics) is future scope.</w:t>
      </w:r>
    </w:p>
    <w:p>
      <w:pPr>
        <w:pStyle w:val="Heading2"/>
      </w:pPr>
      <w:r>
        <w:t>Impact on this document</w:t>
      </w:r>
    </w:p>
    <w:p>
      <w:pPr>
        <w:pStyle w:val="BodyText"/>
      </w:pPr>
      <w:r>
        <w:t>Feasibility — the Phase 1 back end demonstrates the approach is sound: it reuses the platform's orders, invoices, identity, per-company scope and audit trail rather than a parallel stack. Remaining risk is in the unbuilt mobile apps and real-time tracking layer, not the core domain.</w:t>
      </w:r>
    </w:p>
    <w:p>
      <w:pPr>
        <w:pStyle w:val="Heading1"/>
      </w:pPr>
      <w:r>
        <w:t>Implementation Status Update 66 (31 August 2026) — Automatic Morise-Stamped Invoice on Customer-Acknowledged Delivery (Doc 22 Addendum)</w:t>
      </w:r>
    </w:p>
    <w:p>
      <w:pPr>
        <w:pStyle w:val="BodyText"/>
      </w:pPr>
      <w:r>
        <w:t>A customer has asked that, once the delivery persona from Morise Logistics Ltd has delivered the goods or services and the customer has acknowledged receiving them in good condition, MBMS automatically issues a Morise-stamped invoice for that order — one branded document that is the definitive proof of supply and of the customer's acceptance. The concept has been added to docx/22_Delivery Management System — Feature Specification as an addendum (“Customer Acknowledgement of Delivery &amp; the Automatic Morise-Stamped Invoice”).</w:t>
      </w:r>
    </w:p>
    <w:p>
      <w:pPr>
        <w:pStyle w:val="BodyText"/>
      </w:pPr>
      <w:r>
        <w:t>Mechanism. The delivery persona completes the delivery and captures proof of delivery (delivery — “delivered”, order — “delivered”). The customer is then prompted in the storefront to confirm the outcome — received in good condition, damaged, incomplete, or not received (proposed POST /api/v1/customer-portal/orders/:id/delivery/acknowledge, customer-JWT, audited). On a “good condition” acknowledgement the order's existing invoice is moved to an issued / stamped state and a Morise-stamped invoice PDF is generated — the Morise brand mark used as a seal, plus the delivery and acknowledgement details, in the customer's language. On any other outcome no stamp is issued: a delivery exception is opened and the invoice stays provisional.</w:t>
      </w:r>
    </w:p>
    <w:p>
      <w:pPr>
        <w:pStyle w:val="BodyText"/>
      </w:pPr>
      <w:r>
        <w:t>Status — specification only. It extends the Delivery Management System (doc 22, whose Phase 1 back end is present but switched off) and the existing per-order invoice with an issued / stamped state and a branded document. Nothing is built: there is no customer acknowledgement endpoint, no invoice-stamp fields or migration, and no brand mark in the invoice PDF (today a plain table with a text footer). Recorded as a doc 22 addendum plus this status-log entry; no code, schema, endpoint, permission or migration change; OpenAPI unchanged.</w:t>
      </w:r>
    </w:p>
    <w:p>
      <w:pPr>
        <w:pStyle w:val="Heading2"/>
      </w:pPr>
      <w:r>
        <w:t>Impact on this document</w:t>
      </w:r>
    </w:p>
    <w:p>
      <w:pPr>
        <w:pStyle w:val="BodyText"/>
      </w:pPr>
      <w:r>
        <w:t>Feasibility — low technical risk: it reuses the delivery lifecycle, the existing per-order invoice and the existing invoice-PDF path. The new parts are a customer acknowledgement endpoint, four invoice fields plus a migration, the Morise stamp drawn into the PDF, and the non-good-acknowledgement exception branch. Not built.</w:t>
      </w:r>
    </w:p>
    <w:p>
      <w:pPr>
        <w:pStyle w:val="Heading1"/>
      </w:pPr>
      <w:r>
        <w:t>Implementation Status Update 67 (31 August 2026) — Admin Assignment of a Morise Logistics Ltd Delivery Persona to an Order (Doc 22 Addendum)</w:t>
      </w:r>
    </w:p>
    <w:p>
      <w:pPr>
        <w:pStyle w:val="BodyText"/>
      </w:pPr>
      <w:r>
        <w:t>An administrator has asked to be able to assign a delivery persona (a driver / courier) from Morise Logistics Ltd to deliver the products or services on an order a customer has placed. The workflow has been recorded in docx/22_Delivery Management System — Feature Specification as an addendum (“Admin Assignment of a Morise Logistics Ltd Delivery Persona to an Order”), covering Sections 2.3 (Dispatch &amp; Operations Console) and 2.8 (Fleet &amp; Driver Management).</w:t>
      </w:r>
    </w:p>
    <w:p>
      <w:pPr>
        <w:pStyle w:val="BodyText"/>
      </w:pPr>
      <w:r>
        <w:t>A dispatcher (a user with delivery.manage) reviews the orders that can still be handed to Logistics (GET /api/v1/delivery/eligible-orders — a fulfilment-state order, not cancelled, without a delivery), creates a delivery against the chosen order (POST /api/v1/delivery, companyId = Morise Logistics Ltd, orderId — customer, origin company, drop address and delivery fee resolved from the order), and assigns a delivery persona from Morise Logistics Ltd's pool, either on create (driverId — status “assigned”) or afterwards (POST /api/v1/delivery/:id/assign with driverId, optional scheduledDate, note). Personas are delivery_drivers rows scoped to Morise Logistics Ltd (name, phone, licence, vehicle, active flag, optional Employee link) with their own CRUD and an open-delivery count; assignment is refused unless the persona is active and in the same company as the delivery. Assigning stamps assignedAt, moves a “pending” delivery to “assigned”, logs a delivery event and records a delivery.driver_assigned audit entry; a non-terminal delivery can be reassigned the same way. All of this is implemented in the Phase 1 back end.</w:t>
      </w:r>
    </w:p>
    <w:p>
      <w:pPr>
        <w:pStyle w:val="BodyText"/>
      </w:pPr>
      <w:r>
        <w:t>Not yet usable: the delivery.manage / delivery.viewAll permission codes are not in the seed permission catalogue and no role holds them, so every /api/v1/delivery call returns 403; there are no seeded Morise Logistics Ltd drivers, and there is no “Delivery” dispatch screen in the Admin app. Recorded as a doc 22 addendum plus this status-log entry; no code, schema, endpoint, permission or migration change; OpenAPI unchanged.</w:t>
      </w:r>
    </w:p>
    <w:p>
      <w:pPr>
        <w:pStyle w:val="Heading2"/>
      </w:pPr>
      <w:r>
        <w:t>Impact on this document</w:t>
      </w:r>
    </w:p>
    <w:p>
      <w:pPr>
        <w:pStyle w:val="BodyText"/>
      </w:pPr>
      <w:r>
        <w:t>Feasibility — no new risk: assignment is already coded (create a delivery, assign / reassign a persona, persona CRUD, an eligible-orders queue), scoped and audited. Activation is permission seeding plus an Admin dispatch screen.</w:t>
      </w:r>
    </w:p>
    <w:p>
      <w:pPr>
        <w:pStyle w:val="Heading1"/>
      </w:pPr>
      <w:r>
        <w:t>Implementation Status Update 68 (31 August 2026) — Delivery Module Activated — delivery.manage / delivery.viewAll Seeded &amp; Granted</w:t>
      </w:r>
    </w:p>
    <w:p>
      <w:pPr>
        <w:pStyle w:val="BodyText"/>
      </w:pPr>
      <w:r>
        <w:t>The Delivery Management System back end for Morise Logistics Ltd (docx/22; recorded across Updates 65—67) has been activated. Its two permission codes — delivery.manage and delivery.viewAll — have been added to the seed permission catalogue (prisma/seed.ts, domain operations) and granted to roles, so the dispatch API is now reachable and an authorised administrator can assign a delivery persona from Morise Logistics Ltd to a customer's order.</w:t>
      </w:r>
    </w:p>
    <w:p>
      <w:pPr>
        <w:pStyle w:val="BodyText"/>
      </w:pPr>
      <w:r>
        <w:t>Grants: delivery.manage + delivery.viewAll to Super Administrator, Managing Director, IT Administrator and Operations Manager; delivery.manage (own company scope) to Branch Manager; delivery.viewAll to Group CEO, Auditor, External Auditor, Board Member and Read-only User. Verified end to end against the running system: signed in as the Managing Director, GET /api/v1/delivery, /delivery/metrics, /delivery/eligible-orders and /delivery/drivers return 200 (they returned 403 before); a Morise Logistics Ltd delivery persona was created, a delivery (DEL-2026-0001) was created for a storefront order — the customer, drop address and delivery fee were resolved from the order — and the persona was assigned, moving the delivery pending → assigned, stamping assignedAt, appending a delivery event and recording a delivery.driver_assigned audit entry. The verification rows were then removed, so no delivery data is seeded.</w:t>
      </w:r>
    </w:p>
    <w:p>
      <w:pPr>
        <w:pStyle w:val="BodyText"/>
      </w:pPr>
      <w:r>
        <w:t>Seed data + grants only — no schema, endpoint, migration or application-code change; the endpoints were already built and wired (recorded in Update 65). This supersedes the “switched off / every /api/v1/delivery call returns 403” statements in Updates 65, 66 and 67 and their addenda. Still pending: seeded Morise Logistics Ltd delivery personas, an Admin “Delivery” dispatch screen (and a storefront tracking view), and an openapi.json regeneration so the endpoints appear in the published API contract.</w:t>
      </w:r>
    </w:p>
    <w:p>
      <w:pPr>
        <w:pStyle w:val="Heading2"/>
      </w:pPr>
      <w:r>
        <w:t>Impact on this document</w:t>
      </w:r>
    </w:p>
    <w:p>
      <w:pPr>
        <w:pStyle w:val="BodyText"/>
      </w:pPr>
      <w:r>
        <w:t>Feasibility — activation confirmed straightforward: a two-part seed change (the permission catalogue entries plus the role grants), no schema or endpoint change, verified end to end through the API.</w:t>
      </w:r>
    </w:p>
    <w:p>
      <w:pPr>
        <w:pStyle w:val="Heading1"/>
      </w:pPr>
      <w:r>
        <w:t>Implementation Status Update 69 (31 August 2026) — Customer Storefront Wording: Services Catalog / Add to Invoice / Invoice</w:t>
      </w:r>
    </w:p>
    <w:p>
      <w:pPr>
        <w:pStyle w:val="BodyText"/>
      </w:pPr>
      <w:r>
        <w:t>An administrator asked for three wording changes in the Customer Storefront: “product catalog” becomes “services catalog”, the “Add to Cart” action becomes “Add to Invoice”, and “Cart” becomes “Invoice” throughout the shopping flow.</w:t>
      </w:r>
    </w:p>
    <w:p>
      <w:pPr>
        <w:pStyle w:val="BodyText"/>
      </w:pPr>
      <w:r>
        <w:t>The change is front-end text only. It updates the storefront's string catalogue: en.js (the master key set) in full — header.cart (Cart — Invoice), common.addToCart / productDetail.added / productDetail.addFromBranch (the “Add to Cart” / “Added to Cart” forms — the “Invoice” forms), shop.heading (“Product Catalog” — “Services Catalog”), shop.loadFailed, cart.crumb (“Shop / Cart” — “Shop / Invoice”), cart.heading (“Cart &amp; Checkout” — “Invoice &amp; Checkout”), cart.emptyLead, cart.browseCatalog, landing.feat.shop.title, and the landing hero / step / disclaimer prose that mentions “product catalog” or “your cart” — plus the matching, already-translated keys in the eight other full languages (French, Spanish, Portuguese, German, Italian, Swahili, Luganda, Arabic) and the two partial ones (Runyankole, Acholi), so no supported language shows the old wording. The header basket icon changes from 🛒 to 🧾.</w:t>
      </w:r>
    </w:p>
    <w:p>
      <w:pPr>
        <w:pStyle w:val="BodyText"/>
      </w:pPr>
      <w:r>
        <w:t>No route, component, API, permission or data-model change: the URL is still /cart, the React components (CartPage, CartProvider, lib/cart.jsx), the CSS classes and the orders / invoices back end are untouched — an order still creates its Invoice at order time exactly as before. Only the customer-facing labels change, to “services catalog”, “Add to Invoice” and “Invoice”. Verified with a production vite build (73 modules, no errors).</w:t>
      </w:r>
    </w:p>
    <w:p>
      <w:pPr>
        <w:pStyle w:val="Heading2"/>
      </w:pPr>
      <w:r>
        <w:t>Impact on this document</w:t>
      </w:r>
    </w:p>
    <w:p>
      <w:pPr>
        <w:pStyle w:val="BodyText"/>
      </w:pPr>
      <w:r>
        <w:t>Feasibility — trivial: a string-catalogue edit across en.js and the translated tables, verified by a clean build. No risk to any running behaviour.</w:t>
      </w:r>
    </w:p>
    <w:p>
      <w:pPr>
        <w:pStyle w:val="Heading1"/>
      </w:pPr>
      <w:r>
        <w:t>Implementation Status Update 70 (1 September 2026) — Payroll Management — Feature Specification</w:t>
      </w:r>
    </w:p>
    <w:p>
      <w:pPr>
        <w:pStyle w:val="BodyText"/>
      </w:pPr>
      <w:r>
        <w:t>An administrator asked that a Payroll Management section be recorded: the payroll system should support employees across multiple subsidiaries, with salary structures (basic salary, allowances, overtime, bonuses, commissions), deductions (loans, advances, taxes, statutory deductions, pension contributions), payroll approval, payslip generation, bank payment schedules, payroll history, and payroll reports at department, company and consolidated group level.</w:t>
      </w:r>
    </w:p>
    <w:p>
      <w:pPr>
        <w:pStyle w:val="BodyText"/>
      </w:pPr>
      <w:r>
        <w:t>Much of the core is already built (Update 41, 28 August 2026). MBMS runs a monthly PayrollRun per subsidiary (draft → approved → paid), producing a Payslip per active employee that computes Uganda PAYE and the NSSF employee / employer contributions from Employee.grossSalary, less any salary-advance instalment and a manual other-deductions figure; paying a run posts a balanced journal entry to that company's ledger and notifies each employee whose login can see their payslip. Salary advances have their own request → approve / reject → recovering → recovered lifecycle and are recovered automatically by the next run. The module is multi-subsidiary: every run is company-scoped and payroll.viewAll gives group-wide visibility; My Payslips is the employee self-service view. Of the requested list, these are live: multi-subsidiary support, basic (gross) salary, advances, taxes (PAYE), statutory deductions (NSSF), pension via NSSF, payroll approval, payslip data generation and payroll history.</w:t>
      </w:r>
    </w:p>
    <w:p>
      <w:pPr>
        <w:pStyle w:val="BodyText"/>
      </w:pPr>
      <w:r>
        <w:t>The rest is recorded as the Payroll Management backlog on top of that core, and is not built: a salary-structure model with distinct components (basic, allowances, overtime, bonuses, commissions) rather than a single gross figure; typed deductions and a long-term loan facility (with an interest / repayment schedule) distinct from the short-term advance; a voluntary / occupational pension scheme beyond NSSF; a rendered PDF payslip; bank payment schedules / an EFT payment file; and the reporting suite — payroll reports, department payroll reports (there is no department dimension on the payslip today), company payroll reports and consolidated group payroll reports (no report endpoint exists). This update adds the specification only — no code, schema, endpoint or permission change; the built Payroll module is unchanged.</w:t>
      </w:r>
    </w:p>
    <w:p>
      <w:pPr>
        <w:pStyle w:val="Heading2"/>
      </w:pPr>
      <w:r>
        <w:t>Impact on this document</w:t>
      </w:r>
    </w:p>
    <w:p>
      <w:pPr>
        <w:pStyle w:val="BodyText"/>
      </w:pPr>
      <w:r>
        <w:t>Feasibility — the built PayrollRun / Payslip / SalaryAdvance model and the Uganda statutory util are a proven base; adding salary-structure components, typed deductions, loans, a payslip PDF, bank schedules and roll-up reports is additive (new columns / tables + report endpoints), not a rebuild.</w:t>
      </w:r>
    </w:p>
    <w:p>
      <w:pPr>
        <w:pStyle w:val="Heading1"/>
      </w:pPr>
      <w:r>
        <w:t>Implementation Status Update 71 (1 September 2026) — Payroll: Salary Structures, Allowances, Overtime &amp; Bonuses</w:t>
      </w:r>
    </w:p>
    <w:p>
      <w:pPr>
        <w:pStyle w:val="BodyText"/>
      </w:pPr>
      <w:r>
        <w:t>Implementing the first slice of the Payroll Management backlog recorded in Update 70: salary structures, allowances, overtime and bonuses are now built. An employee's monthly pay is built up from a salary structure of components — a basic salary, one or more allowances, and one-off overtime or bonus lines — instead of a single flat gross figure.</w:t>
      </w:r>
    </w:p>
    <w:p>
      <w:pPr>
        <w:pStyle w:val="BodyText"/>
      </w:pPr>
      <w:r>
        <w:t>What changed (mbms/backend/src/payroll/ + one migration + the Payroll admin screen): a new salary_components table (type basic / allowance / overtime / bonus, label, amount, a recurring flag, and periodYear / periodMonth for a one-off line) holds each employee's structure; a payslip_components child table records the earnings breakdown captured on every payslip. A payroll run now derives each employee's gross from the sum of their applicable components (all recurring components, plus one-off components tagged for that month), falling back to Employee.grossSalary when an employee has no structure — so existing data keeps working. PAYE and NSSF are still computed on the resulting gross by the same Uganda statutory util; the GL posting on pay is unchanged. New endpoints: GET / POST /api/v1/payroll/salary-components, PATCH / DELETE /api/v1/payroll/salary-components/:id, and GET /api/v1/payroll/salary-structure/:employeeId (the assembled structure for a month with a PAYE / NSSF / net preview) — all under the existing payroll.manage / payroll.viewAll permissions, no new code. The Admin Payroll screen gains a Salary structures tab; each payslip row in a run expands to its component breakdown; My Payslips carries the same breakdown.</w:t>
      </w:r>
    </w:p>
    <w:p>
      <w:pPr>
        <w:pStyle w:val="BodyText"/>
      </w:pPr>
      <w:r>
        <w:t>Verified end to end: two demo Morise Agro Ltd employees were given a structure (basic + housing + transport allowances, plus a one-off overtime line for Grace Auma and a one-off performance bonus for Peter Kintu); a September 2026 payroll run derived their gross from the components (Grace 1,600,000 → 1,780,000 with the overtime; Kintu 2,800,000 → 3,300,000 with the bonus) and each payslip carried the four-line breakdown, while structure-less employees fell back to their flat gross unchanged; component create / update / delete work and a role without payroll.manage is refused (403). Backend nest build and the admin vite build are clean. Migration 20260901120000_salary_structures applied. The remaining Payroll Management backlog — commissions, typed deductions, a loan facility, a voluntary pension, a payslip PDF, bank payment schedules and the reporting suite — is unchanged.</w:t>
      </w:r>
    </w:p>
    <w:p>
      <w:pPr>
        <w:pStyle w:val="Heading2"/>
      </w:pPr>
      <w:r>
        <w:t>Impact on this document</w:t>
      </w:r>
    </w:p>
    <w:p>
      <w:pPr>
        <w:pStyle w:val="BodyText"/>
      </w:pPr>
      <w:r>
        <w:t>Feasibility — delivered as anticipated: additive (two tables + a migration + a gross-derivation change), reusing the existing PAYE / NSSF util and the GL posting; no rebuild.</w:t>
      </w:r>
    </w:p>
    <w:p>
      <w:pPr>
        <w:pStyle w:val="Heading1"/>
      </w:pPr>
      <w:r>
        <w:t>Implementation Status Update 72 (1 September 2026) — Accounting &amp; Finance Feature Section</w:t>
      </w:r>
    </w:p>
    <w:p>
      <w:pPr>
        <w:pStyle w:val="BodyText"/>
      </w:pPr>
      <w:r>
        <w:t>An administrator asked that a “7. Accounting and Finance” section be recorded: the financial module should be one of the core components of the system, covering General Ledger (chart of accounts, journal entries, general ledger, trial balance, financial periods, account reconciliation, recurring journals, adjusting entries, closing entries), Accounts Receivable (customer invoices, credit / debit notes, customer payments, outstanding invoices, payment reminders, customer statements, aging reports, receivable reconciliation), Accounts Payable (supplier / purchase invoices, supplier payments, credit notes, supplier statements, outstanding bills, aging reports, payment schedules, approval workflows) and Financial Statements (Profit and Loss, Balance Sheet, Cash Flow Statement, Trial Balance, General Ledger, Statement of Changes in Equity, Budget versus actual, Financial ratios, Management accounts).</w:t>
      </w:r>
    </w:p>
    <w:p>
      <w:pPr>
        <w:pStyle w:val="BodyText"/>
      </w:pPr>
      <w:r>
        <w:t>This module is already one of the built core components of MBMS — the Sprint 10 “Full Accounting” slice and the 19 August 2026 Financial Module Deepening. Against the requested list, all four areas are substantially built. General Ledger: the Account chart (type / sub-type), JournalEntry / JournalEntryItem with a draft → posted lifecycle and a standard / adjusting / closing entry type, FinancialPeriod with an open → closed lifecycle (a close posts the closing entries), RecurringJournalEntry with a generate action, AccountReconciliation, and reports for the general ledger and trial balance. Accounts Receivable: Invoice, CustomerCreditNote / CustomerDebitNote, Payment / PaymentAllocation, and /ar endpoints for aging, outstanding invoices, a customer statement (with PDF) and a payment reminder. Accounts Payable: SupplierInvoice / SupplierInvoiceItem with a draft → pending_approval → approved → paid workflow (submit-for-approval / approve under ap.approve), SupplierPayment / SupplierPaymentApplication, SupplierCreditNote, and /ap endpoints for aging, a supplier statement and a payment schedule. Financial Statements: /accounting/reports/ for income-statement (Profit and Loss), balance-sheet, cash-flow-statement, trial-balance, general-ledger, statement-of-changes-in-equity, budget-vs-actual (with the Budget model), financial-ratios and management-accounts. All gated by accounting.manage / accounting.viewAll (AR reuses these) and ap.manage / ap.approve / ap.viewAll; the finance/overview endpoint and the FINANCIAL &amp; ACCOUNTING admin category tie them together.</w:t>
      </w:r>
    </w:p>
    <w:p>
      <w:pPr>
        <w:pStyle w:val="BodyText"/>
      </w:pPr>
      <w:r>
        <w:t>Gaps against the requested list: a dedicated Accounts Receivable sub-ledger reconciliation (open customer invoices vs. the GL AR control account) — the generic account reconciliation can be pointed at the AR control account, but there is no purpose-built AR reconciliation view; and “purchase invoices” and “supplier invoices” are the same entity here (SupplierInvoice). This update adds the specification / status record only — no code, schema, endpoint or permission change; the built financial module is unchanged.</w:t>
      </w:r>
    </w:p>
    <w:p>
      <w:pPr>
        <w:pStyle w:val="Heading2"/>
      </w:pPr>
      <w:r>
        <w:t>Impact on this document</w:t>
      </w:r>
    </w:p>
    <w:p>
      <w:pPr>
        <w:pStyle w:val="BodyText"/>
      </w:pPr>
      <w:r>
        <w:t>Feasibility — proven: the accounting core, AR, AP and the nine financial statements are built and in use; the only outstanding item (a purpose-built AR reconciliation) is a thin view over the existing reconciliation engine.</w:t>
      </w:r>
    </w:p>
    <w:p>
      <w:pPr>
        <w:pStyle w:val="Heading1"/>
      </w:pPr>
      <w:r>
        <w:t>Implementation Status Update 73 (1 September 2026) — Cash &amp; Bank Management Feature Section</w:t>
      </w:r>
    </w:p>
    <w:p>
      <w:pPr>
        <w:pStyle w:val="BodyText"/>
      </w:pPr>
      <w:r>
        <w:t>An administrator asked that a “Cash and Bank Management” section be recorded, covering bank account management, cash accounts, petty cash, bank deposits, bank withdrawals, transfers, bank reconciliation, cash reconciliation, payment vouchers, receipt vouchers, cash-flow forecasting and cash position reports.</w:t>
      </w:r>
    </w:p>
    <w:p>
      <w:pPr>
        <w:pStyle w:val="BodyText"/>
      </w:pPr>
      <w:r>
        <w:t>There is no dedicated Cash &amp; Bank module in MBMS yet, but several of these features are already reachable through the built General Ledger. Bank and cash accounts are General Ledger Account rows carrying an accountSubType of bank or cash, created and edited through /accounting/accounts; a bank deposit, a bank withdrawal or a bank → cash / bank → bank transfer is recorded today as a manual balanced journal entry against those accounts. Bank reconciliation and cash reconciliation are fully built — the AccountReconciliation model and /accounting/reconciliations (+ /:id/reconcile) reconcile any account's ledger balance to an external statement balance as of a date, with a variance and an open → reconciled lifecycle; pointing it at a bank or cash account is exactly bank / cash reconciliation. A group-wide cash position (cash and bank balances per company) is already exposed by the dashboard financials and the /finance/overview endpoint.</w:t>
      </w:r>
    </w:p>
    <w:p>
      <w:pPr>
        <w:pStyle w:val="BodyText"/>
      </w:pPr>
      <w:r>
        <w:t>Net-new on the backlog: a purpose-built bank / cash account register (bank name, account number, currency, branch, opening balance) rather than a bare GL account; a petty cash float / imprest with top-ups and expense drawdowns; one-step deposit, withdrawal and transfer actions that post the journal entry for you; payment vouchers and receipt vouchers as printable, approved documents; cash-flow forecasting (a forward projection from open receivables / payables and scheduled items, distinct from the historical cash-flow statement); and a dedicated cash position report by account and date. This update adds the specification / status record only — no code, schema, endpoint or permission change; the built ledger and reconciliation are unchanged.</w:t>
      </w:r>
    </w:p>
    <w:p>
      <w:pPr>
        <w:pStyle w:val="Heading2"/>
      </w:pPr>
      <w:r>
        <w:t>Impact on this document</w:t>
      </w:r>
    </w:p>
    <w:p>
      <w:pPr>
        <w:pStyle w:val="BodyText"/>
      </w:pPr>
      <w:r>
        <w:t>Feasibility — low risk: reconciliation and the cash-position figures already exist; the additions (a bank / cash register, petty cash, one-step deposit / withdraw / transfer, vouchers, a forecast) are additive over the existing journal-entry and reconciliation engine.</w:t>
      </w:r>
    </w:p>
    <w:p>
      <w:pPr>
        <w:pStyle w:val="Heading1"/>
      </w:pPr>
      <w:r>
        <w:t>Implementation Status Update 74 (1 September 2026) — Budget Management Feature Section</w:t>
      </w:r>
    </w:p>
    <w:p>
      <w:pPr>
        <w:pStyle w:val="BodyText"/>
      </w:pPr>
      <w:r>
        <w:t>An administrator asked that a “Budget Management” section be recorded, covering annual budgets, department budgets, project budgets, company budgets, group budgets, capital expenditure budgets, operating expenditure budgets, budget approval, budget revisions, budget versus actual, budget utilization, budget alerts and variance analysis.</w:t>
      </w:r>
    </w:p>
    <w:p>
      <w:pPr>
        <w:pStyle w:val="BodyText"/>
      </w:pPr>
      <w:r>
        <w:t>A budgeting capability is already built in the General Ledger. A Budget is one budgeted amount per Account per FinancialPeriod, set through /accounting/budgets (an upsert; every change is audited with the previous and new amount, giving a revision trail); GET /accounting/reports/budget-vs-actual lists every budgeted account for a period with its actual posted activity, the variance and the variance percentage, and that block also rides inside /accounting/reports/management-accounts. So company budgets, budget versus actual and a derived %-utilization (actual / budgeted) are live per subsidiary. Project budgets are also built — Project.budget with a budget-vs-actual-cost variance on the project summary.</w:t>
      </w:r>
    </w:p>
    <w:p>
      <w:pPr>
        <w:pStyle w:val="BodyText"/>
      </w:pPr>
      <w:r>
        <w:t>Net-new on the backlog: an annual (fiscal-year) budget as a first-class concept distinct from the per-period figure; a department dimension on the budget; a group budget that rolls up across the subsidiaries; an explicit capital-expenditure / operating-expenditure classification; a budget approval workflow (draft → approved) and versioned budget revisions (original vs revised, not just an audit trail); a dedicated budget-utilization report; budget alerts when spend crosses a threshold (this codebase has no configurable alert-rule engine yet); and a deeper variance analysis (favourable / unfavourable classification, drill-down and commentary) beyond the budget-vs-actual figure. This update adds the specification / status record only — no code, schema, endpoint or permission change; the built Budget model and budget-vs-actual report are unchanged.</w:t>
      </w:r>
    </w:p>
    <w:p>
      <w:pPr>
        <w:pStyle w:val="Heading2"/>
      </w:pPr>
      <w:r>
        <w:t>Impact on this document</w:t>
      </w:r>
    </w:p>
    <w:p>
      <w:pPr>
        <w:pStyle w:val="BodyText"/>
      </w:pPr>
      <w:r>
        <w:t>Feasibility — low risk: the Budget model, the budget-vs-actual computation and project budgets exist; the additions (a department / annual / group dimension, an approval + revision state, alerts, a utilization report) are additive over that base.</w:t>
      </w:r>
    </w:p>
    <w:p>
      <w:pPr>
        <w:pStyle w:val="Heading1"/>
      </w:pPr>
      <w:r>
        <w:t>Implementation Status Update 75 (1 September 2026) — Sales Management Feature Section</w:t>
      </w:r>
    </w:p>
    <w:p>
      <w:pPr>
        <w:pStyle w:val="BodyText"/>
      </w:pPr>
      <w:r>
        <w:t>An administrator asked that a “Sales Management” section be recorded, covering Customer Management (customer registration, profiles, contacts, categories, credit limits, payment terms, history, statements), Sales (quotations, sales orders, delivery notes, invoices, receipts, credit notes, sales returns, discounts, promotions, sales commissions, sales targets, sales performance) and CRM (leads, opportunities, follow-ups, customer interactions, calls, emails, meetings, sales pipeline, customer complaints, customer feedback).</w:t>
      </w:r>
    </w:p>
    <w:p>
      <w:pPr>
        <w:pStyle w:val="BodyText"/>
      </w:pPr>
      <w:r>
        <w:t>Customer Management and the core of Sales are already built. The Customer model carries name, category, contact email / phone, address, credit limit, payment-terms days and status; customers are registered by staff (POST /customers) or self-register in the storefront (with a Google-linked option), edited via PATCH /customers/:id, filtered by category, and each has a statement (GET /customers/:id/statement, plus /ar/statement and the storefront statement + PDF) and an order / invoice / payment history. On the Sales side: Order with a placed → confirmed → packed → out_for_delivery → delivered status machine (/sales/orders, sales.order.manage); an Invoice per order; CustomerCreditNote (/ar/credit-notes); admin-managed discount codes and promotional banners consumed by the storefront; and the Delivery module tracks the physical delivery with proof of delivery. Support tickets (SupportTicket, open → resolved, with categories and priority) are the customer-complaint and feedback channel today.</w:t>
      </w:r>
    </w:p>
    <w:p>
      <w:pPr>
        <w:pStyle w:val="BodyText"/>
      </w:pPr>
      <w:r>
        <w:t>Net-new on the backlog: quotations; a printed delivery note and a printed receipt document; a sales-return / RMA model (a return is only a credit note today); sales commissions (also a Payroll backlog item), sales targets and a sales-performance dashboard (the “Sales Performance” tile is deliberately deferred); a multi-contact list per customer and a credit-limit check enforced at order time (the limit is stored but not enforced); and the whole CRM — leads, opportunities, follow-ups, an activity / interaction log for calls, emails and meetings, a sales pipeline, and structured customer feedback — none of which exists as a module. This update adds the specification / status record only — no code, schema, endpoint or permission change.</w:t>
      </w:r>
    </w:p>
    <w:p>
      <w:pPr>
        <w:pStyle w:val="Heading2"/>
      </w:pPr>
      <w:r>
        <w:t>Impact on this document</w:t>
      </w:r>
    </w:p>
    <w:p>
      <w:pPr>
        <w:pStyle w:val="BodyText"/>
      </w:pPr>
      <w:r>
        <w:t>Feasibility — the customer / order / invoice / credit-note / discount base is solid; quotations, returns and CRM entities are additive; a sales-performance view reuses the existing order and invoice data; CRM is the largest net-new area.</w:t>
      </w:r>
    </w:p>
    <w:p>
      <w:pPr>
        <w:pStyle w:val="Heading1"/>
      </w:pPr>
      <w:r>
        <w:t>Implementation Status Update 76 (1 September 2026) — Procurement &amp; Purchasing Feature Section</w:t>
      </w:r>
    </w:p>
    <w:p>
      <w:pPr>
        <w:pStyle w:val="BodyText"/>
      </w:pPr>
      <w:r>
        <w:t>An administrator asked that a “Procurement and Purchasing” section be recorded, covering purchase requisitions, purchase orders, supplier quotations, requests for quotations, supplier comparison, purchase approvals, goods received notes, supplier invoices, purchase returns, procurement budgets and procurement reports, together with the end-to-end procurement workflow: Employee / Department Request → Department Approval → Procurement → Supplier Quotations → Evaluation → Management Approval → Purchase Order → Delivery → Inspection → Invoice → Payment.</w:t>
      </w:r>
    </w:p>
    <w:p>
      <w:pPr>
        <w:pStyle w:val="BodyText"/>
      </w:pPr>
      <w:r>
        <w:t>There is no dedicated Procurement module in MBMS — it has been a deliberately deferred Phase-2 area since the discovery pass — but the tail of the workflow and the supplier master are built. Suppliers are a first-class record (Supplier, /suppliers CRUD with blacklist / unblacklist and a sensitive-fields grant). On the payables side, a SupplierInvoice moves draft → pending_approval → approved → paid via /ap/invoices/:id/submit-for-approval and /approve (ap.approve, and approving it posts the balanced journal entry), plus supplier payments, supplier credit notes, an AP aging report, a supplier statement and a payment schedule. So supplier invoices are fully built, invoice approval is built, a purchase return is recorded today as a supplier credit note, and a procurement budget is a Budget line on the relevant expense or asset account with budget-vs-actual. The end-to-end procurement workflow is already documented in 05_Business Process Document (Section 6.5); only its Invoice → Payment tail is implemented.</w:t>
      </w:r>
    </w:p>
    <w:p>
      <w:pPr>
        <w:pStyle w:val="BodyText"/>
      </w:pPr>
      <w:r>
        <w:t>Net-new on the backlog: a Purchase Requisition with a department-approval step; a Request for Quotation sent to multiple suppliers; Supplier Quotations with a side-by-side comparison and an evaluation / award step; a Purchase Order with a management-approval chain; a Goods Received Note and an inspection step at delivery (no inbound-goods or inventory model exists); a Purchase Return / debit-note flow distinct from a supplier credit note; a three-way match (PO → GRN → invoice); and procurement-specific budgets and reports (spend by supplier / category, PO and requisition status, commitment vs. actual). This update adds the specification / status record only — no code, schema, endpoint or permission change; the supplier master and Accounts Payable are unchanged.</w:t>
      </w:r>
    </w:p>
    <w:p>
      <w:pPr>
        <w:pStyle w:val="Heading2"/>
      </w:pPr>
      <w:r>
        <w:t>Impact on this document</w:t>
      </w:r>
    </w:p>
    <w:p>
      <w:pPr>
        <w:pStyle w:val="BodyText"/>
      </w:pPr>
      <w:r>
        <w:t>Feasibility — the supplier record, the AP invoice-approval workflow and GL posting are a solid base; requisitions, POs, RFQs and quotations are additive entities with a familiar approval-chain shape; the GRN / inspection step depends on an inbound-goods or inventory model that also does not exist yet.</w:t>
      </w:r>
    </w:p>
    <w:p>
      <w:pPr>
        <w:pStyle w:val="Heading1"/>
      </w:pPr>
      <w:r>
        <w:t>Implementation Status Update 77 (1 September 2026) — Supplier Management Feature Section</w:t>
      </w:r>
    </w:p>
    <w:p>
      <w:pPr>
        <w:pStyle w:val="BodyText"/>
      </w:pPr>
      <w:r>
        <w:t>An administrator asked that a “Supplier Management” section be recorded, covering supplier registration, supplier profiles, supplier categories, supplier contacts, supplier contracts, supplier documents, tax information, bank details, supplier evaluation, supplier performance, supplier payment history, supplier statements and supplier blacklist / suspension.</w:t>
      </w:r>
    </w:p>
    <w:p>
      <w:pPr>
        <w:pStyle w:val="BodyText"/>
      </w:pPr>
      <w:r>
        <w:t>The supplier master is already built. A Supplier is a first-class record (name, category, contact email / phone, address, tax id, a contract reference and expiry date, bank name and bank account number, and a status of active / inactive / blacklisted), registered via POST /suppliers (supplier.manage, audited), edited via PATCH /suppliers/:id, listed and filtered by category, and blacklisted / un-blacklisted through POST /suppliers/:id/blacklist and /unblacklist. Tax information and bank details are held on the record, with the bank account number masked unless the caller holds supplier.view.sensitive. Supplier payment history and supplier statements are built on the payables side — GET /api/v1/ap/statement returns a chronological invoice / payment / credit-note ledger with a running balance for a given supplier. So of the requested list, registration, profiles, categories, tax information, bank details, payment history, statements and blacklist are live.</w:t>
      </w:r>
    </w:p>
    <w:p>
      <w:pPr>
        <w:pStyle w:val="BodyText"/>
      </w:pPr>
      <w:r>
        <w:t>Gaps against the requested list: a multi-contact list per supplier (only one email / phone today); supplier contracts and supplier documents as uploaded, versioned files with a lifecycle (today only a text contract reference and expiry date — the same deferred object-storage gap this project has carried for company logos and employee documents); a dedicated time-bound suspension distinct from blacklist and the inactive status; and supplier evaluation and supplier performance — a scorecard for on-time delivery, quality and price, and a rating history — neither of which is modelled. This update adds the specification / status record only — no code, schema, endpoint or permission change; the supplier master is unchanged.</w:t>
      </w:r>
    </w:p>
    <w:p>
      <w:pPr>
        <w:pStyle w:val="Heading2"/>
      </w:pPr>
      <w:r>
        <w:t>Impact on this document</w:t>
      </w:r>
    </w:p>
    <w:p>
      <w:pPr>
        <w:pStyle w:val="BodyText"/>
      </w:pPr>
      <w:r>
        <w:t>Feasibility — the supplier record, the sensitive-field masking and the AP statement are a solid base; a multi-contact list and evaluation / performance entities are additive; supplier documents wait on the project-wide object-storage decision.</w:t>
      </w:r>
    </w:p>
    <w:p>
      <w:pPr>
        <w:pStyle w:val="Heading1"/>
      </w:pPr>
      <w:r>
        <w:t>Implementation Status Update 78 (1 September 2026) — Supplier Management: Contacts, Suspension &amp; Evaluation</w:t>
      </w:r>
    </w:p>
    <w:p>
      <w:pPr>
        <w:pStyle w:val="BodyText"/>
      </w:pPr>
      <w:r>
        <w:t>An administrator asked to implement the Supplier Management backlog recorded in the previous update — specifically a multi-contact list per supplier, a time-bound suspension distinct from blacklist, and supplier evaluation and performance. This has now shipped as code.</w:t>
      </w:r>
    </w:p>
    <w:p>
      <w:pPr>
        <w:pStyle w:val="BodyText"/>
      </w:pPr>
      <w:r>
        <w:t>Schema and migration 20260901130000_supplier_management add two tables and extend the supplier record. supplier_contacts holds several named people per supplier (name, title, email, phone, an is_primary flag and a free-text note); the service keeps at most one primary contact, demoting any previous primary when a new one is set. supplier_evaluations is a periodic scorecard: a period label, five criterion scores from 1 to 5 (on-time delivery, goods / service quality, price competitiveness, communication / responsiveness and documentation / terms compliance), an overall score that is their average, optional comments and the evaluating user. The SupplierStatus enum gains a suspended value, and suppliers gains suspension_reason and suspended_until columns.</w:t>
      </w:r>
    </w:p>
    <w:p>
      <w:pPr>
        <w:pStyle w:val="BodyText"/>
      </w:pPr>
      <w:r>
        <w:t>New endpoints sit under the existing supplier.manage / supplier.viewAll permissions (supplier.view.sensitive still governs unmasked bank / tax fields — no new permission was added). GET / POST /api/v1/suppliers/:id/contacts and PATCH / DELETE /api/v1/suppliers/:id/contacts/:contactId manage the contact list. POST /api/v1/suppliers/:id/suspend takes a reason and an optional auto-lift date and sets the status to suspended; POST /api/v1/suppliers/:id/unsuspend clears it. It refuses to suspend a blacklisted supplier (409) - un-blacklist first - and a suspension whose suspended_until date has passed lifts itself automatically the next time the record is read. GET / POST /api/v1/suppliers/:id/evaluations and DELETE /api/v1/suppliers/:id/evaluations/:evaluationId manage scorecards. GET /api/v1/suppliers/:id/performance returns a derived summary: evaluation count, overall average, a rating band (Excellent / Good / Fair / Poor), a trend against the previous scorecard (improving / declining / flat), per-criterion averages, and accounts-payable figures for the supplier (invoice count, paid and overdue counts, total invoiced, total paid and outstanding). There is no performance table - it is computed on request from the evaluations plus the supplier's AP invoice history.</w:t>
      </w:r>
    </w:p>
    <w:p>
      <w:pPr>
        <w:pStyle w:val="BodyText"/>
      </w:pPr>
      <w:r>
        <w:t>Every mutation is audited (supplier.contact.created / updated / deleted, supplier.evaluation.created / deleted, and supplier.record.updated for suspend / unsuspend), with bank and tax values kept out of event payloads as before. All routes are company-scoped exactly like the existing GET /suppliers/:id. The admin Suppliers screen now opens a supplier detail dialog from the supplier name with Contacts, Evaluations and Performance tabs and a Suspend / Lift-suspension control; add-contact, new-evaluation (1-5 sliders with a live overall) and suspend (reason + auto-lift date) dialogs are included, and the list shows a suspended badge with the lift date. Seed data adds three contacts and two quarterly scorecards (Q1 and Q2 2026) for AgroChem Uganda Ltd so the screen and the performance summary are populated on a fresh database.</w:t>
      </w:r>
    </w:p>
    <w:p>
      <w:pPr>
        <w:pStyle w:val="BodyText"/>
      </w:pPr>
      <w:r>
        <w:t>Still on the backlog: supplier contracts and supplier documents as uploaded, versioned files — the same deferred object-storage gap this project carries for company logos and employee documents. Verified end to end: seeded contacts and evaluations read back; adding a primary contact demotes the previous one; suspend then unsuspend; a new scorecard moves the performance average and trend; suspend on a blacklisted supplier returns 409; a caller without supplier.manage gets 403 on every mutation. nest build and the admin vite build are clean.</w:t>
      </w:r>
    </w:p>
    <w:p>
      <w:pPr>
        <w:pStyle w:val="Heading2"/>
      </w:pPr>
      <w:r>
        <w:t>Impact on this document</w:t>
      </w:r>
    </w:p>
    <w:p>
      <w:pPr>
        <w:pStyle w:val="BodyText"/>
      </w:pPr>
      <w:r>
        <w:t>Feasibility — confirmed: the two new entities (supplier_contacts, supplier_evaluations) and the enum / column additions were additive and shipped without touching the existing supplier CRUD, masking or AP statement. Performance is a computed read, so no summary table to maintain.</w:t>
      </w:r>
    </w:p>
    <w:p>
      <w:pPr>
        <w:pStyle w:val="Heading1"/>
      </w:pPr>
      <w:r>
        <w:t>Implementation Status Update 79 (1 September 2026) — Inventory Management: Warehouses, Transfers, Batch / Serial Tracking &amp; Reports</w:t>
      </w:r>
    </w:p>
    <w:p>
      <w:pPr>
        <w:pStyle w:val="BodyText"/>
      </w:pPr>
      <w:r>
        <w:t>An administrator asked to add and implement an “Inventory Management” section covering product registration, categories, codes, barcodes and units of measure; stock locations and warehouses; stock receipts, issues, transfers, adjustments, returns and counts; stock valuation; re-order / minimum / maximum stock levels; expiry-date, batch and serial-number tracking; and inventory reports (stock balance, stock movement, fast- / slow-moving, dead stock, valuation, shortage, surplus). Product registration / categories / codes / barcodes / units of measure were already built in the Product service, and a company-level Inventory section (stock-on-hand, a re-order point, receipt / issue / count adjustments and an immutable movement ledger) shipped on 28 August 2026. This pass builds the rest.</w:t>
      </w:r>
    </w:p>
    <w:p>
      <w:pPr>
        <w:pStyle w:val="BodyText"/>
      </w:pPr>
      <w:r>
        <w:t>Migration 20260901140000_inventory_management adds warehouses (one company may have several stock sites; each has a code, a name, an optional Branch link and an active flag, with exactly one marked the default), stock_locations (bins / aisles / racks within a warehouse, descriptive in this phase), stock_balances (on-hand of one product in one warehouse; the sum over a product’s rows equals Product.stockQuantity, the company roll-up the storefront and Orders still read), stock_batches (a batch number and an optional expiry date per batch-tracked product) and stock_serials (one row per serial-numbered unit, status in_stock / issued / returned / scrapped). Product gains min_stock_level, max_stock_level, track_batches and track_serials; StockMovement gains warehouse_id, counterparty_warehouse_id and batch_number; the StockMovementType enum gains adjustment, transfer_out, transfer_in and return. The MAIN-warehouse creation and the balance backfill from the existing roll-up run in prisma/seed.ts (and lazily in the service), keeping the migration DDL-only per this project’s convention.</w:t>
      </w:r>
    </w:p>
    <w:p>
      <w:pPr>
        <w:pStyle w:val="BodyText"/>
      </w:pPr>
      <w:r>
        <w:t>New endpoints sit under /api/v1/inventory, reads scoped per BR-01 like the product list and writes gated by product.manage — the same permission the existing section uses, so no new permission was added. Warehouses: GET / POST /inventory/warehouses, PATCH /inventory/warehouses/:id, GET / POST /inventory/warehouses/:id/locations, PATCH /inventory/locations/:locationId. Stock moves: POST /inventory/adjustments now takes an optional warehouseId (defaulting to MAIN) plus an optional batch number / expiry date on a receipt and an optional serial-number list on a receipt or issue; POST /inventory/transfers moves quantity between two warehouses of the same company as a paired transfer_out / transfer_in (the roll-up is unchanged); POST /inventory/returns books goods back into a warehouse. GET /inventory/balances lists a product’s per-warehouse rows; PUT /inventory/products/:id/stock-levels sets the re-order point, minimum and maximum together with the batch / serial flags (the older /reorder-point route is kept). GET /inventory/batches and GET /inventory/serials list the tracking rows.</w:t>
      </w:r>
    </w:p>
    <w:p>
      <w:pPr>
        <w:pStyle w:val="BodyText"/>
      </w:pPr>
      <w:r>
        <w:t>Eight reports are exposed at GET /inventory/reports/*: stock-balance (per product, with a per-warehouse breakdown), stock-movement (a date-ranged ledger), movement-analysis (fast-moving, slow-moving and dead-stock buckets from issue volume over a window), valuation (quantity × unit price, per warehouse and total), shortage (on-hand below the minimum, or below the re-order point where no minimum is set), surplus (on-hand above the maximum) and expiring (batches already expired or within N days of expiry). Every mutation is audited (inventory.warehouse.*, inventory.location.*, inventory.stock.adjusted / transferred / returned, inventory.stock_levels.updated). The admin Inventory screen gains Warehouses and Reports tabs, a warehouse filter and min / max columns on the stock list, Transfer / Return / Levels actions per row, a warehouse selector plus batch and serial fields on the adjust dialog, and a date range on the movement ledger. Seed data adds a MAIN warehouse for every company that holds stock, a second Agro warehouse (Kira Dispatch Store) with two locations, minimum / maximum levels on five products, a batch-tracked herbicide with two batches (one near expiry), a serial-tracked pallet with three units, and a demo MAIN → Kira transfer.</w:t>
      </w:r>
    </w:p>
    <w:p>
      <w:pPr>
        <w:pStyle w:val="BodyText"/>
      </w:pPr>
      <w:r>
        <w:t>Every requested feature now maps to something running: product registration / categories / codes / barcodes / units of measure (Product service), stock locations and warehouses, receipts / issues / transfers / adjustments / returns / counts, stock valuation, re-order / minimum / maximum levels, expiry-date / batch / serial tracking, and all eight named reports. Verified end to end: warehouses created per company; a transfer leaves the roll-up unchanged while both warehouse balances move; over-issue and over-transfer return 409; the shortage / surplus / expiring reports pick up the seeded thresholds and batches; a serial receipt then issue flips the unit status; a caller without product.manage gets 403 on every write. nest build, admin vite build and the OpenAPI regeneration are clean.</w:t>
      </w:r>
    </w:p>
    <w:p>
      <w:pPr>
        <w:pStyle w:val="Heading2"/>
      </w:pPr>
      <w:r>
        <w:t>Impact on this document</w:t>
      </w:r>
    </w:p>
    <w:p>
      <w:pPr>
        <w:pStyle w:val="BodyText"/>
      </w:pPr>
      <w:r>
        <w:t>Feasibility — confirmed additive: the five new tables and the Product / StockMovement column additions shipped without touching the existing product CRUD, the storefront or Orders, which keep reading Product.stockQuantity (kept equal to the sum of the per-warehouse balances).</w:t>
      </w:r>
    </w:p>
    <w:p>
      <w:pPr>
        <w:pStyle w:val="Heading1"/>
      </w:pPr>
      <w:r>
        <w:t>Implementation Status Update 80 (1 September 2026) — Warehouse Management: Staff, Receiving, Picking / Packing / Dispatch &amp; Count Reconciliation</w:t>
      </w:r>
    </w:p>
    <w:p>
      <w:pPr>
        <w:pStyle w:val="BodyText"/>
      </w:pPr>
      <w:r>
        <w:t>An administrator asked to add and implement a “Warehouse Management” section covering multiple warehouses, warehouse locations, bin management, receiving, picking, packing, dispatch, stock transfers, warehouse staff management, warehouse stock counts, barcode scanning and inventory reconciliation. Multiple warehouses, warehouse locations and stock transfers were built earlier the same day in the Inventory Management pass; this pass adds the warehouse operations layer on top.</w:t>
      </w:r>
    </w:p>
    <w:p>
      <w:pPr>
        <w:pStyle w:val="BodyText"/>
      </w:pPr>
      <w:r>
        <w:t>Migration 20260901150000_warehouse_management adds warehouse_staff (an Employee assigned to a warehouse with a role of manager / supervisor / receiver / picker / packer / dispatcher), goods_receipts + goods_receipt_lines (an inbound receiving document: draft → received → cancelled; each line names a product, a quantity and an optional batch / expiry / bin), pick_lists + pick_list_lines (a fulfilment job: pending → picking → picked → packed → dispatched, optionally tied to a sales Order whose items become the lines) and stock_counts + stock_count_lines (a physical count session: open → counting → reconciled, each line snapshotting the system quantity, recording the counted quantity and the variance). Stock locations gain a functional kind (receiving / storage / picking / packing / dispatch / quarantine), so a bin has a role in the flow. All of it reuses product.manage / product.viewAll — no new permission — and the seeded Warehouse Manager role now holds product.manage so that persona can run the floor.</w:t>
      </w:r>
    </w:p>
    <w:p>
      <w:pPr>
        <w:pStyle w:val="BodyText"/>
      </w:pPr>
      <w:r>
        <w:t>New endpoints under /api/v1/inventory (reads scoped per BR-01, writes gated by product.manage): GET / POST /inventory/warehouses/:id/staff and PATCH / DELETE /inventory/warehouse-staff/:id manage staff. GET / POST /inventory/goods-receipts, GET /inventory/goods-receipts/:id, POST .../:id/receive (books a receipt stock movement per line, updating the warehouse balance, the company roll-up and any batch), POST .../:id/cancel. GET / POST /inventory/pick-lists, GET /inventory/pick-lists/:id, POST .../:id/assign, POST .../:id/pick (issues the picked quantity from the warehouse, with a 409 if stock is short), POST .../:id/pack, POST .../:id/dispatch (which also nudges a linked order to packed / out_for_delivery), POST .../:id/cancel (returning already-picked stock). GET / POST /inventory/stock-counts, GET /inventory/stock-counts/:id, POST .../:id/lines, PATCH .../:id/lines/:lineId (record a counted quantity), POST .../:id/reconcile (posts a count adjustment for every line whose count differs from the system figure and writes the variance), POST .../:id/cancel. GET /inventory/lookup?barcode= returns the matching product and its per-warehouse balances, and a goods-receipt / pick-list / stock-count line may be entered by barcode instead of product id.</w:t>
      </w:r>
    </w:p>
    <w:p>
      <w:pPr>
        <w:pStyle w:val="BodyText"/>
      </w:pPr>
      <w:r>
        <w:t>Every mutation is audited (inventory.warehouse_staff.*, inventory.goods_receipt.created / received / cancelled, inventory.pick_list.created / assigned / picked / packed / dispatched / cancelled, inventory.stock_count.created / reconciled / cancelled) and every stock effect goes through the same per-warehouse balance / roll-up / movement path the Inventory Management pass built, so on-hand stays explainable. The admin Inventory screen gains a Warehouse ops tab with Staff, Goods receipts, Pick lists and Stock counts sub-views, and the Warehouses tab’s location panel now shows and sets a bin’s kind. Seed data adds a Warehouse Manager login (William Opio, w.opio@morise-holdings.com), warehouse staff for Morise Agro Ltd’s MAIN warehouse (a manager, a picker / packer and a receiver), five functional bins (receiving / storage / packing / dispatch / quarantine), a draft goods receipt against AgroChem Uganda Ltd, a pending pick list built from a confirmed storefront order, and an open cycle-count session.</w:t>
      </w:r>
    </w:p>
    <w:p>
      <w:pPr>
        <w:pStyle w:val="BodyText"/>
      </w:pPr>
      <w:r>
        <w:t>Every requested feature now maps to something running: multiple warehouses, warehouse locations and stock transfers (Inventory Management pass), bin management (functional bins), receiving (goods receipts), picking / packing / dispatch (pick lists), warehouse staff management, warehouse stock counts and inventory reconciliation (stock counts), and barcode scanning (barcode lookup + line entry). Verified end to end: receiving a draft goods receipt raises the warehouse balance and the roll-up; a pick list runs pending → picked (stock issued) → packed → dispatched and carries a linked order to out_for_delivery; re-dispatching or re-receiving returns 409; a stock count reconciles, writing the variance and posting the count adjustment; a barcode resolves to its product; a caller without product.manage gets 403 on every write. nest build, admin vite build and the OpenAPI regeneration (317 paths / 401 operations) are clean.</w:t>
      </w:r>
    </w:p>
    <w:p>
      <w:pPr>
        <w:pStyle w:val="Heading2"/>
      </w:pPr>
      <w:r>
        <w:t>Impact on this document</w:t>
      </w:r>
    </w:p>
    <w:p>
      <w:pPr>
        <w:pStyle w:val="BodyText"/>
      </w:pPr>
      <w:r>
        <w:t>Feasibility — confirmed additive: the four document tables (staff, goods receipts, pick lists, stock counts) and the location kind shipped without touching the Inventory Management balance / roll-up / movement path, which every stock effect here reuses.</w:t>
      </w:r>
    </w:p>
    <w:p>
      <w:pPr>
        <w:pStyle w:val="Heading1"/>
      </w:pPr>
      <w:r>
        <w:t>Implementation Status Update 81 (2 September 2026) — Asset Management: Categories, Inspections, Insurance &amp; Asset History</w:t>
      </w:r>
    </w:p>
    <w:p>
      <w:pPr>
        <w:pStyle w:val="BodyText"/>
      </w:pPr>
      <w:r>
        <w:t>An administrator asked to add and implement an “Asset Management” section for every asset owned by Multi Holdings and its subsidiaries, covering asset registration, categories, asset numbers, location, custodian, purchase information, supplier information, asset value, depreciation, transfer, maintenance, disposal, inspection, insurance, documents and history (examples: vehicles, buildings, computers, machinery, furniture, equipment, land, office equipment). The Sprint-11 Asset Service already covered registration, asset numbers, location (branch), custodian, purchase date / cost, straight-line depreciation with GL posting, asset value (net book value), transfer (including cross-company), maintenance logging, and the request → approve → dispose workflow with a derecognition entry. This pass builds the rest.</w:t>
      </w:r>
    </w:p>
    <w:p>
      <w:pPr>
        <w:pStyle w:val="BodyText"/>
      </w:pPr>
      <w:r>
        <w:t>Migration 20260902120000_asset_management adds asset_categories (a first-class category with a code, a name and depreciation defaults — method, useful life in years, salvage as a percentage of cost — that a newly-registered asset inherits unless the registration overrides them); asset_inspections (a periodic condition inspection: date, inspector, a condition rating of excellent / good / fair / poor / unserviceable, findings, action required and a next-due date, distinct from the one-off inspection notes inside the disposal workflow); asset_insurance_policies (a first-class policy: insurer, policy number, cover amount, premium, term and a status of active / expired / cancelled, superseding the three inline insurer / policy-number / expiry fields, which are kept in step with the latest policy for backward compatibility); and asset_events (an append-only asset-history row written by every lifecycle action). The Asset record itself gains category_id, supplier_id (a link to the Supplier master), purchase_reference (PO / invoice number) and warranty_expiry_date.</w:t>
      </w:r>
    </w:p>
    <w:p>
      <w:pPr>
        <w:pStyle w:val="BodyText"/>
      </w:pPr>
      <w:r>
        <w:t>New endpoints sit under the existing asset.manage / asset.viewAll / asset.approve.disposal permissions — no new permission. GET / POST /assets/categories and PATCH /assets/categories/:id manage categories. GET / POST /assets/:id/inspections record and list inspections. GET / POST /assets/:id/insurance and PATCH /assets/insurance/:policyId manage insurance policies. GET /assets/:id/history returns the chronological event timeline. Four reports are exposed at GET /assets/reports/*: register (the fixed-asset register — cost, accumulated depreciation, net book value, category, custodian, location, per asset with totals), depreciation-schedule (per straight-line asset: annual charge, accumulated, NBV, years remaining), insurance-expiring (policies already expired or within N days of expiry) and inspections-due (assets whose next inspection date has passed or falls within N days). Registration also auto-generates the asset number as AST-YYYY-NNNN when one is not supplied, and inherits the category's depreciation defaults.</w:t>
      </w:r>
    </w:p>
    <w:p>
      <w:pPr>
        <w:pStyle w:val="BodyText"/>
      </w:pPr>
      <w:r>
        <w:t>Every lifecycle action — registration, record update, transfer, depreciation, maintenance, inspection, insurance add / update, and each disposal step — now writes an asset_events row, so GET /assets/:id/history is a single chronological read rather than six tables stitched together. Every mutation is also audited as before (asset.category.created / updated, asset.inspection.recorded, asset.insurance.added / updated). The admin Assets screen gains a Categories manager, and each asset opens a detail dialog with Overview, Inspections, Insurance and History tabs; the registration form gains a category picker, supplier / purchase-reference / warranty fields and an optional (auto-generated) asset number. Seed data adds eight asset categories for Morise Agro Ltd (Vehicles, Buildings, Computers, Machinery, Furniture, Equipment, Land, Office Equipment) with depreciation defaults, links the three seeded assets to a category / supplier / purchase reference, backfills their history events, and adds an inspection and a first-class insurance policy on the Toyota Hilux.</w:t>
      </w:r>
    </w:p>
    <w:p>
      <w:pPr>
        <w:pStyle w:val="BodyText"/>
      </w:pPr>
      <w:r>
        <w:t>Asset documents remain a text document_reference on the record — the same deferred object-storage gap this project carries for company logos, employee documents and supplier contracts. Verified end to end: a category's defaults flow into a new asset; the asset number auto-generates; the history timeline shows registration, inspection and insurance events in order; the register and depreciation-schedule reports total correctly; the insurance-expiring and inspections-due reports pick up the seeded policy and a new inspection; a caller without asset.manage gets 403 on every write. nest build, admin vite build and the OpenAPI regeneration (327 paths / 414 operations) are clean.</w:t>
      </w:r>
    </w:p>
    <w:p>
      <w:pPr>
        <w:pStyle w:val="Heading2"/>
      </w:pPr>
      <w:r>
        <w:t>Impact on this document</w:t>
      </w:r>
    </w:p>
    <w:p>
      <w:pPr>
        <w:pStyle w:val="BodyText"/>
      </w:pPr>
      <w:r>
        <w:t>Feasibility — confirmed additive: the four new tables and the four asset columns shipped without changing the existing depreciation, transfer or disposal logic; the history log is a light write added to methods that already ran.</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36"/>
    </w:pPr>
    <w:rPr>
      <w:rFonts w:ascii="Calibri;Arial;sans-serif" w:hAnsi="Calibri;Arial;sans-serif" w:eastAsia="Calibri;Arial;sans-serif" w:cs="Calibri;Arial;sans-serif"/>
      <w:color w:val="1A1A1A"/>
      <w:sz w:val="22"/>
      <w:szCs w:val="22"/>
      <w:lang w:val="en-US" w:eastAsia="zh-CN" w:bidi="hi-IN"/>
    </w:rPr>
  </w:style>
  <w:style w:type="paragraph" w:styleId="Heading1">
    <w:name w:val="heading 1"/>
    <w:basedOn w:val="Heading"/>
    <w:next w:val="BodyText"/>
    <w:qFormat/>
    <w:pPr/>
    <w:rPr>
      <w:b/>
      <w:bCs/>
      <w:color w:val="1F3864"/>
      <w:sz w:val="40"/>
      <w:szCs w:val="40"/>
    </w:rPr>
  </w:style>
  <w:style w:type="paragraph" w:styleId="Heading2">
    <w:name w:val="heading 2"/>
    <w:basedOn w:val="Heading"/>
    <w:next w:val="BodyText"/>
    <w:qFormat/>
    <w:pPr>
      <w:pBdr>
        <w:bottom w:val="single" w:sz="2" w:space="2" w:color="1F3864"/>
      </w:pBdr>
      <w:spacing w:before="330" w:after="120"/>
      <w:outlineLvl w:val="1"/>
    </w:pPr>
    <w:rPr>
      <w:rFonts w:ascii="Liberation Serif" w:hAnsi="Liberation Serif" w:eastAsia="Noto Serif CJK SC" w:cs="Noto Sans Devanagari"/>
      <w:b/>
      <w:bCs/>
      <w:color w:val="1F3864"/>
      <w:sz w:val="28"/>
      <w:szCs w:val="28"/>
    </w:rPr>
  </w:style>
  <w:style w:type="paragraph" w:styleId="Heading3">
    <w:name w:val="heading 3"/>
    <w:basedOn w:val="Heading"/>
    <w:next w:val="BodyText"/>
    <w:qFormat/>
    <w:pPr>
      <w:spacing w:before="210" w:after="120"/>
      <w:outlineLvl w:val="2"/>
    </w:pPr>
    <w:rPr>
      <w:rFonts w:ascii="Liberation Serif" w:hAnsi="Liberation Serif" w:eastAsia="Noto Serif CJK SC" w:cs="Noto Sans Devanagari"/>
      <w:b/>
      <w:bCs/>
      <w:color w:val="2E5395"/>
      <w:sz w:val="24"/>
      <w:szCs w:val="2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left"/>
    </w:pPr>
    <w:rPr>
      <w:sz w:val="21"/>
      <w:szCs w:val="21"/>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1F3864" w:val="clear"/>
      <w:jc w:val="left"/>
    </w:pPr>
    <w:rPr>
      <w:b/>
      <w:bCs/>
      <w:color w:val="FFFFFF"/>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LibreOffice_project/6d2b0d33fb0f5da53a12f98bed3e9973e56ff1f0</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Feasibility Study</dc:title>
</cp:coreProperties>
</file>

<file path=docProps/custom.xml><?xml version="1.0" encoding="utf-8"?>
<Properties xmlns="http://schemas.openxmlformats.org/officeDocument/2006/custom-properties" xmlns:vt="http://schemas.openxmlformats.org/officeDocument/2006/docPropsVTypes"/>
</file>