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pPr>
      <w:r>
        <w:t>Implementation Status Note 5 (19 August 2026) — Section 2 (Company and Holdings Management) Deepened; Catch-Up Note</w:t>
      </w:r>
    </w:p>
    <w:p>
      <w: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pPr>
      <w:r>
        <w:t>Implementation Status Note 6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Note 7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Note 8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Note 9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1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pPr>
      <w:r>
        <w:t>Implementation Status Update 2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pPr>
      <w:r>
        <w:t>Implementation Status Update 3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pPr>
      <w:r>
        <w:t>Implementation Status Update 4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pPr>
      <w:r>
        <w:t>Implementation Status Update 5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pPr>
      <w:r>
        <w:t>Implementation Status Update 6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pPr>
      <w:r>
        <w:t>Implementation Status Update 7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pPr>
      <w:r>
        <w:t>Implementation Status Update 8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pPr>
      <w:r>
        <w:t>Implementation Status Update 9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pPr>
      <w:r>
        <w:t>Implementation Status Update 10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pPr>
      <w:r>
        <w:t>Implementation Status Update 11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pPr>
      <w:r>
        <w:t>Implementation Status Update 12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pPr>
      <w:r>
        <w:t>Implementation Status Update 13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pPr>
      <w:r>
        <w:t>Implementation Status Update 14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pPr>
      <w:r>
        <w:t>Implementation Status Update 15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pPr>
      <w:r>
        <w:t>Implementation Status Update 16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pPr>
      <w:r>
        <w:t>Implementation Status Update 17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pPr>
      <w:r>
        <w:t>Implementation Status Update 18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pPr>
      <w:r>
        <w:t>Implementation Status Update 19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pPr>
      <w:r>
        <w:t>Implementation Status Update 20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pPr>
      <w:r>
        <w:t>Implementation Status Update 21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pPr>
      <w:r>
        <w:t>Implementation Status Update 22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pPr>
      <w:r>
        <w:t>Implementation Status Update 23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pPr>
      <w:r>
        <w:t>Implementation Status Update 24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Storefront — no storefront change; the backend that serves it now publishes an OpenAPI/Swagger contract at /api/v1/docs and /api/v1/docs-json, generated from the API code.</w:t>
      </w:r>
    </w:p>
    <w:p>
      <w:pPr>
        <w:pStyle w:val="Heading1"/>
      </w:pPr>
      <w:r>
        <w:t>Implementation Status Update 25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pPr>
      <w:r>
        <w:t>Implementation Status Update 26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Storefront — the public corporate pages added in Update 25 now use the same navy / white / amber styling and system fonts as the shop, so the landing pages and the shop look like one product. Presentation-only; no functional change.</w:t>
      </w:r>
    </w:p>
    <w:p>
      <w:pPr>
        <w:pStyle w:val="Heading1"/>
      </w:pPr>
      <w:r>
        <w:t>Implementation Status Update 27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Storefront — the public About / Terms / Delivery content pages now use the same header, footer and styling as the rest of the pre-login corporate site, so every public page is visually consistent. Presentation-only.</w:t>
      </w:r>
    </w:p>
    <w:p>
      <w:pPr>
        <w:pStyle w:val="Heading1"/>
      </w:pPr>
      <w:r>
        <w:t>Implementation Status Update 28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pPr>
      <w:r>
        <w:t>Implementation Status Update 29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pPr>
      <w:r>
        <w:t>Implementation Status Update 30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pPr>
      <w:r>
        <w:t>Implementation Status Update 31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pPr>
      <w:r>
        <w:t>Implementation Status Update 32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pPr>
      <w:r>
        <w:t>Implementation Status Update 33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pPr>
      <w:r>
        <w:t>Implementation Status Update 34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pPr>
      <w:r>
        <w:t>Implementation Status Update 35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pPr>
      <w:r>
        <w:t>Implementation Status Update 36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pPr>
      <w:r>
        <w:t>Implementation Status Update 37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pPr>
      <w:r>
        <w:t>Implementation Status Update 38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pPr>
      <w:r>
        <w:t>Implementation Status Update 39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pPr>
      <w:r>
        <w:t>Implementation Status Update 40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pPr>
      <w:r>
        <w:t>Implementation Status Update 41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pPr>
      <w:r>
        <w:t>Implementation Status Update 42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pPr>
      <w:r>
        <w:t>Implementation Status Update 43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pPr>
      <w:r>
        <w:t>Implementation Status Update 44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Company &amp; Holdings Management — a Payroll Management feature specification is recorded: one payroll system for employees across every subsidiary, covering salary structures (basic, allowances, overtime, bonuses, commissions), deductions (loans, advances, taxes, statutory, pension), approval, payslip generation, bank payment schedules, history, and department / company / consolidated group payroll reports. The transactional core is already built (Update 41): monthly PayrollRun per subsidiary → approved → paid with Uganda PAYE + NSSF, salary advances with automatic recovery, GL posting on pay, group-wide visibility via payroll.viewAll, and My Payslips self-service. The salary-structure components, typed deductions, a distinct loan facility, a voluntary pension, a payslip PDF, bank payment schedules and the reporting suite are recorded as backlog on top of it. Specification only; no new permission, endpoint or schema.</w:t>
      </w:r>
    </w:p>
    <w:p>
      <w:pPr>
        <w:pStyle w:val="Heading1"/>
      </w:pPr>
      <w:r>
        <w:t>Implementation Status Update 46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Company &amp; Holdings Management — the first slice of the Payroll Management backlog (Update 45) is built: salary structures, allowances, overtime and bonuses. Each employee can hold a structure of components (basic + allowances, plus one-off overtime / bonus lines for a given month); a payroll run derives gross from the applicable components (falling back to the flat Employee.grossSalary when there is no structure), and every payslip carries the earnings breakdown. New salary_components / payslip_components tables + migration 20260901120000_salary_structures; new /api/v1/payroll/salary-components + /salary-structure endpoints under the existing payroll permissions; the Admin Payroll screen gains a Salary structures tab. PAYE / NSSF and the GL posting are unchanged. Commissions, typed deductions, a loan facility, a voluntary pension, a payslip PDF, bank payment schedules and the reporting suite remain on the backlog.</w:t>
      </w:r>
    </w:p>
    <w:p>
      <w:pPr>
        <w:pStyle w:val="Heading1"/>
      </w:pPr>
      <w:r>
        <w:t>Implementation Status Update 47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Company &amp; Holdings Management — a “7. Accounting and Finance” section is recorded: the financial module (General Ledger, Accounts Receivable, Accounts Payable, Financial Statements) as one of the core components. It is already the deepest built area of MBMS — the Sprint 10 Full Accounting slice and the 19 August 2026 Financial Module Deepening — and against the requested feature list nearly every line is live: chart of accounts, journal entries (with adjusting / closing types), general ledger, trial balance, financial periods, account reconciliation, recurring journals; customer invoices, credit / debit notes, payments, outstanding invoices, payment reminders, customer statements, aging; supplier / purchase invoices with an approval workflow, supplier payments, credit notes, statements, aging, payment schedules; and Profit and Loss, Balance Sheet, Cash Flow Statement, Statement of Changes in Equity, budget-vs-actual, financial ratios and management accounts. The one gap is a dedicated Accounts Receivable sub-ledger reconciliation. Specification / status record only; no new permission, endpoint or schema.</w:t>
      </w:r>
    </w:p>
    <w:p>
      <w:pPr>
        <w:pStyle w:val="Heading1"/>
      </w:pPr>
      <w:r>
        <w:t>Implementation Status Update 48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Company &amp; Holdings Management — a “Cash and Bank Management” section is recorded (bank account management, cash accounts, petty cash, bank deposits / withdrawals / transfers, bank and cash reconciliation, payment / receipt vouchers, cash-flow forecasting, cash position reports). Bank and cash accounts already exist as General Ledger accounts (accountSubType bank / cash) and their movements are recorded as manual journal entries; bank and cash reconciliation are fully built (the AccountReconciliation model + /accounting/reconciliations), and a group-wide cash position is exposed by the dashboard financials and /finance/overview. Net-new on the backlog: a purpose-built bank / cash account register, petty cash, one-step deposit / withdrawal / transfer actions, payment and receipt vouchers, forward cash-flow forecasting, and a dedicated cash-position report. Specification / status record only; no new permission, endpoint or schema.</w:t>
      </w:r>
    </w:p>
    <w:p>
      <w:pPr>
        <w:pStyle w:val="Heading1"/>
      </w:pPr>
      <w:r>
        <w:t>Implementation Status Update 49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Company &amp; Holdings Management — a “Budget Management” section is recorded (annual / department / project / company / group budgets, capex / opex budgets, budget approval, revisions, budget versus actual, utilization, alerts, variance analysis). A budgeting capability is already built: the Budget model (one amount per Account per FinancialPeriod, set via /accounting/budgets, every change audited), GET /accounting/reports/budget-vs-actual (budgeted, actual, variance, variance %) which also rides inside management-accounts, and Project.budget with a budget-vs-actual-cost variance on the project summary. So company budgets, project budgets, budget versus actual and %-utilization are live per subsidiary. Net-new on the backlog: an annual budget as a first-class concept, a department dimension, a group roll-up, a capex / opex classification, a budget approval workflow and versioned revisions, a dedicated utilization report, budget alerts, and a deeper variance analysis. Specification / status record only; no new permission, endpoint or schema.</w:t>
      </w:r>
    </w:p>
    <w:p>
      <w:pPr>
        <w:pStyle w:val="Heading1"/>
      </w:pPr>
      <w:r>
        <w:t>Implementation Status Update 50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Company &amp; Holdings Management — a “Sales Management” section is recorded (Customer Management, Sales, CRM). Customer Management and the order-to-cash core are built: the Customer record (name, category, contact email / phone, address, credit limit, payment-terms days, status), staff and self-service registration, PATCH edits, per-customer statements and order / invoice / payment history; the Order status machine, an Invoice per order, CustomerCreditNote, admin-managed discount codes and promotional banners, the Delivery module, and SupportTicket as the complaint / feedback channel. Net-new on the backlog: quotations, printable delivery notes and receipts, a sales-return / RMA model, a multi-contact list and an enforced credit-limit check, sales commissions / targets / a performance dashboard (deliberately deferred), and the entire CRM (leads, opportunities, follow-ups, an activity log for calls / emails / meetings, a sales pipeline, and structured customer feedback). Specification / status record only; no new permission, endpoint or schema.</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TotalTime>
  <Application>LibreOffice/26.2.5.2$Linux_X86_64 LibreOffice_project/6d2b0d33fb0f5da53a12f98bed3e9973e56ff1f0</Application>
  <AppVersion>15.0000</AppVersion>
  <Pages>36</Pages>
  <Words>4449</Words>
  <Characters>26449</Characters>
  <CharactersWithSpaces>28849</CharactersWithSpaces>
  <Paragraphs>1177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2026-08-18T01:00:40Z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