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Schema — `social_links` gains a UNIQUE index on `platform` (migration `20260902160000_social_link_platform_unique`, de-duplicating existing rows first); at most one channel row per platform.</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Schema - new table staff_id_cards (one-to-one with employees, ON DELETE CASCADE) and enum StaffIdCardStatus (active / revoked / expired); unique card_number and verification_code; indexes on company_id and status; migration 20260903120000_staff_id_cards.</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Schema - staff_id_cards gains nullable blood_group VARCHAR(8) and back_notes TEXT (migration 20260903140000_staff_id_card_back); no other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