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48"/>
        </w:rPr>
        <w:t>Morise Holdings Limited</w:t>
      </w:r>
    </w:p>
    <w:p>
      <w:pPr>
        <w:jc w:val="center"/>
      </w:pPr>
      <w:r>
        <w:rPr>
          <w:color w:val="1B2A4A"/>
          <w:sz w:val="28"/>
        </w:rPr>
        <w:t>Company Overview</w:t>
      </w:r>
    </w:p>
    <w:p>
      <w:pPr>
        <w:spacing w:after="280"/>
        <w:jc w:val="center"/>
      </w:pPr>
      <w:r>
        <w:rPr>
          <w:i/>
          <w:sz w:val="18"/>
        </w:rPr>
        <w:t>Prepared: 2 September 2026</w:t>
      </w:r>
    </w:p>
    <w:p>
      <w:pPr>
        <w:pStyle w:val="Heading1"/>
      </w:pPr>
      <w:r>
        <w:t>1. Introduction</w:t>
      </w:r>
    </w:p>
    <w:p>
      <w:pPr>
        <w:spacing w:after="120"/>
      </w:pPr>
      <w:r>
        <w:rPr>
          <w:i w:val="0"/>
        </w:rPr>
        <w:t>Morise Holdings Limited (“the Group”) is a Uganda-based holding company that owns and governs a set of operating subsidiaries, each running its own branches, departments and day-to-day business. The holding company itself does not trade; its role is ownership, governance, financial oversight and the provision of shared services and strategic direction to the companies beneath it.</w:t>
      </w:r>
    </w:p>
    <w:p>
      <w:pPr>
        <w:spacing w:after="120"/>
      </w:pPr>
      <w:r>
        <w:rPr>
          <w:i w:val="0"/>
        </w:rPr>
        <w:t>The Group is board-governed and operates on a multi-signatory financial-control model. Its governance records date back to a Board Resolution of 14 June 2019 establishing the Group’s principal banking relationship with Equity Bank (Uganda) Limited, with Mr. Okurut Mathias (Managing Director) as principal signatory and additional directors as alternate signatories.</w:t>
      </w:r>
    </w:p>
    <w:p>
      <w:pPr>
        <w:pStyle w:val="Heading1"/>
      </w:pPr>
      <w:r>
        <w:t>2. Group Structure</w:t>
      </w:r>
    </w:p>
    <w:p>
      <w:pPr>
        <w:spacing w:after="120"/>
      </w:pPr>
      <w:r>
        <w:rPr>
          <w:i w:val="0"/>
        </w:rPr>
        <w:t>Morise Holdings Limited sits at the top of a holding-company structure: subsidiary companies operate under it, each with one or more branches and, within those, functional departments. Subsidiaries retain operational independence for their own trading, while the holding company keeps a consolidated, Group-wide view of finance and operations.</w:t>
      </w:r>
    </w:p>
    <w:p>
      <w:pPr>
        <w:pStyle w:val="Heading2"/>
      </w:pPr>
      <w:r>
        <w:t>2.1 Subsidiaries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Subsidiary</w:t>
            </w:r>
          </w:p>
        </w:tc>
        <w:tc>
          <w:tcPr>
            <w:tcW w:type="dxa" w:w="4320"/>
          </w:tcPr>
          <w:p>
            <w:r>
              <w:rPr>
                <w:b/>
              </w:rPr>
              <w:t>Line of business</w:t>
            </w:r>
          </w:p>
        </w:tc>
      </w:tr>
      <w:tr>
        <w:tc>
          <w:tcPr>
            <w:tcW w:type="dxa" w:w="4320"/>
          </w:tcPr>
          <w:p>
            <w:r>
              <w:rPr>
                <w:b/>
              </w:rPr>
              <w:t>Morise Agro Ltd</w:t>
            </w:r>
          </w:p>
        </w:tc>
        <w:tc>
          <w:tcPr>
            <w:tcW w:type="dxa" w:w="4320"/>
          </w:tcPr>
          <w:p>
            <w:r>
              <w:t>Agricultural inputs and agro-export trading; the Group’s pilot subsidiary for new systems. Trades through branches such as Agro Inputs and its own Logistics unit.</w:t>
            </w:r>
          </w:p>
        </w:tc>
      </w:tr>
      <w:tr>
        <w:tc>
          <w:tcPr>
            <w:tcW w:type="dxa" w:w="4320"/>
          </w:tcPr>
          <w:p>
            <w:r>
              <w:rPr>
                <w:b/>
              </w:rPr>
              <w:t>Morise Logistics Ltd</w:t>
            </w:r>
          </w:p>
        </w:tc>
        <w:tc>
          <w:tcPr>
            <w:tcW w:type="dxa" w:w="4320"/>
          </w:tcPr>
          <w:p>
            <w:r>
              <w:t>Transport and delivery operations, including last-mile delivery, driver management and dispatch.</w:t>
            </w:r>
          </w:p>
        </w:tc>
      </w:tr>
      <w:tr>
        <w:tc>
          <w:tcPr>
            <w:tcW w:type="dxa" w:w="4320"/>
          </w:tcPr>
          <w:p>
            <w:r>
              <w:rPr>
                <w:b/>
              </w:rPr>
              <w:t>Morise Clearing &amp; Forwarding Ltd</w:t>
            </w:r>
          </w:p>
        </w:tc>
        <w:tc>
          <w:tcPr>
            <w:tcW w:type="dxa" w:w="4320"/>
          </w:tcPr>
          <w:p>
            <w:r>
              <w:t>Customs clearing, freight forwarding and cross-border logistics.</w:t>
            </w:r>
          </w:p>
        </w:tc>
      </w:tr>
      <w:tr>
        <w:tc>
          <w:tcPr>
            <w:tcW w:type="dxa" w:w="4320"/>
          </w:tcPr>
          <w:p>
            <w:r>
              <w:rPr>
                <w:b/>
              </w:rPr>
              <w:t>Morise Warehouse Management Ltd</w:t>
            </w:r>
          </w:p>
        </w:tc>
        <w:tc>
          <w:tcPr>
            <w:tcW w:type="dxa" w:w="4320"/>
          </w:tcPr>
          <w:p>
            <w:r>
              <w:t>Third-party warehousing, storage and stock handling across multiple sites.</w:t>
            </w:r>
          </w:p>
        </w:tc>
      </w:tr>
      <w:tr>
        <w:tc>
          <w:tcPr>
            <w:tcW w:type="dxa" w:w="4320"/>
          </w:tcPr>
          <w:p>
            <w:r>
              <w:rPr>
                <w:b/>
              </w:rPr>
              <w:t>Morise Collateral Management Ltd</w:t>
            </w:r>
          </w:p>
        </w:tc>
        <w:tc>
          <w:tcPr>
            <w:tcW w:type="dxa" w:w="4320"/>
          </w:tcPr>
          <w:p>
            <w:r>
              <w:t>Multi-site collateral management and collateral-backed inventory monitoring for lenders and traders.</w:t>
            </w:r>
          </w:p>
        </w:tc>
      </w:tr>
    </w:tbl>
    <w:p>
      <w:pPr>
        <w:spacing w:after="120"/>
      </w:pPr>
      <w:r>
        <w:rPr>
          <w:i w:val="0"/>
        </w:rPr>
      </w:r>
    </w:p>
    <w:p>
      <w:pPr>
        <w:spacing w:after="120"/>
      </w:pPr>
      <w:r>
        <w:rPr>
          <w:i/>
          <w:sz w:val="20"/>
        </w:rPr>
        <w:t>Associated trading entities within the Group’s customer and supplier network include companies such as Highland Traders Ltd and AgroChem Uganda Ltd.</w:t>
      </w:r>
    </w:p>
    <w:p>
      <w:pPr>
        <w:pStyle w:val="Heading1"/>
      </w:pPr>
      <w:r>
        <w:t>3. Governance and Control</w:t>
      </w:r>
    </w:p>
    <w:p>
      <w:pPr>
        <w:pStyle w:val="ListBullet"/>
        <w:spacing w:after="60"/>
      </w:pPr>
      <w:r>
        <w:t>Board-governed: major undertakings are authorised by board resolution.</w:t>
      </w:r>
    </w:p>
    <w:p>
      <w:pPr>
        <w:pStyle w:val="ListBullet"/>
        <w:spacing w:after="60"/>
      </w:pPr>
      <w:r>
        <w:t>Multi-signatory finance: payments above an agreed threshold require principal-plus-alternate signatory authorisation, consistent with the Group’s banking arrangements.</w:t>
      </w:r>
    </w:p>
    <w:p>
      <w:pPr>
        <w:pStyle w:val="ListBullet"/>
        <w:spacing w:after="60"/>
      </w:pPr>
      <w:r>
        <w:t>Role-based access: staff across subsidiaries are granted scoped, least-privilege access to Group systems, with a full audit trail of administrative actions.</w:t>
      </w:r>
    </w:p>
    <w:p>
      <w:pPr>
        <w:pStyle w:val="ListBullet"/>
        <w:spacing w:after="60"/>
      </w:pPr>
      <w:r>
        <w:t>Subsidiary independence with Group oversight: each subsidiary runs its own operations, while the Board and Group executives retain consolidated visibility.</w:t>
      </w:r>
    </w:p>
    <w:p>
      <w:pPr>
        <w:pStyle w:val="Heading1"/>
      </w:pPr>
      <w:r>
        <w:t>4. Operating Model</w:t>
      </w:r>
    </w:p>
    <w:p>
      <w:pPr>
        <w:spacing w:after="120"/>
      </w:pPr>
      <w:r>
        <w:rPr>
          <w:i w:val="0"/>
        </w:rPr>
        <w:t>As the Group has grown, the volume of companies, branches, employees, customers, suppliers, assets and transactions it must track has grown with it. Historically this information was held separately across individual companies and branches, largely in manual records and spreadsheets, with no single system giving the Board or Group management a consolidated, real-time view.</w:t>
      </w:r>
    </w:p>
    <w:p>
      <w:pPr>
        <w:spacing w:after="120"/>
      </w:pPr>
      <w:r>
        <w:rPr>
          <w:i w:val="0"/>
        </w:rPr>
        <w:t>The Group’s response is to centralise its records and workflows onto one platform — the Morise Holdings Limited Business Management System (MBMS) — so that company, branch, department, employee, customer, supplier, asset, financial and project data lives in a single system of record.</w:t>
      </w:r>
    </w:p>
    <w:p>
      <w:pPr>
        <w:pStyle w:val="Heading1"/>
      </w:pPr>
      <w:r>
        <w:t>5. The Business Management System (MBMS)</w:t>
      </w:r>
    </w:p>
    <w:p>
      <w:pPr>
        <w:spacing w:after="120"/>
      </w:pPr>
      <w:r>
        <w:rPr>
          <w:i w:val="0"/>
        </w:rPr>
        <w:t>MBMS is the Group’s centralised platform for running and overseeing the business. It is being delivered in phases, so the Board commits to and funds one phase at a time. Phase 1 covers the core foundation:</w:t>
      </w:r>
    </w:p>
    <w:p>
      <w:pPr>
        <w:pStyle w:val="ListBullet"/>
        <w:spacing w:after="60"/>
      </w:pPr>
      <w:r>
        <w:t>Identity: authentication, users, roles and fine-grained permissions.</w:t>
      </w:r>
    </w:p>
    <w:p>
      <w:pPr>
        <w:pStyle w:val="ListBullet"/>
        <w:spacing w:after="60"/>
      </w:pPr>
      <w:r>
        <w:t>Organisation: holding company, subsidiaries, branches and departments, with ownership percentages and entity types.</w:t>
      </w:r>
    </w:p>
    <w:p>
      <w:pPr>
        <w:pStyle w:val="ListBullet"/>
        <w:spacing w:after="60"/>
      </w:pPr>
      <w:r>
        <w:t>People: employee and HR records, HR dashboard and self-service.</w:t>
      </w:r>
    </w:p>
    <w:p>
      <w:pPr>
        <w:pStyle w:val="ListBullet"/>
        <w:spacing w:after="60"/>
      </w:pPr>
      <w:r>
        <w:t>Commercial parties: customer and supplier records.</w:t>
      </w:r>
    </w:p>
    <w:p>
      <w:pPr>
        <w:pStyle w:val="ListBullet"/>
        <w:spacing w:after="60"/>
      </w:pPr>
      <w:r>
        <w:t>Catalogue: products and services, organised by category.</w:t>
      </w:r>
    </w:p>
    <w:p>
      <w:pPr>
        <w:pStyle w:val="ListBullet"/>
        <w:spacing w:after="60"/>
      </w:pPr>
      <w:r>
        <w:t>Finance: chart of accounts, journal entries, general ledger, trial balance and dashboards.</w:t>
      </w:r>
    </w:p>
    <w:p>
      <w:pPr>
        <w:pStyle w:val="ListBullet"/>
        <w:spacing w:after="60"/>
      </w:pPr>
      <w:r>
        <w:t>Oversight: Group and subsidiary dashboards, plus a complete system audit trail.</w:t>
      </w:r>
    </w:p>
    <w:p>
      <w:pPr>
        <w:spacing w:after="120"/>
      </w:pPr>
      <w:r>
        <w:rPr>
          <w:i w:val="0"/>
        </w:rPr>
        <w:t>Later phases extend the platform into areas such as procurement and purchase orders, sales and invoicing, inventory and warehousing, payroll, shift scheduling, a group customer storefront, and the subsidiary-specific systems for clearing &amp; forwarding, warehouse management, collateral management and delivery.</w:t>
      </w:r>
    </w:p>
    <w:p>
      <w:pPr>
        <w:spacing w:after="120"/>
      </w:pPr>
      <w:r>
        <w:rPr>
          <w:i/>
          <w:sz w:val="20"/>
        </w:rPr>
        <w:t>The platform is built on a Node.js / NestJS / PostgreSQL stack with a React front end. A working proof-of-concept of the full Phase 1 scope exists today; the Group’s approved target architecture is a microservices deployment with event streaming and a full observability stack.</w:t>
      </w:r>
    </w:p>
    <w:p>
      <w:pPr>
        <w:pStyle w:val="Heading1"/>
      </w:pPr>
      <w:r>
        <w:t>6. What the System Lets Management Answer</w:t>
      </w:r>
    </w:p>
    <w:p>
      <w:pPr>
        <w:spacing w:after="120"/>
      </w:pPr>
      <w:r>
        <w:rPr>
          <w:i w:val="0"/>
        </w:rPr>
        <w:t>The finished platform is intended to answer Group-level questions on demand, without manual collation, including:</w:t>
      </w:r>
    </w:p>
    <w:p>
      <w:pPr>
        <w:pStyle w:val="ListBullet"/>
        <w:spacing w:after="60"/>
      </w:pPr>
      <w:r>
        <w:t>What is the Group’s consolidated cash position right now?</w:t>
      </w:r>
    </w:p>
    <w:p>
      <w:pPr>
        <w:pStyle w:val="ListBullet"/>
        <w:spacing w:after="60"/>
      </w:pPr>
      <w:r>
        <w:t>Which subsidiary is most, and least, profitable?</w:t>
      </w:r>
    </w:p>
    <w:p>
      <w:pPr>
        <w:pStyle w:val="ListBullet"/>
        <w:spacing w:after="60"/>
      </w:pPr>
      <w:r>
        <w:t>What are total Group receivables and payables?</w:t>
      </w:r>
    </w:p>
    <w:p>
      <w:pPr>
        <w:pStyle w:val="ListBullet"/>
        <w:spacing w:after="60"/>
      </w:pPr>
      <w:r>
        <w:t>What is Group headcount, and how is it distributed across subsidiaries and branches?</w:t>
      </w:r>
    </w:p>
    <w:p>
      <w:pPr>
        <w:pStyle w:val="ListBullet"/>
        <w:spacing w:after="60"/>
      </w:pPr>
      <w:r>
        <w:t>What assets does the Group hold, and where?</w:t>
      </w:r>
    </w:p>
    <w:p>
      <w:pPr>
        <w:pStyle w:val="ListBullet"/>
        <w:spacing w:after="60"/>
      </w:pPr>
      <w:r>
        <w:t>Who approved a given purchase, payment or change, and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