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p>
      <w:pPr>
        <w:pStyle w:val="Heading1"/>
      </w:pPr>
      <w:r>
        <w:t>Implementation Status Note 69 (3 September 2026) — Staff Identification Card — Back Face Sized to the Front, Blood Group Removed</w:t>
      </w:r>
    </w:p>
    <w:p>
      <w:pPr/>
      <w:r>
        <w:t>Following Note 68 (the identification card's front and back), an administrator asked for the blood group section to be removed from the back and for the back to be the same size as the front.</w:t>
      </w:r>
    </w:p>
    <w:p>
      <w:pPr/>
      <w:r>
        <w:t>The blood_group column is dropped (migration 20260903160000_staff_id_card_drop_blood_group); back_notes is kept. The back object (GET /api/v1/staff-id-cards*, GET /api/v1/my-hr/id-card) no longer carries bloodGroup and POST / PATCH /api/v1/staff-id-cards/:id no longer accept it. No new endpoint or permission; openapi.json path / operation counts unchanged (367 / 467).</w:t>
      </w:r>
    </w:p>
    <w:p>
      <w:pPr/>
      <w:r>
        <w:t>IdCard.jsx renders the front and back at the same width and height (a fixed CARD_W x CARD_H box, overflow clipped), the back's barcode and signature lines anchored to the bottom edge; the admin Edit dialog drops the Blood group field. Verified end to end against the running system; nest build, admin vite build and prisma migrate deploy clean.</w:t>
      </w:r>
    </w:p>
    <w:p>
      <w:pPr/>
      <w:r>
        <w:t>Backend: prisma/schema.prisma (remove StaffIdCard.bloodGroup), prisma/migrations/20260903160000_staff_id_card_drop_blood_group/migration.sql, src/staff-id-cards/{staff-id-cards.service.ts,dto/staff-id-card.dto.ts}, src/my-hr/my-hr.service.ts, prisma/seed.ts, openapi.json.</w:t>
      </w:r>
    </w:p>
    <w:p>
      <w:pPr/>
      <w:r>
        <w:t>Frontend: src/components/IdCard.jsx (fixed CARD_H on both faces, blood group row removed), src/pages/StaffIdCards.jsx (Edit dialog: Blood group field removed).</w:t>
      </w:r>
    </w:p>
    <w:p>
      <w:pPr>
        <w:pStyle w:val="Heading1"/>
      </w:pPr>
      <w:r>
        <w:t>Implementation Status Note 70 (3 September 2026) — Morise Milling Ltd Subsidiary + Milling ERP Specification (New Doc 23)</w:t>
      </w:r>
    </w:p>
    <w:p>
      <w:pPr/>
      <w:r>
        <w:t>An administrator asked to add a sixth subsidiary under Morise Holdings Limited with a grain-milling concept, from the client attachment 'Software Development Features for a Milling Company'.</w:t>
      </w:r>
    </w:p>
    <w:p>
      <w:pPr/>
      <w:r>
        <w:t>Morise Milling Ltd is seeded in prisma/seed.ts as a wholly-owned subsidiary (company a1000000-0000-4000-8000-000000000007): six mill sites / branches (b1...0040-0045), twelve departments (d1...0060-0071, one per architecture module), six starter policies (p1...0040-0045). The department ids start at ...0060 because ...0040-0042 are already Morise Agro Ltd's. seed.ts only - no code, schema or permission change; the Managing Director's subsidiary create / update / delete / activate authority was delivered earlier.</w:t>
      </w:r>
    </w:p>
    <w:p>
      <w:pPr/>
      <w:r>
        <w:t>The milling-specific system is a specification: new doc 23 - Milling ERP &amp; Integrated Business Management System - Feature Specification - restates the attachment in the house format (twelve feature modules, non-functional requirements, architecture, integration table, fifteen roles, technology-stack table, organisation as seeded, a five-phase roadmap and a reuse-of-MBMS section). Storefront: SUBSIDIARY_META entry, a new subsidiary-milling.svg brand banner mirrored into both apps, and a News item. Group figures become 6 subsidiaries / 26 branches. Verified against the running system (organization API returns the company, 6 branches, 12 departments, 6 policies); admin and storefront builds clean.</w:t>
      </w:r>
    </w:p>
    <w:p>
      <w:pPr/>
      <w:r>
        <w:t>Backend: prisma/seed.ts (Morise Milling Ltd company + branches + departments + policies).</w:t>
      </w:r>
    </w:p>
    <w:p>
      <w:pPr/>
      <w:r>
        <w:t>Frontend: mbms/storefront/src/lib/corporate.js (SUBSIDIARY_META, SUBSIDIARY_BANNER, NEWS), brand/banners/subsidiary-milling.svg (new) mirrored into mbms/frontend/public/brand/banners/ and mbms/storefront/public/brand/banners/, brand/README.md. New document: docx/23_Milling ERP and Integrated Business Management System - Feature Specification - Morise Holdings Limited.docx.</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