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D4500A"/>
          <w:sz w:val="40"/>
          <w:szCs w:val="40"/>
        </w:rPr>
        <w:t xml:space="preserve">REGISTRE DES RISQUES</w:t>
      </w:r>
      <w:r>
        <w:rPr>
          <w:rFonts w:ascii="Arial" w:cs="Arial" w:eastAsia="Arial" w:hAnsi="Arial"/>
          <w:color w:val="444444"/>
          <w:sz w:val="26"/>
          <w:szCs w:val="26"/>
        </w:rPr>
        <w:t xml:space="preserve">   — Présentation COMEX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Programme IGOR V4  |  Migration CBS &amp; Transformation Numérique  |  BOA Afrique  |  Edition: Mars 2026</w:t>
      </w:r>
    </w:p>
    <w:p>
      <w:pP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Contexte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Ce registre consolide les risques identifiés au cours de la préparation du programme IGOR V4 (migration CBS, refonte SI, déploiement IGOR V4). Il est destiné à éclairer les décisions du COMEX sur les priorités d'action, les arbitrages nécessaires et les mesures de mitigation à engager avant le Go-Live.</w:t>
      </w:r>
    </w:p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SYNTHÈSE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Indicateur</w:t>
            </w:r>
          </w:p>
        </w:tc>
        <w:tc>
          <w:tcPr>
            <w:tcW w:type="dxa" w:w="34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ROUGE</w:t>
            </w:r>
          </w:p>
        </w:tc>
        <w:tc>
          <w:tcPr>
            <w:tcW w:type="dxa" w:w="34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765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ORANGE</w:t>
            </w:r>
          </w:p>
        </w:tc>
        <w:tc>
          <w:tcPr>
            <w:tcW w:type="dxa" w:w="34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VERT</w:t>
            </w:r>
          </w:p>
        </w:tc>
      </w:tr>
      <w:tr>
        <w:tc>
          <w:tcPr>
            <w:tcW w:type="dxa" w:w="34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risques</w:t>
            </w:r>
          </w:p>
        </w:tc>
        <w:tc>
          <w:tcPr>
            <w:tcW w:type="dxa" w:w="34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34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20"/>
                <w:szCs w:val="20"/>
              </w:rPr>
              <w:t xml:space="preserve">7</w:t>
            </w:r>
          </w:p>
        </w:tc>
        <w:tc>
          <w:tcPr>
            <w:tcW w:type="dxa" w:w="34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REGISTRE DÉTAILLÉ DES RISQUES  (</w:t>
      </w:r>
      <w:r>
        <w:rPr>
          <w:rFonts w:ascii="Arial" w:cs="Arial" w:eastAsia="Arial" w:hAnsi="Arial"/>
          <w:b/>
          <w:bCs/>
          <w:color w:val="D4500A"/>
          <w:sz w:val="22"/>
          <w:szCs w:val="22"/>
        </w:rPr>
        <w:t xml:space="preserve">12 risques identifiés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000"/>
        <w:gridCol w:w="3600"/>
        <w:gridCol w:w="400"/>
        <w:gridCol w:w="400"/>
        <w:gridCol w:w="500"/>
        <w:gridCol w:w="900"/>
        <w:gridCol w:w="3600"/>
        <w:gridCol w:w="1800"/>
        <w:gridCol w:w="850"/>
      </w:tblGrid>
      <w:tr>
        <w:trPr>
          <w:tblHeader/>
        </w:trPr>
        <w:tc>
          <w:tcPr>
            <w:tcW w:type="dxa" w:w="5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du risque</w:t>
            </w:r>
          </w:p>
        </w:tc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</w:t>
            </w:r>
          </w:p>
        </w:tc>
        <w:tc>
          <w:tcPr>
            <w:tcW w:type="dxa" w:w="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P×I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Criticité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Mesures de mitigation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8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R01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Retard sur la date de Go-Live V4 (30 juin 2025) dû à l'ampleur des chantiers encore en cours (Migration Data, Architecture CBS, Formation). Le planning pilote actuel présente des jalons à risque élevé sans marge.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ROUGE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Revue hebdo des jalons critiques. Décision d'arbitrage sur périmètre Go-Live minimal viable. Plan de contingence Go-Live reporté Q3 2025.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Chef de Projet / COMEX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OUVERT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R02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Migration Data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Qualité et complétude des données à migrer insuffisantes (référentiels clients, comptes, historiques CBS). Risque de blocage technique ou de données incomplètes en production V4.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ROUGE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Audit data lancé. Règles de transformation documentées. Tests de charge migration sur environnement de recette. Critères d'acceptation Go/No-Go définis.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Équipe Data / IT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OUVERT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R03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Intégration CBS (Core Banking System) avec IGOR V4 non finalisée. Les flux critiques (comptabilité, reporting réglementaire) dépendent d'interfaces non stabilisées à ce stade.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ROUGE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Cartographie des flux critiques finalisée. Point hebdomadaire avec l'éditeur CBS. Scénario de mode dégradé documenté pour Go-Live.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Architecte SI / DIT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6"/>
                <w:szCs w:val="16"/>
              </w:rPr>
              <w:t xml:space="preserve">EN COURS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R04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Gouvernance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Plusieurs arbitrages structurants restent en attente de décision COMEX (périmètre satellites, fonctionnalités reportées, ressources supplémentaires). Le manque de décisions bloque l'avancement de chantiers dépendants.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ORANGE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Tableau d'arbitrage maintenu à jour dans le dashboard. Escalade systématique au COMEX mensuel. Décisions critiques identifiées et priorisées (P1).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PMO / COMEX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6"/>
                <w:szCs w:val="16"/>
              </w:rPr>
              <w:t xml:space="preserve">EN COURS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R05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Environnements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Disponibilité et stabilité des environnements de test (recette, UAT, pré-prod) insuffisantes. Les équipes ne peuvent pas tester en continu, ce qui comprime les délais de validation.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ORANGE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 de mise en place des environnements validé. Responsabilités IT clarifiées. SLA de disponibilité définis avec la DIT.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DIT / Infrastructure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6"/>
                <w:szCs w:val="16"/>
              </w:rPr>
              <w:t xml:space="preserve">EN COURS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R06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Périmètre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Intégration des filiales satellites (5 entités) dans le scope V4 non décidée. Un scope mal défini peut générer des reprises tardives, des coûts supplémentaires et des conflits de priorité.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ORANGE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Note de cadrage périmètre satellites préparée pour arbitrage COMEX. Scénarios coûts/bénéfices disponibles. Décision requise avant fin mars 2025.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PMO / Direction Générale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BLOQUÉ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R07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Recette / UAT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 de recette UAT non encore établi. Le délai de validation utilisateur risque d'être insuffisant avant Go-Live, augmentant le risque de défauts en production.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ORANGE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Constitution du comité UAT. Plan de tests fonctionnels en cours de rédaction. Identification des référents métier par chantier. Jalons UAT intégrés au Gantt.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MOA / Métiers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6"/>
                <w:szCs w:val="16"/>
              </w:rPr>
              <w:t xml:space="preserve">EN COURS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R08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Formation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Programme de formation des utilisateurs finaux insuffisamment avancé par rapport au planning Go-Live. Risque d'adoption faible et de productivité dégradée post-bascule.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ORANGE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Inventaire des besoins de formation par profil. Plan de formation formalisé. Sessions e-learning et présentiel planifiées en Q2 2025.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RH / Change Manager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6"/>
                <w:szCs w:val="16"/>
              </w:rPr>
              <w:t xml:space="preserve">EN COURS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R09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Ressources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Disponibilité des ressources BOA (MOA, IT, métiers) insuffisante pour absorber la charge IGOR V4 en parallèle des opérations courantes. Risque de burnout et de glissement.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ORANGE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Revue des capacités par chantier. Demande de renfort validée. Priorisation des activités critiques avec les directeurs métiers.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PMO / DRH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6"/>
                <w:szCs w:val="16"/>
              </w:rPr>
              <w:t xml:space="preserve">EN COURS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R10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Go-Live programmé en fin de trimestre bancaire (période critique pour la clôture). Toute perturbation système pendant cette fenêtre aurait un impact réglementaire et opérationnel majeur.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ORANGE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Analyse de la fenêtre de bascule. Option de bascule en début Q3 étudiée. Plan de communication bascule préparé.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Chef de Projet / Direction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OUVERT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R11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Financier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Risque de dépassement budgétaire lié aux extensions de périmètre, aux retards et aux ressources supplémentaires. Budget de contingence non formalisé à ce stade.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VERT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Suivi budgétaire mensuel. Alerte sur tout dépassement &gt;5%. Revue budgétaire COMEX Q1 2025.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DAF / PMO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SUIVI</w:t>
            </w:r>
          </w:p>
        </w:tc>
      </w:tr>
      <w:tr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500A"/>
                <w:sz w:val="17"/>
                <w:szCs w:val="17"/>
              </w:rPr>
              <w:t xml:space="preserve">R12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Continuité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Absence de plan de rollback formalisé en cas d'échec du Go-Live V4. En cas de bascule ratée, le retour à V2 doit être possible dans des délais maîtrisés.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D9B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VERT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Rédaction du plan de rollback obligatoire avant Go-Live. Tests de rollback en environnement pré-prod. Critères de déclenchement définis.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DIT / Chef de Projet</w:t>
            </w:r>
          </w:p>
        </w:tc>
        <w:tc>
          <w:tcPr>
            <w:tcW w:type="dxa" w:w="8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OUVERT</w:t>
            </w:r>
          </w:p>
        </w:tc>
      </w:tr>
    </w:tbl>
    <w:p>
      <w:pPr>
        <w:spacing w:after="20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LÉGENDE ET GRILLE DE COTATION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ROUGE (P×I ≥ 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6"/>
                <w:szCs w:val="16"/>
              </w:rPr>
              <w:t xml:space="preserve">ORANGE (P×I 4-5)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VERT (P×I ≤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 = Probabilité (1=Faible, 3=Élevée)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 = Impact (1=Mineur, 3=Majeur)</w:t>
            </w:r>
          </w:p>
        </w:tc>
      </w:tr>
    </w:tbl>
    <w:p>
      <w:pPr>
        <w:spacing w:after="16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RECOMMANDATIONS COMEX — ACTIONS PRIORITAIRES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4500A"/>
          <w:sz w:val="19"/>
          <w:szCs w:val="19"/>
        </w:rPr>
        <w:t xml:space="preserve">1.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Statuer immédiatement sur le périmètre satellites (R06) — décision bloquante pour 3 chantiers.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4500A"/>
          <w:sz w:val="19"/>
          <w:szCs w:val="19"/>
        </w:rPr>
        <w:t xml:space="preserve">2.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Valider un plan de contingence Go-Live (report Q3) si les jalons critiques glissent (R01).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4500A"/>
          <w:sz w:val="19"/>
          <w:szCs w:val="19"/>
        </w:rPr>
        <w:t xml:space="preserve">3.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Confirmer les ressources supplémentaires IT/MOA pour absorber la charge restante (R09).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4500A"/>
          <w:sz w:val="19"/>
          <w:szCs w:val="19"/>
        </w:rPr>
        <w:t xml:space="preserve">4.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Exiger un plan de rollback documenté et testé comme pré-requis au Go-Live (R12).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4500A"/>
          <w:sz w:val="19"/>
          <w:szCs w:val="19"/>
        </w:rPr>
        <w:t xml:space="preserve">5.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Débloquer les environnements de recette / UAT avant fin mars (R05, R07) — chemin critique.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500A" w:sz="8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   —     Document à usage strictement interne. Diffusion restreinte au COMEX.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500A" w:sz="8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BOA AFRIQUE  |  Programme IGOR V2→V4  |  Registre des Risques COMEX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   CONFIDENTIEL</w:t>
    </w:r>
    <w:r>
      <w:rPr>
        <w:rFonts w:ascii="Arial" w:cs="Arial" w:eastAsia="Arial" w:hAnsi="Arial"/>
        <w:color w:val="666666"/>
        <w:sz w:val="18"/>
        <w:szCs w:val="18"/>
      </w:rPr>
      <w:t xml:space="preserve">	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2026-03-11T14:20:20.455Z</dcterms:created>
  <dcterms:modified xsi:type="dcterms:W3CDTF">2026-03-11T14:20:20.455Z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