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6FC8" w14:textId="27F95AC8" w:rsidR="00DF178A" w:rsidRDefault="00DF178A" w:rsidP="00DF178A">
      <w:pPr>
        <w:pStyle w:val="Title"/>
        <w:rPr>
          <w:lang w:val="en-US"/>
        </w:rPr>
      </w:pPr>
      <w:r>
        <w:rPr>
          <w:lang w:val="en-US"/>
        </w:rPr>
        <w:t>N of 1 Study of Radiation from Nuclear Medicine</w:t>
      </w:r>
    </w:p>
    <w:p w14:paraId="73D79C08" w14:textId="6EFB4EC2" w:rsidR="00DF178A" w:rsidRDefault="00DF178A">
      <w:pPr>
        <w:rPr>
          <w:lang w:val="en-US"/>
        </w:rPr>
      </w:pPr>
      <w:r>
        <w:rPr>
          <w:lang w:val="en-US"/>
        </w:rPr>
        <w:t>Alan Sheehan</w:t>
      </w:r>
    </w:p>
    <w:p w14:paraId="119ADFA8" w14:textId="62AB02F5" w:rsidR="00DF178A" w:rsidRDefault="00DF178A">
      <w:pPr>
        <w:rPr>
          <w:lang w:val="en-US"/>
        </w:rPr>
      </w:pPr>
      <w:r>
        <w:rPr>
          <w:lang w:val="en-US"/>
        </w:rPr>
        <w:t>The author recently had to undergo a procedure involving nuclear medicine providing a unique opportunity to observe radiation decay in a very personal way.</w:t>
      </w:r>
    </w:p>
    <w:p w14:paraId="0F0509DE" w14:textId="75A92663" w:rsidR="00DF178A" w:rsidRDefault="00DF178A">
      <w:pPr>
        <w:rPr>
          <w:lang w:val="en-US"/>
        </w:rPr>
      </w:pPr>
      <w:r>
        <w:rPr>
          <w:lang w:val="en-US"/>
        </w:rPr>
        <w:t xml:space="preserve">As background, during my career as a professional mechanical engineer I have had some experience with industrial radiation gauges and sources, and so an interest </w:t>
      </w:r>
      <w:r w:rsidR="007F2600">
        <w:rPr>
          <w:lang w:val="en-US"/>
        </w:rPr>
        <w:t>in nuclear science that started during my teens has been trickle fed over time. A couple  of years ago, I purchased a Radiacode 110 radiation detector</w:t>
      </w:r>
      <w:r w:rsidR="004871E8">
        <w:rPr>
          <w:lang w:val="en-US"/>
        </w:rPr>
        <w:t xml:space="preserve"> [4]</w:t>
      </w:r>
      <w:r w:rsidR="007F2600">
        <w:rPr>
          <w:lang w:val="en-US"/>
        </w:rPr>
        <w:t>, motivated largely out of curiosity and my persisting interest in nuclear science. So</w:t>
      </w:r>
      <w:r w:rsidR="00DC3C90">
        <w:rPr>
          <w:lang w:val="en-US"/>
        </w:rPr>
        <w:t>,</w:t>
      </w:r>
      <w:r w:rsidR="007F2600">
        <w:rPr>
          <w:lang w:val="en-US"/>
        </w:rPr>
        <w:t xml:space="preserve"> a procedure involving nuclear medicine can’t be ignored!</w:t>
      </w:r>
      <w:r w:rsidR="00DC3C90">
        <w:rPr>
          <w:lang w:val="en-US"/>
        </w:rPr>
        <w:t xml:space="preserve"> Its an opportunity to play with the Radiacode…</w:t>
      </w:r>
    </w:p>
    <w:p w14:paraId="2127DD31" w14:textId="4EB3D627" w:rsidR="007F2600" w:rsidRDefault="007F2600">
      <w:pPr>
        <w:rPr>
          <w:lang w:val="en-US"/>
        </w:rPr>
      </w:pPr>
      <w:r>
        <w:rPr>
          <w:lang w:val="en-US"/>
        </w:rPr>
        <w:t xml:space="preserve">The procedure </w:t>
      </w:r>
      <w:r w:rsidR="005F2C30">
        <w:rPr>
          <w:lang w:val="en-US"/>
        </w:rPr>
        <w:t xml:space="preserve">(Bone Scan) </w:t>
      </w:r>
      <w:r>
        <w:rPr>
          <w:lang w:val="en-US"/>
        </w:rPr>
        <w:t>involved having a CT scan and receiving the injection of the nuclear medicine – based on the medical isotope Technetium</w:t>
      </w:r>
      <w:r w:rsidR="00DC3C90">
        <w:rPr>
          <w:lang w:val="en-US"/>
        </w:rPr>
        <w:t xml:space="preserve"> (Tc)</w:t>
      </w:r>
      <w:r>
        <w:rPr>
          <w:lang w:val="en-US"/>
        </w:rPr>
        <w:t xml:space="preserve"> 99m</w:t>
      </w:r>
      <w:r w:rsidR="006A147C">
        <w:rPr>
          <w:lang w:val="en-US"/>
        </w:rPr>
        <w:t xml:space="preserve"> [1][2]</w:t>
      </w:r>
      <w:r>
        <w:rPr>
          <w:lang w:val="en-US"/>
        </w:rPr>
        <w:t>. A couple of hours later, a second scan was taken with the Tc</w:t>
      </w:r>
      <w:r w:rsidR="00DC3C90">
        <w:rPr>
          <w:lang w:val="en-US"/>
        </w:rPr>
        <w:t xml:space="preserve"> </w:t>
      </w:r>
      <w:r>
        <w:rPr>
          <w:lang w:val="en-US"/>
        </w:rPr>
        <w:t>99m</w:t>
      </w:r>
      <w:r w:rsidR="00DC3C90">
        <w:rPr>
          <w:lang w:val="en-US"/>
        </w:rPr>
        <w:t xml:space="preserve"> accumulating in areas of high inflammation</w:t>
      </w:r>
      <w:r w:rsidR="009F7CA0">
        <w:rPr>
          <w:lang w:val="en-US"/>
        </w:rPr>
        <w:t xml:space="preserve"> (arthritis)</w:t>
      </w:r>
      <w:r w:rsidR="00DC3C90">
        <w:rPr>
          <w:lang w:val="en-US"/>
        </w:rPr>
        <w:t xml:space="preserve"> – highlighting the areas of inflammation in the scan compared to the first scan.</w:t>
      </w:r>
    </w:p>
    <w:p w14:paraId="24609E4F" w14:textId="6CE64BDB" w:rsidR="0082474D" w:rsidRDefault="005F2C30">
      <w:pPr>
        <w:rPr>
          <w:lang w:val="en-US"/>
        </w:rPr>
      </w:pPr>
      <w:r>
        <w:rPr>
          <w:lang w:val="en-US"/>
        </w:rPr>
        <w:t>The Tc 99m was administered at approximately 11:00am accompanied by the advice “don’t hold any babies for 24 hours”.</w:t>
      </w:r>
      <w:r w:rsidR="0082474D">
        <w:rPr>
          <w:lang w:val="en-US"/>
        </w:rPr>
        <w:t xml:space="preserve"> </w:t>
      </w:r>
      <w:r w:rsidR="009F7CA0">
        <w:rPr>
          <w:lang w:val="en-US"/>
        </w:rPr>
        <w:t>This was n</w:t>
      </w:r>
      <w:r w:rsidR="0082474D">
        <w:rPr>
          <w:lang w:val="en-US"/>
        </w:rPr>
        <w:t>ot advice I expected or I’ve received before, but in hindsight perfectly practical. Tc 99m has a half-life of 6.01 hours, so after 6 hours radiation is halved, 12 hours quartered, 18 hours divided by 8, and after 24 hours the radiation level should be reduced to 1/16</w:t>
      </w:r>
      <w:r w:rsidR="0082474D" w:rsidRPr="0082474D">
        <w:rPr>
          <w:vertAlign w:val="superscript"/>
          <w:lang w:val="en-US"/>
        </w:rPr>
        <w:t>th</w:t>
      </w:r>
      <w:r w:rsidR="0082474D">
        <w:rPr>
          <w:lang w:val="en-US"/>
        </w:rPr>
        <w:t xml:space="preserve"> of initial radiation levels.</w:t>
      </w:r>
      <w:r w:rsidR="00D16257">
        <w:rPr>
          <w:lang w:val="en-US"/>
        </w:rPr>
        <w:t xml:space="preserve"> The realization that radiation levels were high enough to be a potential risk to babies was unexpected (to me) though. So, we live and learn.</w:t>
      </w:r>
    </w:p>
    <w:p w14:paraId="3CA91B13" w14:textId="5365D49D" w:rsidR="00D16257" w:rsidRDefault="008636B3">
      <w:pPr>
        <w:rPr>
          <w:lang w:val="en-US"/>
        </w:rPr>
      </w:pPr>
      <w:r>
        <w:rPr>
          <w:lang w:val="en-US"/>
        </w:rPr>
        <w:t>Once home, I got the Radiacode out to see what’s going on. Immediately when I turned it on, it was alarming… was it a fault?… er… no, just me!</w:t>
      </w:r>
    </w:p>
    <w:p w14:paraId="2783D6FC" w14:textId="4443645C" w:rsidR="005F2C30" w:rsidRDefault="008636B3">
      <w:pPr>
        <w:rPr>
          <w:lang w:val="en-US"/>
        </w:rPr>
      </w:pPr>
      <w:r>
        <w:rPr>
          <w:lang w:val="en-US"/>
        </w:rPr>
        <w:t>Initially I tried scanning different body parts to see if the Tc 99m was accumulating</w:t>
      </w:r>
      <w:r w:rsidR="00D515B8">
        <w:rPr>
          <w:lang w:val="en-US"/>
        </w:rPr>
        <w:t xml:space="preserve"> in places that were detectable by the </w:t>
      </w:r>
      <w:r w:rsidR="00331780">
        <w:rPr>
          <w:lang w:val="en-US"/>
        </w:rPr>
        <w:t>R</w:t>
      </w:r>
      <w:r w:rsidR="00D515B8">
        <w:rPr>
          <w:lang w:val="en-US"/>
        </w:rPr>
        <w:t>adiacode, but it appeared body mass was the most important factor in the distribution of radiation, so I settled on placing the Radiacode against the bottom of my sternum as the most repeatable location to take readings.</w:t>
      </w:r>
      <w:r w:rsidR="00086816">
        <w:rPr>
          <w:lang w:val="en-US"/>
        </w:rPr>
        <w:t xml:space="preserve"> So in the recording log files the highest measurements were taken at the base of the sternum, and other measurements are either other body parts or just </w:t>
      </w:r>
      <w:r w:rsidR="0081097E">
        <w:rPr>
          <w:lang w:val="en-US"/>
        </w:rPr>
        <w:t xml:space="preserve">sitting on the desk </w:t>
      </w:r>
      <w:r w:rsidR="00086816">
        <w:rPr>
          <w:lang w:val="en-US"/>
        </w:rPr>
        <w:t>nearby.</w:t>
      </w:r>
    </w:p>
    <w:p w14:paraId="382DC93E" w14:textId="77777777" w:rsidR="00331780" w:rsidRDefault="00D515B8">
      <w:pPr>
        <w:rPr>
          <w:lang w:val="en-US"/>
        </w:rPr>
      </w:pPr>
      <w:r>
        <w:rPr>
          <w:lang w:val="en-US"/>
        </w:rPr>
        <w:t xml:space="preserve">Figure 1 shows the Spectrum at nominally 4 hours and 45 minutes after administration of the </w:t>
      </w:r>
      <w:r w:rsidR="00EA3AF3">
        <w:rPr>
          <w:lang w:val="en-US"/>
        </w:rPr>
        <w:t>dose. The spectrum is built over time by the Radiacode by measuring the frequency (energy) of the gamma</w:t>
      </w:r>
      <w:r w:rsidR="00042918">
        <w:rPr>
          <w:lang w:val="en-US"/>
        </w:rPr>
        <w:t xml:space="preserve"> ray (in this case)</w:t>
      </w:r>
      <w:r w:rsidR="00EA3AF3">
        <w:rPr>
          <w:lang w:val="en-US"/>
        </w:rPr>
        <w:t xml:space="preserve"> radiation. Moving the cursor allows </w:t>
      </w:r>
      <w:r w:rsidR="00EA3AF3">
        <w:rPr>
          <w:lang w:val="en-US"/>
        </w:rPr>
        <w:lastRenderedPageBreak/>
        <w:t>the identification of isotopes causing the various peaks in the spectrum. The peak at 140keV is clear and dominant and characteristic of Tc 99m.</w:t>
      </w:r>
    </w:p>
    <w:p w14:paraId="553180A3" w14:textId="6F44BB2C" w:rsidR="00D515B8" w:rsidRDefault="00331780">
      <w:pPr>
        <w:rPr>
          <w:lang w:val="en-US"/>
        </w:rPr>
      </w:pPr>
      <w:r>
        <w:rPr>
          <w:lang w:val="en-US"/>
        </w:rPr>
        <w:t>The explain the data in the top right-hand corner</w:t>
      </w:r>
      <w:r w:rsidR="00C63DBC">
        <w:rPr>
          <w:lang w:val="en-US"/>
        </w:rPr>
        <w:t>, a</w:t>
      </w:r>
      <w:r w:rsidR="00EA3AF3">
        <w:rPr>
          <w:lang w:val="en-US"/>
        </w:rPr>
        <w:t>t this time the decay rate is 7360 cps (counts per second), and the radiation level is 10.6 µSv/h</w:t>
      </w:r>
      <w:r w:rsidR="00C63DBC">
        <w:rPr>
          <w:lang w:val="en-US"/>
        </w:rPr>
        <w:t xml:space="preserve"> (but not necessarily sampling at the bottom of the sternum)</w:t>
      </w:r>
      <w:r w:rsidR="00EA3AF3">
        <w:rPr>
          <w:lang w:val="en-US"/>
        </w:rPr>
        <w:t xml:space="preserve">. The dose (20.3 µSv) is not necessarily accurate since it wasn’t zeroed prior to starting measurements, but the difference between this and subsequent </w:t>
      </w:r>
      <w:r w:rsidR="00042918">
        <w:rPr>
          <w:lang w:val="en-US"/>
        </w:rPr>
        <w:t>dose measurements will be valid. The final figure in the top right-hand corner of the spectrum is the “radiation hardness” (0.14) which is a quick indicator of how energetic the radiation is. Low energy radiation is of course relatively safe, but high energy radiation can be much more damaging for the same decay rate, so a quick assessment of hardness gives the operator a guide as to whether it is safe to stay and take a reading, or whether it</w:t>
      </w:r>
      <w:r w:rsidR="00DE345B">
        <w:rPr>
          <w:lang w:val="en-US"/>
        </w:rPr>
        <w:t>’</w:t>
      </w:r>
      <w:r w:rsidR="00042918">
        <w:rPr>
          <w:lang w:val="en-US"/>
        </w:rPr>
        <w:t xml:space="preserve">s more important to get </w:t>
      </w:r>
      <w:r w:rsidR="00DE345B">
        <w:rPr>
          <w:lang w:val="en-US"/>
        </w:rPr>
        <w:t>away</w:t>
      </w:r>
      <w:r w:rsidR="00042918">
        <w:rPr>
          <w:lang w:val="en-US"/>
        </w:rPr>
        <w:t xml:space="preserve"> quick!</w:t>
      </w:r>
    </w:p>
    <w:p w14:paraId="3F0CF78C" w14:textId="4AA1B59A" w:rsidR="00DE345B" w:rsidRDefault="0081097E">
      <w:pPr>
        <w:rPr>
          <w:lang w:val="en-US"/>
        </w:rPr>
      </w:pPr>
      <w:r>
        <w:rPr>
          <w:lang w:val="en-US"/>
        </w:rPr>
        <w:t xml:space="preserve">Figure 2 shows part of the Radicode log file. The red text indicates the Radiacode is in an alarm condition </w:t>
      </w:r>
      <w:r w:rsidR="00060104">
        <w:rPr>
          <w:lang w:val="en-US"/>
        </w:rPr>
        <w:t>(Alarm level 2)</w:t>
      </w:r>
      <w:r w:rsidR="006A147C">
        <w:rPr>
          <w:lang w:val="en-US"/>
        </w:rPr>
        <w:t xml:space="preserve"> [3]</w:t>
      </w:r>
      <w:r w:rsidR="00060104">
        <w:rPr>
          <w:lang w:val="en-US"/>
        </w:rPr>
        <w:t xml:space="preserve"> </w:t>
      </w:r>
      <w:r>
        <w:rPr>
          <w:lang w:val="en-US"/>
        </w:rPr>
        <w:t>due to high radiation level.</w:t>
      </w:r>
      <w:r w:rsidR="006A147C">
        <w:rPr>
          <w:lang w:val="en-US"/>
        </w:rPr>
        <w:t xml:space="preserve"> The </w:t>
      </w:r>
      <w:r w:rsidR="00372C8D">
        <w:rPr>
          <w:lang w:val="en-US"/>
        </w:rPr>
        <w:t>R</w:t>
      </w:r>
      <w:r w:rsidR="006A147C">
        <w:rPr>
          <w:lang w:val="en-US"/>
        </w:rPr>
        <w:t>adiacode</w:t>
      </w:r>
      <w:r w:rsidR="00372C8D">
        <w:rPr>
          <w:lang w:val="en-US"/>
        </w:rPr>
        <w:t xml:space="preserve"> uses a similar data handling method to commercial GPSs in that it combines or accumulates data for as long as it is consistent before saving a data point rather than save data on a fixed frequency</w:t>
      </w:r>
      <w:r w:rsidR="00C63DBC">
        <w:rPr>
          <w:lang w:val="en-US"/>
        </w:rPr>
        <w:t>, hence some data points may be collected over quite a long time (e.g. 27s or more)</w:t>
      </w:r>
      <w:r w:rsidR="00372C8D">
        <w:rPr>
          <w:lang w:val="en-US"/>
        </w:rPr>
        <w:t>.</w:t>
      </w:r>
    </w:p>
    <w:p w14:paraId="56D2F093" w14:textId="36D82172" w:rsidR="00EA3AF3" w:rsidRDefault="00372C8D">
      <w:pPr>
        <w:rPr>
          <w:lang w:val="en-US"/>
        </w:rPr>
      </w:pPr>
      <w:r>
        <w:rPr>
          <w:lang w:val="en-US"/>
        </w:rPr>
        <w:t>Figure 3 shows the count rate and hardness plots from the Radiacode software.</w:t>
      </w:r>
    </w:p>
    <w:p w14:paraId="73A0802D" w14:textId="77D02CE6" w:rsidR="00372C8D" w:rsidRDefault="008B3C04">
      <w:pPr>
        <w:rPr>
          <w:lang w:val="en-US"/>
        </w:rPr>
      </w:pPr>
      <w:r>
        <w:rPr>
          <w:lang w:val="en-US"/>
        </w:rPr>
        <w:t>Figure 4 shows the spectrum collected at about 20 hours after administration of the Tc 99m dose, and the Tc99m peak is still clear and dominant.</w:t>
      </w:r>
    </w:p>
    <w:p w14:paraId="1DCCED8E" w14:textId="272EBE48" w:rsidR="008B3C04" w:rsidRDefault="008B3C04">
      <w:pPr>
        <w:rPr>
          <w:lang w:val="en-US"/>
        </w:rPr>
      </w:pPr>
      <w:r>
        <w:rPr>
          <w:lang w:val="en-US"/>
        </w:rPr>
        <w:t>Figure 5 shows the spectrum collected 8 days and 20 hours after dose administration, and by this time there is no detectible trace of the Tc 99m. The spectrum is reflective of a normal background reading.</w:t>
      </w:r>
    </w:p>
    <w:p w14:paraId="784E62D9" w14:textId="32E398D9" w:rsidR="008B3C04" w:rsidRDefault="008B3C04">
      <w:pPr>
        <w:rPr>
          <w:lang w:val="en-US"/>
        </w:rPr>
      </w:pPr>
      <w:r>
        <w:rPr>
          <w:lang w:val="en-US"/>
        </w:rPr>
        <w:t xml:space="preserve">Figure 6 is a plot of the peak </w:t>
      </w:r>
      <w:r w:rsidR="00331780">
        <w:rPr>
          <w:lang w:val="en-US"/>
        </w:rPr>
        <w:t>C</w:t>
      </w:r>
      <w:r>
        <w:rPr>
          <w:lang w:val="en-US"/>
        </w:rPr>
        <w:t xml:space="preserve">ount </w:t>
      </w:r>
      <w:r w:rsidR="00331780">
        <w:rPr>
          <w:lang w:val="en-US"/>
        </w:rPr>
        <w:t>R</w:t>
      </w:r>
      <w:r>
        <w:rPr>
          <w:lang w:val="en-US"/>
        </w:rPr>
        <w:t xml:space="preserve">ate (corresponding to measurement at the base of the sternum). There is an anomaly in the data at the top of the curve probably resulting from inconsistency in sampling technique, however the general shape of the curve reflects the exponential decay of the </w:t>
      </w:r>
      <w:r w:rsidR="00331780">
        <w:rPr>
          <w:lang w:val="en-US"/>
        </w:rPr>
        <w:t>Tc 99m isotope, and the steepness of the curve reflects the short half life (6.01 hours).</w:t>
      </w:r>
    </w:p>
    <w:p w14:paraId="19D1AF00" w14:textId="28A60653" w:rsidR="00331780" w:rsidRDefault="00331780">
      <w:pPr>
        <w:rPr>
          <w:lang w:val="en-US"/>
        </w:rPr>
      </w:pPr>
      <w:r>
        <w:rPr>
          <w:lang w:val="en-US"/>
        </w:rPr>
        <w:t>Figure 7 is a plot of the Dose Rate. It reflects the shape of the Count Rate curve (Figure 6) including the data anomaly.</w:t>
      </w:r>
      <w:r w:rsidR="00C63DBC">
        <w:rPr>
          <w:lang w:val="en-US"/>
        </w:rPr>
        <w:t xml:space="preserve"> The difference in shape between the Count Rate and Dose Rate curves depends entirely on changes with radiation hardness (energy) including background radiation.</w:t>
      </w:r>
    </w:p>
    <w:p w14:paraId="41491A3B" w14:textId="2B1703CB" w:rsidR="004C1108" w:rsidRDefault="004C1108">
      <w:pPr>
        <w:rPr>
          <w:lang w:val="en-US"/>
        </w:rPr>
      </w:pPr>
      <w:r>
        <w:rPr>
          <w:lang w:val="en-US"/>
        </w:rPr>
        <w:t xml:space="preserve">Just to give a comparison of radiation hardness (energy), Technetium 99m </w:t>
      </w:r>
      <w:r w:rsidR="00220ADE">
        <w:rPr>
          <w:lang w:val="en-US"/>
        </w:rPr>
        <w:t>gamma ray energy is 0.140 MeV, Cesium 137 (as commonly used in radiation gauges in the local factories)  gamma ray energy is 1.176 MeV, and Cobalt 60 (as used in the MDF furnace radiation guage) decay energy is 2.822 MeV in two gamma rays and a beta particle.</w:t>
      </w:r>
    </w:p>
    <w:p w14:paraId="0F02FEF5" w14:textId="77777777" w:rsidR="004C1108" w:rsidRDefault="004C1108">
      <w:pPr>
        <w:rPr>
          <w:lang w:val="en-US"/>
        </w:rPr>
      </w:pPr>
    </w:p>
    <w:p w14:paraId="005A31A2" w14:textId="77777777" w:rsidR="00537D57" w:rsidRDefault="00537D57">
      <w:pPr>
        <w:rPr>
          <w:lang w:val="en-US"/>
        </w:rPr>
      </w:pPr>
    </w:p>
    <w:p w14:paraId="6017B965" w14:textId="71DFDEB6" w:rsidR="00537D57" w:rsidRPr="006A147C" w:rsidRDefault="006A147C" w:rsidP="006A147C">
      <w:pPr>
        <w:pStyle w:val="ListParagraph"/>
        <w:numPr>
          <w:ilvl w:val="0"/>
          <w:numId w:val="1"/>
        </w:numPr>
        <w:rPr>
          <w:lang w:val="en-US"/>
        </w:rPr>
      </w:pPr>
      <w:hyperlink r:id="rId5" w:history="1">
        <w:r w:rsidRPr="00A91124">
          <w:rPr>
            <w:rStyle w:val="Hyperlink"/>
            <w:lang w:val="en-US"/>
          </w:rPr>
          <w:t>https://en.wikipedia.org/wiki/Technetium-99m</w:t>
        </w:r>
      </w:hyperlink>
    </w:p>
    <w:p w14:paraId="1BE59DAE" w14:textId="12A5C054" w:rsidR="00537D57" w:rsidRPr="006A147C" w:rsidRDefault="006A147C" w:rsidP="006A147C">
      <w:pPr>
        <w:pStyle w:val="ListParagraph"/>
        <w:numPr>
          <w:ilvl w:val="0"/>
          <w:numId w:val="1"/>
        </w:numPr>
        <w:rPr>
          <w:lang w:val="en-US"/>
        </w:rPr>
      </w:pPr>
      <w:hyperlink r:id="rId6" w:history="1">
        <w:r w:rsidRPr="00A91124">
          <w:rPr>
            <w:rStyle w:val="Hyperlink"/>
            <w:lang w:val="en-US"/>
          </w:rPr>
          <w:t>https://radiacode.com/isotope/tc-99m?lang=en</w:t>
        </w:r>
      </w:hyperlink>
    </w:p>
    <w:p w14:paraId="0476E31D" w14:textId="47D0FD8B" w:rsidR="00537D57" w:rsidRDefault="006A147C" w:rsidP="00C63DBC">
      <w:pPr>
        <w:pStyle w:val="ListParagraph"/>
        <w:numPr>
          <w:ilvl w:val="0"/>
          <w:numId w:val="1"/>
        </w:numPr>
        <w:rPr>
          <w:lang w:val="en-US"/>
        </w:rPr>
      </w:pPr>
      <w:hyperlink r:id="rId7" w:history="1">
        <w:r w:rsidRPr="00C63DBC">
          <w:rPr>
            <w:rStyle w:val="Hyperlink"/>
            <w:lang w:val="en-US"/>
          </w:rPr>
          <w:t>https://radiacode.com/do</w:t>
        </w:r>
        <w:r w:rsidRPr="00C63DBC">
          <w:rPr>
            <w:rStyle w:val="Hyperlink"/>
            <w:lang w:val="en-US"/>
          </w:rPr>
          <w:t>c</w:t>
        </w:r>
        <w:r w:rsidRPr="00C63DBC">
          <w:rPr>
            <w:rStyle w:val="Hyperlink"/>
            <w:lang w:val="en-US"/>
          </w:rPr>
          <w:t>s/en/100-series/alarms/how-alarms-work</w:t>
        </w:r>
      </w:hyperlink>
    </w:p>
    <w:p w14:paraId="1B8BD027" w14:textId="1ACB5C38" w:rsidR="004871E8" w:rsidRDefault="004C1108" w:rsidP="00C63DBC">
      <w:pPr>
        <w:pStyle w:val="ListParagraph"/>
        <w:numPr>
          <w:ilvl w:val="0"/>
          <w:numId w:val="1"/>
        </w:numPr>
        <w:rPr>
          <w:lang w:val="en-US"/>
        </w:rPr>
      </w:pPr>
      <w:hyperlink r:id="rId8" w:history="1">
        <w:r w:rsidRPr="00A91124">
          <w:rPr>
            <w:rStyle w:val="Hyperlink"/>
            <w:lang w:val="en-US"/>
          </w:rPr>
          <w:t>https://radiacode.com/products/radiacode-110?lang=en</w:t>
        </w:r>
      </w:hyperlink>
    </w:p>
    <w:p w14:paraId="55B92D4F" w14:textId="1C0F57D6" w:rsidR="004C1108" w:rsidRDefault="004C1108" w:rsidP="00C63DBC">
      <w:pPr>
        <w:pStyle w:val="ListParagraph"/>
        <w:numPr>
          <w:ilvl w:val="0"/>
          <w:numId w:val="1"/>
        </w:numPr>
        <w:rPr>
          <w:lang w:val="en-US"/>
        </w:rPr>
      </w:pPr>
      <w:hyperlink r:id="rId9" w:history="1">
        <w:r w:rsidRPr="00A91124">
          <w:rPr>
            <w:rStyle w:val="Hyperlink"/>
            <w:lang w:val="en-US"/>
          </w:rPr>
          <w:t>https://radiologykey.com/wp-content/uploads/2022/06/C1-FF4-2.gif</w:t>
        </w:r>
      </w:hyperlink>
    </w:p>
    <w:p w14:paraId="181C2ED1" w14:textId="77777777" w:rsidR="004C1108" w:rsidRPr="00C63DBC" w:rsidRDefault="004C1108" w:rsidP="00C63DBC">
      <w:pPr>
        <w:pStyle w:val="ListParagraph"/>
        <w:numPr>
          <w:ilvl w:val="0"/>
          <w:numId w:val="1"/>
        </w:numPr>
        <w:rPr>
          <w:lang w:val="en-US"/>
        </w:rPr>
      </w:pPr>
    </w:p>
    <w:sectPr w:rsidR="004C1108" w:rsidRPr="00C63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D297F"/>
    <w:multiLevelType w:val="hybridMultilevel"/>
    <w:tmpl w:val="5E8CB7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38117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78A"/>
    <w:rsid w:val="00042918"/>
    <w:rsid w:val="00060104"/>
    <w:rsid w:val="00086816"/>
    <w:rsid w:val="00220ADE"/>
    <w:rsid w:val="00331780"/>
    <w:rsid w:val="00372C8D"/>
    <w:rsid w:val="00464364"/>
    <w:rsid w:val="004871E8"/>
    <w:rsid w:val="004C1108"/>
    <w:rsid w:val="00537D57"/>
    <w:rsid w:val="005F2C30"/>
    <w:rsid w:val="006A147C"/>
    <w:rsid w:val="007302D3"/>
    <w:rsid w:val="007F2600"/>
    <w:rsid w:val="0081097E"/>
    <w:rsid w:val="0082474D"/>
    <w:rsid w:val="008636B3"/>
    <w:rsid w:val="008B3C04"/>
    <w:rsid w:val="009F7CA0"/>
    <w:rsid w:val="00C63DBC"/>
    <w:rsid w:val="00D16257"/>
    <w:rsid w:val="00D515B8"/>
    <w:rsid w:val="00DC3C90"/>
    <w:rsid w:val="00DE345B"/>
    <w:rsid w:val="00DF178A"/>
    <w:rsid w:val="00EA3A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6174"/>
  <w15:chartTrackingRefBased/>
  <w15:docId w15:val="{FEFEBE10-4F8D-4067-99E5-BEE4585B5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78A"/>
    <w:rPr>
      <w:rFonts w:eastAsiaTheme="majorEastAsia" w:cstheme="majorBidi"/>
      <w:color w:val="272727" w:themeColor="text1" w:themeTint="D8"/>
    </w:rPr>
  </w:style>
  <w:style w:type="paragraph" w:styleId="Title">
    <w:name w:val="Title"/>
    <w:basedOn w:val="Normal"/>
    <w:next w:val="Normal"/>
    <w:link w:val="TitleChar"/>
    <w:uiPriority w:val="10"/>
    <w:qFormat/>
    <w:rsid w:val="00DF1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78A"/>
    <w:pPr>
      <w:spacing w:before="160"/>
      <w:jc w:val="center"/>
    </w:pPr>
    <w:rPr>
      <w:i/>
      <w:iCs/>
      <w:color w:val="404040" w:themeColor="text1" w:themeTint="BF"/>
    </w:rPr>
  </w:style>
  <w:style w:type="character" w:customStyle="1" w:styleId="QuoteChar">
    <w:name w:val="Quote Char"/>
    <w:basedOn w:val="DefaultParagraphFont"/>
    <w:link w:val="Quote"/>
    <w:uiPriority w:val="29"/>
    <w:rsid w:val="00DF178A"/>
    <w:rPr>
      <w:i/>
      <w:iCs/>
      <w:color w:val="404040" w:themeColor="text1" w:themeTint="BF"/>
    </w:rPr>
  </w:style>
  <w:style w:type="paragraph" w:styleId="ListParagraph">
    <w:name w:val="List Paragraph"/>
    <w:basedOn w:val="Normal"/>
    <w:uiPriority w:val="34"/>
    <w:qFormat/>
    <w:rsid w:val="00DF178A"/>
    <w:pPr>
      <w:ind w:left="720"/>
      <w:contextualSpacing/>
    </w:pPr>
  </w:style>
  <w:style w:type="character" w:styleId="IntenseEmphasis">
    <w:name w:val="Intense Emphasis"/>
    <w:basedOn w:val="DefaultParagraphFont"/>
    <w:uiPriority w:val="21"/>
    <w:qFormat/>
    <w:rsid w:val="00DF178A"/>
    <w:rPr>
      <w:i/>
      <w:iCs/>
      <w:color w:val="0F4761" w:themeColor="accent1" w:themeShade="BF"/>
    </w:rPr>
  </w:style>
  <w:style w:type="paragraph" w:styleId="IntenseQuote">
    <w:name w:val="Intense Quote"/>
    <w:basedOn w:val="Normal"/>
    <w:next w:val="Normal"/>
    <w:link w:val="IntenseQuoteChar"/>
    <w:uiPriority w:val="30"/>
    <w:qFormat/>
    <w:rsid w:val="00DF1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78A"/>
    <w:rPr>
      <w:i/>
      <w:iCs/>
      <w:color w:val="0F4761" w:themeColor="accent1" w:themeShade="BF"/>
    </w:rPr>
  </w:style>
  <w:style w:type="character" w:styleId="IntenseReference">
    <w:name w:val="Intense Reference"/>
    <w:basedOn w:val="DefaultParagraphFont"/>
    <w:uiPriority w:val="32"/>
    <w:qFormat/>
    <w:rsid w:val="00DF178A"/>
    <w:rPr>
      <w:b/>
      <w:bCs/>
      <w:smallCaps/>
      <w:color w:val="0F4761" w:themeColor="accent1" w:themeShade="BF"/>
      <w:spacing w:val="5"/>
    </w:rPr>
  </w:style>
  <w:style w:type="character" w:styleId="Hyperlink">
    <w:name w:val="Hyperlink"/>
    <w:basedOn w:val="DefaultParagraphFont"/>
    <w:uiPriority w:val="99"/>
    <w:unhideWhenUsed/>
    <w:rsid w:val="00537D57"/>
    <w:rPr>
      <w:color w:val="467886" w:themeColor="hyperlink"/>
      <w:u w:val="single"/>
    </w:rPr>
  </w:style>
  <w:style w:type="character" w:styleId="UnresolvedMention">
    <w:name w:val="Unresolved Mention"/>
    <w:basedOn w:val="DefaultParagraphFont"/>
    <w:uiPriority w:val="99"/>
    <w:semiHidden/>
    <w:unhideWhenUsed/>
    <w:rsid w:val="00537D57"/>
    <w:rPr>
      <w:color w:val="605E5C"/>
      <w:shd w:val="clear" w:color="auto" w:fill="E1DFDD"/>
    </w:rPr>
  </w:style>
  <w:style w:type="character" w:styleId="FollowedHyperlink">
    <w:name w:val="FollowedHyperlink"/>
    <w:basedOn w:val="DefaultParagraphFont"/>
    <w:uiPriority w:val="99"/>
    <w:semiHidden/>
    <w:unhideWhenUsed/>
    <w:rsid w:val="006A147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diacode.com/products/radiacode-110?lang=en" TargetMode="External"/><Relationship Id="rId3" Type="http://schemas.openxmlformats.org/officeDocument/2006/relationships/settings" Target="settings.xml"/><Relationship Id="rId7" Type="http://schemas.openxmlformats.org/officeDocument/2006/relationships/hyperlink" Target="https://radiacode.com/docs/en/100-series/alarms/how-alarms-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diacode.com/isotope/tc-99m?lang=en" TargetMode="External"/><Relationship Id="rId11" Type="http://schemas.openxmlformats.org/officeDocument/2006/relationships/theme" Target="theme/theme1.xml"/><Relationship Id="rId5" Type="http://schemas.openxmlformats.org/officeDocument/2006/relationships/hyperlink" Target="https://en.wikipedia.org/wiki/Technetium-99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adiologykey.com/wp-content/uploads/2022/06/C1-FF4-2.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3</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Sheehan</dc:creator>
  <cp:keywords/>
  <dc:description/>
  <cp:lastModifiedBy>Alan Sheehan</cp:lastModifiedBy>
  <cp:revision>4</cp:revision>
  <dcterms:created xsi:type="dcterms:W3CDTF">2026-10-22T23:04:00Z</dcterms:created>
  <dcterms:modified xsi:type="dcterms:W3CDTF">2026-10-23T04:41:00Z</dcterms:modified>
</cp:coreProperties>
</file>