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after="160"/>
        <w:jc w:val="left"/>
      </w:pPr>
      <w:r>
        <w:rPr>
          <w:rFonts w:ascii="Arial" w:hAnsi="Arial" w:eastAsia="Arial"/>
          <w:b/>
          <w:i w:val="0"/>
          <w:color w:val="0F6B78"/>
          <w:sz w:val="36"/>
        </w:rPr>
        <w:t>DIEZ</w:t>
      </w:r>
    </w:p>
    <w:p>
      <w:pPr>
        <w:spacing w:after="80"/>
      </w:pPr>
      <w:r>
        <w:rPr>
          <w:rFonts w:ascii="Arial" w:hAnsi="Arial" w:eastAsia="Arial"/>
          <w:b/>
          <w:i w:val="0"/>
          <w:color w:val="17365D"/>
          <w:sz w:val="58"/>
        </w:rPr>
        <w:t>AI for Data Stewards</w:t>
      </w:r>
    </w:p>
    <w:p>
      <w:pPr>
        <w:spacing w:after="440"/>
      </w:pPr>
      <w:r>
        <w:rPr>
          <w:rFonts w:ascii="Arial" w:hAnsi="Arial" w:eastAsia="Arial"/>
          <w:b w:val="0"/>
          <w:i w:val="0"/>
          <w:color w:val="2F75B5"/>
          <w:sz w:val="34"/>
        </w:rPr>
        <w:t>Proposed four-day course plan</w:t>
      </w:r>
    </w:p>
    <w:tbl>
      <w:tblPr>
        <w:tblW w:type="auto" w:w="0"/>
        <w:jc w:val="center"/>
        <w:tblLayout w:type="autofit"/>
        <w:tblLook w:firstColumn="1" w:firstRow="1" w:lastColumn="0" w:lastRow="0" w:noHBand="0" w:noVBand="1" w:val="04A0"/>
      </w:tblPr>
      <w:tblGrid>
        <w:gridCol w:w="10166"/>
      </w:tblGrid>
      <w:tr>
        <w:tc>
          <w:tcPr>
            <w:tcW w:type="dxa" w:w="10166"/>
            <w:shd w:fill="EEF5FB"/>
            <w:tcBorders>
              <w:top w:val="single" w:sz="4" w:color="EEF5FB"/>
              <w:left w:val="single" w:sz="18" w:color="0F6B78"/>
              <w:bottom w:val="single" w:sz="4" w:color="EEF5FB"/>
              <w:right w:val="single" w:sz="4" w:color="EEF5FB"/>
            </w:tcBorders>
            <w:tcMar>
              <w:top w:w="130" w:type="dxa"/>
              <w:start w:w="160" w:type="dxa"/>
              <w:bottom w:w="130" w:type="dxa"/>
              <w:end w:w="160" w:type="dxa"/>
            </w:tcMar>
          </w:tcPr>
          <w:p>
            <w:pPr>
              <w:spacing w:after="60"/>
            </w:pPr>
            <w:r/>
            <w:r>
              <w:rPr>
                <w:rFonts w:ascii="Arial" w:hAnsi="Arial" w:eastAsia="Arial"/>
                <w:b/>
                <w:i w:val="0"/>
                <w:color w:val="17365D"/>
                <w:sz w:val="21"/>
              </w:rPr>
              <w:t>Purpose</w:t>
            </w:r>
          </w:p>
          <w:p>
            <w:pPr>
              <w:spacing w:after="0" w:line="264" w:lineRule="auto"/>
            </w:pPr>
            <w:r>
              <w:rPr>
                <w:rFonts w:ascii="Arial" w:hAnsi="Arial" w:eastAsia="Arial"/>
                <w:b w:val="0"/>
                <w:i w:val="0"/>
                <w:color w:val="1F2937"/>
                <w:sz w:val="19"/>
              </w:rPr>
              <w:t>A practical, responsible-AI capability programme for practising data stewards and adjacent data-governance professionals. The course connects AI opportunity selection, data readiness, verification, governance and implementation.</w:t>
            </w:r>
          </w:p>
        </w:tc>
      </w:tr>
    </w:tbl>
    <w:p>
      <w:pPr>
        <w:spacing w:after="0"/>
      </w:pPr>
    </w:p>
    <w:p>
      <w:pPr>
        <w:spacing w:after="440"/>
      </w:pPr>
    </w:p>
    <w:p>
      <w:pPr>
        <w:spacing w:after="80"/>
      </w:pPr>
      <w:r>
        <w:rPr>
          <w:rFonts w:ascii="Arial" w:hAnsi="Arial" w:eastAsia="Arial"/>
          <w:b/>
          <w:i w:val="0"/>
          <w:color w:val="17365D"/>
          <w:sz w:val="20"/>
        </w:rPr>
        <w:t xml:space="preserve">Prepared for: </w:t>
      </w:r>
      <w:r>
        <w:rPr>
          <w:rFonts w:ascii="Arial" w:hAnsi="Arial" w:eastAsia="Arial"/>
          <w:b w:val="0"/>
          <w:i w:val="0"/>
          <w:color w:val="1F2937"/>
          <w:sz w:val="20"/>
        </w:rPr>
        <w:t>Dubai Integrated Economic Zones Authority (DIEZ)</w:t>
      </w:r>
    </w:p>
    <w:p>
      <w:pPr>
        <w:spacing w:after="80"/>
      </w:pPr>
      <w:r>
        <w:rPr>
          <w:rFonts w:ascii="Arial" w:hAnsi="Arial" w:eastAsia="Arial"/>
          <w:b/>
          <w:i w:val="0"/>
          <w:color w:val="17365D"/>
          <w:sz w:val="20"/>
        </w:rPr>
        <w:t xml:space="preserve">Format: </w:t>
      </w:r>
      <w:r>
        <w:rPr>
          <w:rFonts w:ascii="Arial" w:hAnsi="Arial" w:eastAsia="Arial"/>
          <w:b w:val="0"/>
          <w:i w:val="0"/>
          <w:color w:val="1F2937"/>
          <w:sz w:val="20"/>
        </w:rPr>
        <w:t>Four consecutive full days, with pre-course diagnostic and post-course assessment</w:t>
      </w:r>
    </w:p>
    <w:p>
      <w:pPr>
        <w:spacing w:after="80"/>
      </w:pPr>
      <w:r>
        <w:rPr>
          <w:rFonts w:ascii="Arial" w:hAnsi="Arial" w:eastAsia="Arial"/>
          <w:b/>
          <w:i w:val="0"/>
          <w:color w:val="17365D"/>
          <w:sz w:val="20"/>
        </w:rPr>
        <w:t xml:space="preserve">Planning basis: </w:t>
      </w:r>
      <w:r>
        <w:rPr>
          <w:rFonts w:ascii="Arial" w:hAnsi="Arial" w:eastAsia="Arial"/>
          <w:b w:val="0"/>
          <w:i w:val="0"/>
          <w:color w:val="1F2937"/>
          <w:sz w:val="20"/>
        </w:rPr>
        <w:t>DIEZ operating context, UAE federal requirements and Dubai government data, digital and information-security instruments</w:t>
      </w:r>
    </w:p>
    <w:p>
      <w:pPr>
        <w:spacing w:after="80"/>
      </w:pPr>
      <w:r>
        <w:rPr>
          <w:rFonts w:ascii="Arial" w:hAnsi="Arial" w:eastAsia="Arial"/>
          <w:b/>
          <w:i w:val="0"/>
          <w:color w:val="17365D"/>
          <w:sz w:val="20"/>
        </w:rPr>
        <w:t xml:space="preserve">Version: </w:t>
      </w:r>
      <w:r>
        <w:rPr>
          <w:rFonts w:ascii="Arial" w:hAnsi="Arial" w:eastAsia="Arial"/>
          <w:b w:val="0"/>
          <w:i w:val="0"/>
          <w:color w:val="1F2937"/>
          <w:sz w:val="20"/>
        </w:rPr>
        <w:t>Proposed plan | September 2026</w:t>
      </w:r>
    </w:p>
    <w:p>
      <w:r>
        <w:br w:type="page"/>
      </w:r>
    </w:p>
    <w:p>
      <w:pPr>
        <w:pStyle w:val="Heading1"/>
        <w:spacing w:before="280" w:after="120"/>
      </w:pPr>
      <w:r>
        <w:rPr>
          <w:rFonts w:ascii="Arial" w:hAnsi="Arial" w:eastAsia="Arial"/>
          <w:b/>
          <w:i w:val="0"/>
          <w:color w:val="17365D"/>
          <w:sz w:val="30"/>
        </w:rPr>
        <w:t>1. Executive summary</w:t>
      </w:r>
    </w:p>
    <w:p>
      <w:pPr>
        <w:spacing w:after="120" w:before="0" w:line="276" w:lineRule="auto"/>
      </w:pPr>
      <w:r>
        <w:rPr>
          <w:rFonts w:ascii="Arial" w:hAnsi="Arial" w:eastAsia="Arial"/>
          <w:b w:val="0"/>
          <w:i w:val="0"/>
          <w:color w:val="1F2937"/>
          <w:sz w:val="21"/>
        </w:rPr>
        <w:t>This plan proposes a four-day applied course for DIEZ data stewards, business data owners, operational managers and business use-case owners. It is designed for professionals who understand their functions and data but are not expected to become AI engineers or data scientists. The course builds a repeatable discipline for deciding where AI adds value, testing whether data is fit for purpose, verifying AI outputs, applying proportionate controls and translating opportunities into measurable workflows.</w:t>
      </w:r>
    </w:p>
    <w:p>
      <w:pPr>
        <w:spacing w:after="120" w:before="0" w:line="276" w:lineRule="auto"/>
      </w:pPr>
      <w:r>
        <w:rPr>
          <w:rFonts w:ascii="Arial" w:hAnsi="Arial" w:eastAsia="Arial"/>
          <w:b w:val="0"/>
          <w:i w:val="0"/>
          <w:color w:val="1F2937"/>
          <w:sz w:val="21"/>
        </w:rPr>
        <w:t>The plan is designed for DIEZ’s operating context: an economic-zone ecosystem supporting businesses, innovation, digital services and technology-enabled growth. It turns that context into a practical capability journey—understand, identify, apply, verify, govern, implement and measure—with timed sessions, participant evidence, facilitation methods and decision points. DIEZ’s public positioning emphasises business enablement, digital transformation and advanced technologies, including AI-enabled operational improvement [7].</w:t>
      </w:r>
    </w:p>
    <w:tbl>
      <w:tblPr>
        <w:tblW w:type="auto" w:w="0"/>
        <w:jc w:val="center"/>
        <w:tblLayout w:type="autofit"/>
        <w:tblLook w:firstColumn="1" w:firstRow="1" w:lastColumn="0" w:lastRow="0" w:noHBand="0" w:noVBand="1" w:val="04A0"/>
      </w:tblPr>
      <w:tblGrid>
        <w:gridCol w:w="10166"/>
      </w:tblGrid>
      <w:tr>
        <w:tc>
          <w:tcPr>
            <w:tcW w:type="dxa" w:w="10166"/>
            <w:shd w:fill="EEF5FB"/>
            <w:tcBorders>
              <w:top w:val="single" w:sz="4" w:color="EEF5FB"/>
              <w:left w:val="single" w:sz="18" w:color="2F75B5"/>
              <w:bottom w:val="single" w:sz="4" w:color="EEF5FB"/>
              <w:right w:val="single" w:sz="4" w:color="EEF5FB"/>
            </w:tcBorders>
            <w:tcMar>
              <w:top w:w="130" w:type="dxa"/>
              <w:start w:w="160" w:type="dxa"/>
              <w:bottom w:w="130" w:type="dxa"/>
              <w:end w:w="160" w:type="dxa"/>
            </w:tcMar>
          </w:tcPr>
          <w:p>
            <w:pPr>
              <w:spacing w:after="60"/>
            </w:pPr>
            <w:r/>
            <w:r>
              <w:rPr>
                <w:rFonts w:ascii="Arial" w:hAnsi="Arial" w:eastAsia="Arial"/>
                <w:b/>
                <w:i w:val="0"/>
                <w:color w:val="17365D"/>
                <w:sz w:val="21"/>
              </w:rPr>
              <w:t>Design principle</w:t>
            </w:r>
          </w:p>
          <w:p>
            <w:pPr>
              <w:spacing w:after="0" w:line="264" w:lineRule="auto"/>
            </w:pPr>
            <w:r>
              <w:rPr>
                <w:rFonts w:ascii="Arial" w:hAnsi="Arial" w:eastAsia="Arial"/>
                <w:b w:val="0"/>
                <w:i w:val="0"/>
                <w:color w:val="1F2937"/>
                <w:sz w:val="19"/>
              </w:rPr>
              <w:t>The course is technology-aware but not tool-led. Participants practise with approved or simulated information in DIEZ-approved environments, then apply professional judgement to accept, improve, reject or escalate an AI output. UAE and Dubai legal, policy and information-security controls are treated as part of the workflow—not as a separate compliance lecture.</w:t>
            </w:r>
          </w:p>
        </w:tc>
      </w:tr>
    </w:tbl>
    <w:p>
      <w:pPr>
        <w:spacing w:after="0"/>
      </w:pPr>
    </w:p>
    <w:p>
      <w:pPr>
        <w:pStyle w:val="Heading1"/>
        <w:spacing w:before="280" w:after="120"/>
      </w:pPr>
      <w:r>
        <w:rPr>
          <w:rFonts w:ascii="Arial" w:hAnsi="Arial" w:eastAsia="Arial"/>
          <w:b/>
          <w:i w:val="0"/>
          <w:color w:val="17365D"/>
          <w:sz w:val="30"/>
        </w:rPr>
        <w:t>2. UAE and Dubai alignment</w:t>
      </w:r>
    </w:p>
    <w:p>
      <w:pPr>
        <w:spacing w:after="120" w:before="0" w:line="276" w:lineRule="auto"/>
      </w:pPr>
      <w:r>
        <w:rPr>
          <w:rFonts w:ascii="Arial" w:hAnsi="Arial" w:eastAsia="Arial"/>
          <w:b w:val="0"/>
          <w:i w:val="0"/>
          <w:color w:val="1F2937"/>
          <w:sz w:val="21"/>
        </w:rPr>
        <w:t>This course is an operational training design, not legal advice. Before delivery, DIEZ’s legal, data-protection, information-security and data-governance owners should confirm the exact instruments and internal policies that apply to each scenario, dataset and technology environment.</w:t>
      </w:r>
    </w:p>
    <w:tbl>
      <w:tblPr>
        <w:tblW w:type="auto" w:w="0"/>
        <w:jc w:val="center"/>
        <w:tblLayout w:type="fixed"/>
        <w:tblLook w:firstColumn="1" w:firstRow="1" w:lastColumn="0" w:lastRow="0" w:noHBand="0" w:noVBand="1" w:val="04A0"/>
      </w:tblPr>
      <w:tblGrid>
        <w:gridCol w:w="5083"/>
        <w:gridCol w:w="5083"/>
      </w:tblGrid>
      <w:tr>
        <w:tc>
          <w:tcPr>
            <w:tcW w:type="dxa" w:w="324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6"/>
              </w:rPr>
              <w:t>Local requirement / context</w:t>
            </w:r>
          </w:p>
        </w:tc>
        <w:tc>
          <w:tcPr>
            <w:tcW w:type="dxa" w:w="6408"/>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6"/>
              </w:rPr>
              <w:t>How the course operationalises it</w:t>
            </w:r>
          </w:p>
        </w:tc>
      </w:tr>
      <w:tr>
        <w:tc>
          <w:tcPr>
            <w:tcW w:type="dxa" w:w="324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UAE Personal Data Protection Law — Federal Decree-Law No. 45 of 2021 [1]</w:t>
            </w:r>
          </w:p>
        </w:tc>
        <w:tc>
          <w:tcPr>
            <w:tcW w:type="dxa" w:w="640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Teach purpose limitation, data minimisation, access control, retention, processor/vendor review, incident escalation and cross-border transfer checks where personal data is in scope. The law expressly excludes government data and governmental entities that control or process personal data; the course therefore treats it as a baseline for provider/contractor and other in-scope processing, while pairing it with Dubai government instruments.</w:t>
            </w:r>
          </w:p>
        </w:tc>
      </w:tr>
      <w:tr>
        <w:tc>
          <w:tcPr>
            <w:tcW w:type="dxa" w:w="324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Dubai Law No. 26 of 2015 Regulating Data Dissemination and Exchange [2]</w:t>
            </w:r>
          </w:p>
        </w:tc>
        <w:tc>
          <w:tcPr>
            <w:tcW w:type="dxa" w:w="640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Use data inventory, classification, provenance, release/approval, authorised sharing and evidence of permitted use as mandatory steps in every data-readiness and capstone exercise.</w:t>
            </w:r>
          </w:p>
        </w:tc>
      </w:tr>
      <w:tr>
        <w:tc>
          <w:tcPr>
            <w:tcW w:type="dxa" w:w="324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Dubai Data and Statistics Establishment / Dubai Data framework [2]</w:t>
            </w:r>
          </w:p>
        </w:tc>
        <w:tc>
          <w:tcPr>
            <w:tcW w:type="dxa" w:w="640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Practise documenting data owners, custodians, quality issues, metadata, reuse conditions and escalation routes for datasets used in government or cross-entity workflows.</w:t>
            </w:r>
          </w:p>
        </w:tc>
      </w:tr>
      <w:tr>
        <w:tc>
          <w:tcPr>
            <w:tcW w:type="dxa" w:w="324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Dubai Law No. 9 of 2022 Regulating the Provision of Digital Services [2]</w:t>
            </w:r>
          </w:p>
        </w:tc>
        <w:tc>
          <w:tcPr>
            <w:tcW w:type="dxa" w:w="640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Frame AI use around service quality, user impact, accessibility, continuity, human escalation and accountable change control for digital government services.</w:t>
            </w:r>
          </w:p>
        </w:tc>
      </w:tr>
      <w:tr>
        <w:tc>
          <w:tcPr>
            <w:tcW w:type="dxa" w:w="324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Dubai ICT Policies — Executive Council Resolution No. 15 of 2022 [2]</w:t>
            </w:r>
          </w:p>
        </w:tc>
        <w:tc>
          <w:tcPr>
            <w:tcW w:type="dxa" w:w="640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Require participants to identify the approved platform, identity/access path, hosting and integration constraints, records/evidence needs and responsible owner before proposing an AI-enabled workflow.</w:t>
            </w:r>
          </w:p>
        </w:tc>
      </w:tr>
      <w:tr>
        <w:tc>
          <w:tcPr>
            <w:tcW w:type="dxa" w:w="324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Dubai Information Security Regulation — Executive Council Resolution No. 13 of 2012 [2]</w:t>
            </w:r>
          </w:p>
        </w:tc>
        <w:tc>
          <w:tcPr>
            <w:tcW w:type="dxa" w:w="640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Embed least privilege, secure handling, no unapproved public upload, logging/evidence, incident reporting and controlled testing into labs and capstones.</w:t>
            </w:r>
          </w:p>
        </w:tc>
      </w:tr>
      <w:tr>
        <w:tc>
          <w:tcPr>
            <w:tcW w:type="dxa" w:w="324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Dubai’s digital-government and economic-zone context [7]</w:t>
            </w:r>
          </w:p>
        </w:tc>
        <w:tc>
          <w:tcPr>
            <w:tcW w:type="dxa" w:w="640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Use Dubai-relevant cases: government services, leasing, real-estate pricing, customer growth, compliance, operational processing, partner ecosystems and multilingual customer interactions.</w:t>
            </w:r>
          </w:p>
        </w:tc>
      </w:tr>
    </w:tbl>
    <w:p>
      <w:pPr>
        <w:spacing w:after="20"/>
      </w:pPr>
    </w:p>
    <w:p>
      <w:pPr>
        <w:spacing w:before="40" w:after="120"/>
      </w:pPr>
      <w:r>
        <w:rPr>
          <w:rFonts w:ascii="Arial" w:hAnsi="Arial" w:eastAsia="Arial"/>
          <w:b w:val="0"/>
          <w:i/>
          <w:color w:val="666666"/>
          <w:sz w:val="16"/>
        </w:rPr>
        <w:t>Legal alignment note: [1]–[2] identify the public legal and policy sources used for this training design. Internal DIEZ policies, sector-specific requirements, contractual controls and any free-zone or regulated-activity rules must be confirmed during mobilisation.</w:t>
      </w:r>
    </w:p>
    <w:p>
      <w:pPr>
        <w:pStyle w:val="Heading1"/>
        <w:spacing w:before="280" w:after="120"/>
      </w:pPr>
      <w:r>
        <w:rPr>
          <w:rFonts w:ascii="Arial" w:hAnsi="Arial" w:eastAsia="Arial"/>
          <w:b/>
          <w:i w:val="0"/>
          <w:color w:val="17365D"/>
          <w:sz w:val="30"/>
        </w:rPr>
        <w:t>3. Proposed course at a glance</w:t>
      </w:r>
    </w:p>
    <w:tbl>
      <w:tblPr>
        <w:tblW w:type="auto" w:w="0"/>
        <w:jc w:val="center"/>
        <w:tblLayout w:type="fixed"/>
        <w:tblLook w:firstColumn="1" w:firstRow="1" w:lastColumn="0" w:lastRow="0" w:noHBand="0" w:noVBand="1" w:val="04A0"/>
      </w:tblPr>
      <w:tblGrid>
        <w:gridCol w:w="5083"/>
        <w:gridCol w:w="5083"/>
      </w:tblGrid>
      <w:tr>
        <w:tc>
          <w:tcPr>
            <w:tcW w:type="dxa" w:w="2232"/>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8"/>
              </w:rPr>
              <w:t>Element</w:t>
            </w:r>
          </w:p>
        </w:tc>
        <w:tc>
          <w:tcPr>
            <w:tcW w:type="dxa" w:w="7416"/>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8"/>
              </w:rPr>
              <w:t>Proposed design</w:t>
            </w:r>
          </w:p>
        </w:tc>
      </w:tr>
      <w:tr>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Audience</w:t>
            </w:r>
          </w:p>
        </w:tc>
        <w:tc>
          <w:tcPr>
            <w:tcW w:type="dxa" w:w="7416"/>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Practising data stewards and adjacent data-governance, data-quality, business-data and operational professionals.</w:t>
            </w:r>
          </w:p>
        </w:tc>
      </w:tr>
      <w:tr>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Duration</w:t>
            </w:r>
          </w:p>
        </w:tc>
        <w:tc>
          <w:tcPr>
            <w:tcW w:type="dxa" w:w="7416"/>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Four consecutive full days; alternative cadence is two two-day blocks within two weeks.</w:t>
            </w:r>
          </w:p>
        </w:tc>
      </w:tr>
      <w:tr>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Pre-work</w:t>
            </w:r>
          </w:p>
        </w:tc>
        <w:tc>
          <w:tcPr>
            <w:tcW w:type="dxa" w:w="7416"/>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30–45 minute self-paced diagnostic and one recurring stewardship task or use case.</w:t>
            </w:r>
          </w:p>
        </w:tc>
      </w:tr>
      <w:tr>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Daily rhythm</w:t>
            </w:r>
          </w:p>
        </w:tc>
        <w:tc>
          <w:tcPr>
            <w:tcW w:type="dxa" w:w="7416"/>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Learn → see → try → challenge → improve → evidence.</w:t>
            </w:r>
          </w:p>
        </w:tc>
      </w:tr>
      <w:tr>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Core discipline</w:t>
            </w:r>
          </w:p>
        </w:tc>
        <w:tc>
          <w:tcPr>
            <w:tcW w:type="dxa" w:w="7416"/>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Context → instruct → review → verify → decide → document → act or escalate.</w:t>
            </w:r>
          </w:p>
        </w:tc>
      </w:tr>
      <w:tr>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Capstone</w:t>
            </w:r>
          </w:p>
        </w:tc>
        <w:tc>
          <w:tcPr>
            <w:tcW w:type="dxa" w:w="7416"/>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A governed AI-assisted workflow covering business problem, data, risks, controls, human oversight, implementation and measures.</w:t>
            </w:r>
          </w:p>
        </w:tc>
      </w:tr>
      <w:tr>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Assessment</w:t>
            </w:r>
          </w:p>
        </w:tc>
        <w:tc>
          <w:tcPr>
            <w:tcW w:type="dxa" w:w="7416"/>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Baseline diagnostic, observation and artefact checks, scenario-based post-assessment, capstone review and 30-day application plan.</w:t>
            </w:r>
          </w:p>
        </w:tc>
      </w:tr>
      <w:tr>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Language</w:t>
            </w:r>
          </w:p>
        </w:tc>
        <w:tc>
          <w:tcPr>
            <w:tcW w:type="dxa" w:w="7416"/>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English delivery with Arabic-speaking subject-matter support where required; bilingual materials can be agreed during mobilisation.</w:t>
            </w:r>
          </w:p>
        </w:tc>
      </w:tr>
      <w:tr>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Tools</w:t>
            </w:r>
          </w:p>
        </w:tc>
        <w:tc>
          <w:tcPr>
            <w:tcW w:type="dxa" w:w="7416"/>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DIEZ-approved AI environment(s), using safe, authorised or simulated information. A named platform is not assumed; tool choice, hosting, access and data-handling approval are confirmed during mobilisation.</w:t>
            </w:r>
          </w:p>
        </w:tc>
      </w:tr>
    </w:tbl>
    <w:p>
      <w:pPr>
        <w:spacing w:after="20"/>
      </w:pPr>
    </w:p>
    <w:p>
      <w:pPr>
        <w:pStyle w:val="Heading1"/>
        <w:spacing w:before="280" w:after="120"/>
      </w:pPr>
      <w:r>
        <w:rPr>
          <w:rFonts w:ascii="Arial" w:hAnsi="Arial" w:eastAsia="Arial"/>
          <w:b/>
          <w:i w:val="0"/>
          <w:color w:val="17365D"/>
          <w:sz w:val="30"/>
        </w:rPr>
        <w:t>4. Intended outcomes</w:t>
      </w:r>
    </w:p>
    <w:p>
      <w:pPr>
        <w:spacing w:after="120" w:before="0" w:line="276" w:lineRule="auto"/>
      </w:pPr>
      <w:r>
        <w:rPr>
          <w:rFonts w:ascii="Arial" w:hAnsi="Arial" w:eastAsia="Arial"/>
          <w:b w:val="0"/>
          <w:i w:val="0"/>
          <w:color w:val="1F2937"/>
          <w:sz w:val="21"/>
        </w:rPr>
        <w:t>By the end of the course, participants should be able to:</w:t>
      </w:r>
    </w:p>
    <w:p>
      <w:pPr>
        <w:pStyle w:val="ListBullet"/>
        <w:spacing w:after="60" w:line="264" w:lineRule="auto"/>
      </w:pPr>
      <w:r>
        <w:rPr>
          <w:rFonts w:ascii="Arial" w:hAnsi="Arial" w:eastAsia="Arial"/>
          <w:b w:val="0"/>
          <w:i w:val="0"/>
          <w:color w:val="1F2937"/>
          <w:sz w:val="20"/>
        </w:rPr>
        <w:t>Identify stewardship and operational activities where AI can improve efficiency, consistency, insight or decision support—and recognise where direct human judgement is required.</w:t>
      </w:r>
    </w:p>
    <w:p>
      <w:pPr>
        <w:pStyle w:val="ListBullet"/>
        <w:spacing w:after="60" w:line="264" w:lineRule="auto"/>
      </w:pPr>
      <w:r>
        <w:rPr>
          <w:rFonts w:ascii="Arial" w:hAnsi="Arial" w:eastAsia="Arial"/>
          <w:b w:val="0"/>
          <w:i w:val="0"/>
          <w:color w:val="1F2937"/>
          <w:sz w:val="20"/>
        </w:rPr>
        <w:t>Frame a task with sufficient context and instructions, work iteratively with AI, and improve generated outputs.</w:t>
      </w:r>
    </w:p>
    <w:p>
      <w:pPr>
        <w:pStyle w:val="ListBullet"/>
        <w:spacing w:after="60" w:line="264" w:lineRule="auto"/>
      </w:pPr>
      <w:r>
        <w:rPr>
          <w:rFonts w:ascii="Arial" w:hAnsi="Arial" w:eastAsia="Arial"/>
          <w:b w:val="0"/>
          <w:i w:val="0"/>
          <w:color w:val="1F2937"/>
          <w:sz w:val="20"/>
        </w:rPr>
        <w:t>Verify accuracy, identify unsupported statements and decide whether an output should be accepted, revised, rejected or escalated.</w:t>
      </w:r>
    </w:p>
    <w:p>
      <w:pPr>
        <w:pStyle w:val="ListBullet"/>
        <w:spacing w:after="60" w:line="264" w:lineRule="auto"/>
      </w:pPr>
      <w:r>
        <w:rPr>
          <w:rFonts w:ascii="Arial" w:hAnsi="Arial" w:eastAsia="Arial"/>
          <w:b w:val="0"/>
          <w:i w:val="0"/>
          <w:color w:val="1F2937"/>
          <w:sz w:val="20"/>
        </w:rPr>
        <w:t>Use AI appropriately for metadata drafting, data-quality investigation, classification, summarisation, governance documentation and stakeholder communication.</w:t>
      </w:r>
    </w:p>
    <w:p>
      <w:pPr>
        <w:pStyle w:val="ListBullet"/>
        <w:spacing w:after="60" w:line="264" w:lineRule="auto"/>
      </w:pPr>
      <w:r>
        <w:rPr>
          <w:rFonts w:ascii="Arial" w:hAnsi="Arial" w:eastAsia="Arial"/>
          <w:b w:val="0"/>
          <w:i w:val="0"/>
          <w:color w:val="1F2937"/>
          <w:sz w:val="20"/>
        </w:rPr>
        <w:t>Assess whether data is documented, governed, accessible and fit for an AI-enabled use case.</w:t>
      </w:r>
    </w:p>
    <w:p>
      <w:pPr>
        <w:pStyle w:val="ListBullet"/>
        <w:spacing w:after="60" w:line="264" w:lineRule="auto"/>
      </w:pPr>
      <w:r>
        <w:rPr>
          <w:rFonts w:ascii="Arial" w:hAnsi="Arial" w:eastAsia="Arial"/>
          <w:b w:val="0"/>
          <w:i w:val="0"/>
          <w:color w:val="1F2937"/>
          <w:sz w:val="20"/>
        </w:rPr>
        <w:t>Recognise privacy, confidentiality, hallucination, bias, security, intellectual-property and over-reliance risks.</w:t>
      </w:r>
    </w:p>
    <w:p>
      <w:pPr>
        <w:pStyle w:val="ListBullet"/>
        <w:spacing w:after="60" w:line="264" w:lineRule="auto"/>
      </w:pPr>
      <w:r>
        <w:rPr>
          <w:rFonts w:ascii="Arial" w:hAnsi="Arial" w:eastAsia="Arial"/>
          <w:b w:val="0"/>
          <w:i w:val="0"/>
          <w:color w:val="1F2937"/>
          <w:sz w:val="20"/>
        </w:rPr>
        <w:t>Define human review, decision rights, audit evidence, escalation, monitoring and success measures in AI-assisted workflows.</w:t>
      </w:r>
    </w:p>
    <w:p>
      <w:pPr>
        <w:pStyle w:val="ListBullet"/>
        <w:spacing w:after="60" w:line="264" w:lineRule="auto"/>
      </w:pPr>
      <w:r>
        <w:rPr>
          <w:rFonts w:ascii="Arial" w:hAnsi="Arial" w:eastAsia="Arial"/>
          <w:b w:val="0"/>
          <w:i w:val="0"/>
          <w:color w:val="1F2937"/>
          <w:sz w:val="20"/>
        </w:rPr>
        <w:t>Evaluate purpose, data, risks, controls and success measures for all seven DIEZ digital AI initiatives.</w:t>
      </w:r>
    </w:p>
    <w:p>
      <w:pPr>
        <w:pStyle w:val="ListBullet"/>
        <w:spacing w:after="60" w:line="264" w:lineRule="auto"/>
      </w:pPr>
      <w:r>
        <w:rPr>
          <w:rFonts w:ascii="Arial" w:hAnsi="Arial" w:eastAsia="Arial"/>
          <w:b w:val="0"/>
          <w:i w:val="0"/>
          <w:color w:val="1F2937"/>
          <w:sz w:val="20"/>
        </w:rPr>
        <w:t>Translate one opportunity into a governed workflow and a practical 30-day implementation plan.</w:t>
      </w:r>
    </w:p>
    <w:p>
      <w:pPr>
        <w:pStyle w:val="Heading1"/>
        <w:spacing w:before="280" w:after="120"/>
      </w:pPr>
      <w:r>
        <w:rPr>
          <w:rFonts w:ascii="Arial" w:hAnsi="Arial" w:eastAsia="Arial"/>
          <w:b/>
          <w:i w:val="0"/>
          <w:color w:val="17365D"/>
          <w:sz w:val="30"/>
        </w:rPr>
        <w:t>5. DIEZ initiative coverage</w:t>
      </w:r>
    </w:p>
    <w:p>
      <w:pPr>
        <w:spacing w:after="120" w:before="0" w:line="276" w:lineRule="auto"/>
      </w:pPr>
      <w:r>
        <w:rPr>
          <w:rFonts w:ascii="Arial" w:hAnsi="Arial" w:eastAsia="Arial"/>
          <w:b w:val="0"/>
          <w:i w:val="0"/>
          <w:color w:val="1F2937"/>
          <w:sz w:val="21"/>
        </w:rPr>
        <w:t>The seven initiatives below are used as recurring case studies, exercises and capstone options. Participants examine each initiative through the same lenses: business purpose, required data, readiness, likely risks, human role, controls and measures of success.</w:t>
      </w:r>
    </w:p>
    <w:tbl>
      <w:tblPr>
        <w:tblW w:type="auto" w:w="0"/>
        <w:jc w:val="center"/>
        <w:tblLayout w:type="fixed"/>
        <w:tblLook w:firstColumn="1" w:firstRow="1" w:lastColumn="0" w:lastRow="0" w:noHBand="0" w:noVBand="1" w:val="04A0"/>
      </w:tblPr>
      <w:tblGrid>
        <w:gridCol w:w="3389"/>
        <w:gridCol w:w="3389"/>
        <w:gridCol w:w="3389"/>
      </w:tblGrid>
      <w:tr>
        <w:tc>
          <w:tcPr>
            <w:tcW w:type="dxa" w:w="1944"/>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6"/>
              </w:rPr>
              <w:t>DIEZ initiative</w:t>
            </w:r>
          </w:p>
        </w:tc>
        <w:tc>
          <w:tcPr>
            <w:tcW w:type="dxa" w:w="4968"/>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6"/>
              </w:rPr>
              <w:t>Stewardship / responsible-AI lens</w:t>
            </w:r>
          </w:p>
        </w:tc>
        <w:tc>
          <w:tcPr>
            <w:tcW w:type="dxa" w:w="2736"/>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6"/>
              </w:rPr>
              <w:t>Example evidence</w:t>
            </w:r>
          </w:p>
        </w:tc>
      </w:tr>
      <w:tr>
        <w:tc>
          <w:tcPr>
            <w:tcW w:type="dxa" w:w="1944"/>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Customer Segmentation</w:t>
            </w:r>
          </w:p>
        </w:tc>
        <w:tc>
          <w:tcPr>
            <w:tcW w:type="dxa" w:w="496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Completeness, representation, segment validity, historical bias and business interpretation.</w:t>
            </w:r>
          </w:p>
        </w:tc>
        <w:tc>
          <w:tcPr>
            <w:tcW w:type="dxa" w:w="2736"/>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Segment review and data-readiness notes.</w:t>
            </w:r>
          </w:p>
        </w:tc>
      </w:tr>
      <w:tr>
        <w:tc>
          <w:tcPr>
            <w:tcW w:type="dxa" w:w="1944"/>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Sentiment Analysis</w:t>
            </w:r>
          </w:p>
        </w:tc>
        <w:tc>
          <w:tcPr>
            <w:tcW w:type="dxa" w:w="496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Language and context, confidence, false interpretation, multilingual considerations and trend validation.</w:t>
            </w:r>
          </w:p>
        </w:tc>
        <w:tc>
          <w:tcPr>
            <w:tcW w:type="dxa" w:w="2736"/>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Reviewed sentiment summary and validation log.</w:t>
            </w:r>
          </w:p>
        </w:tc>
      </w:tr>
      <w:tr>
        <w:tc>
          <w:tcPr>
            <w:tcW w:type="dxa" w:w="1944"/>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Customer Churn Prediction</w:t>
            </w:r>
          </w:p>
        </w:tc>
        <w:tc>
          <w:tcPr>
            <w:tcW w:type="dxa" w:w="496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Probability rather than certainty, fairness, intervention rules, outcomes and human approval.</w:t>
            </w:r>
          </w:p>
        </w:tc>
        <w:tc>
          <w:tcPr>
            <w:tcW w:type="dxa" w:w="2736"/>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Use-case canvas and intervention control.</w:t>
            </w:r>
          </w:p>
        </w:tc>
      </w:tr>
      <w:tr>
        <w:tc>
          <w:tcPr>
            <w:tcW w:type="dxa" w:w="1944"/>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Content Moderation</w:t>
            </w:r>
          </w:p>
        </w:tc>
        <w:tc>
          <w:tcPr>
            <w:tcW w:type="dxa" w:w="496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Policy translation, classification errors, confidence thresholds, sensitive content, exception handling and escalation.</w:t>
            </w:r>
          </w:p>
        </w:tc>
        <w:tc>
          <w:tcPr>
            <w:tcW w:type="dxa" w:w="2736"/>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Safe-use checklist and escalation map.</w:t>
            </w:r>
          </w:p>
        </w:tc>
      </w:tr>
      <w:tr>
        <w:tc>
          <w:tcPr>
            <w:tcW w:type="dxa" w:w="1944"/>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Partner IQ</w:t>
            </w:r>
          </w:p>
        </w:tc>
        <w:tc>
          <w:tcPr>
            <w:tcW w:type="dxa" w:w="496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Matching criteria, ranking bias, explainability, conflicts, human judgement and partnership outcomes.</w:t>
            </w:r>
          </w:p>
        </w:tc>
        <w:tc>
          <w:tcPr>
            <w:tcW w:type="dxa" w:w="2736"/>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Matching-criteria review and decision-rights map.</w:t>
            </w:r>
          </w:p>
        </w:tc>
      </w:tr>
      <w:tr>
        <w:tc>
          <w:tcPr>
            <w:tcW w:type="dxa" w:w="1944"/>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Copilot</w:t>
            </w:r>
          </w:p>
        </w:tc>
        <w:tc>
          <w:tcPr>
            <w:tcW w:type="dxa" w:w="496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Prompting, authorised data, confidentiality, source checking, output verification and accountability.</w:t>
            </w:r>
          </w:p>
        </w:tc>
        <w:tc>
          <w:tcPr>
            <w:tcW w:type="dxa" w:w="2736"/>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Tested prompt pattern and verification record.</w:t>
            </w:r>
          </w:p>
        </w:tc>
      </w:tr>
      <w:tr>
        <w:tc>
          <w:tcPr>
            <w:tcW w:type="dxa" w:w="1944"/>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Document Intelligence</w:t>
            </w:r>
          </w:p>
        </w:tc>
        <w:tc>
          <w:tcPr>
            <w:tcW w:type="dxa" w:w="496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Extraction accuracy, missing information, confidence, evidence retention, privacy and exception workflows.</w:t>
            </w:r>
          </w:p>
        </w:tc>
        <w:tc>
          <w:tcPr>
            <w:tcW w:type="dxa" w:w="2736"/>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Extraction QA record and exception workflow.</w:t>
            </w:r>
          </w:p>
        </w:tc>
      </w:tr>
    </w:tbl>
    <w:p>
      <w:pPr>
        <w:spacing w:after="20"/>
      </w:pPr>
    </w:p>
    <w:p>
      <w:r>
        <w:br w:type="page"/>
      </w:r>
    </w:p>
    <w:p>
      <w:pPr>
        <w:pStyle w:val="Heading1"/>
        <w:spacing w:before="280" w:after="120"/>
      </w:pPr>
      <w:r>
        <w:rPr>
          <w:rFonts w:ascii="Arial" w:hAnsi="Arial" w:eastAsia="Arial"/>
          <w:b/>
          <w:i w:val="0"/>
          <w:color w:val="17365D"/>
          <w:sz w:val="30"/>
        </w:rPr>
        <w:t>6. Detailed four-day delivery plan</w:t>
      </w:r>
    </w:p>
    <w:p>
      <w:pPr>
        <w:spacing w:after="120" w:before="0" w:line="276" w:lineRule="auto"/>
      </w:pPr>
      <w:r>
        <w:rPr>
          <w:rFonts w:ascii="Arial" w:hAnsi="Arial" w:eastAsia="Arial"/>
          <w:b w:val="0"/>
          <w:i w:val="0"/>
          <w:color w:val="1F2937"/>
          <w:sz w:val="21"/>
        </w:rPr>
        <w:t>The timetable below assumes a 09:00–16:30 day with a 60-minute lunch and two short breaks. Timings are indicative and should be tuned after the baseline diagnostic and confirmation of cohort size, approved tools and DIEZ scenarios.</w:t>
      </w:r>
    </w:p>
    <w:p>
      <w:pPr>
        <w:pStyle w:val="Heading2"/>
        <w:spacing w:before="180" w:after="120"/>
      </w:pPr>
      <w:r>
        <w:rPr>
          <w:rFonts w:ascii="Arial" w:hAnsi="Arial" w:eastAsia="Arial"/>
          <w:b/>
          <w:i w:val="0"/>
          <w:color w:val="0F6B78"/>
          <w:sz w:val="23"/>
        </w:rPr>
        <w:t>Day 1 — Understand and identify</w:t>
      </w:r>
    </w:p>
    <w:p>
      <w:pPr>
        <w:spacing w:after="100" w:before="0" w:line="276" w:lineRule="auto"/>
      </w:pPr>
      <w:r>
        <w:rPr>
          <w:rFonts w:ascii="Arial" w:hAnsi="Arial" w:eastAsia="Arial"/>
          <w:b w:val="0"/>
          <w:i w:val="0"/>
          <w:color w:val="1F2937"/>
          <w:sz w:val="20"/>
        </w:rPr>
        <w:t>Day purpose: Build a shared mental model of AI, connect it to the data-steward role, and select worthwhile opportunities.</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123"/>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Time</w:t>
            </w:r>
          </w:p>
        </w:tc>
        <w:tc>
          <w:tcPr>
            <w:tcW w:type="dxa" w:w="2232"/>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Session</w:t>
            </w:r>
          </w:p>
        </w:tc>
        <w:tc>
          <w:tcPr>
            <w:tcW w:type="dxa" w:w="432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Learning and application</w:t>
            </w:r>
          </w:p>
        </w:tc>
        <w:tc>
          <w:tcPr>
            <w:tcW w:type="dxa" w:w="1757"/>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Participant output</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09:00–09:30</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Welcome, diagnostic read-out and learning contract</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Review baseline themes; set responsible-use expectations; introduce the evidence portfolio.</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Personal success criteria and learning contract</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09:30–10:45</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AI essentials for data stewards</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Capabilities and limits; generative vs predictive AI; hallucination; confidence; human accountability.</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Annotated AI concepts sheet</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11:00–12:15</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Enterprise AI and opportunity selection</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Compare productivity tasks with process-level opportunities; map value, feasibility and risk.</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DIEZ AI initiative map</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12:15–13:00</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Demonstration: from context to verified output</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Model the working discipline: context → instruct → review → verify → decide → document.</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Observation notes</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14:00–15:15</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Applied lab: prompting and context</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Iterate on a familiar stewardship task using safe or simulated information; compare weak and improved instructions.</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Tested prompt pattern</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15:30–16:30</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Opportunity clinic and evidence capture</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Prioritise one role-relevant opportunity using value, readiness and risk prompts.</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AI Opportunity Map</w:t>
            </w:r>
          </w:p>
        </w:tc>
      </w:tr>
    </w:tbl>
    <w:p>
      <w:pPr>
        <w:spacing w:after="20"/>
      </w:pPr>
    </w:p>
    <w:p>
      <w:pPr>
        <w:spacing w:before="40" w:after="120"/>
      </w:pPr>
      <w:r>
        <w:rPr>
          <w:rFonts w:ascii="Arial" w:hAnsi="Arial" w:eastAsia="Arial"/>
          <w:b w:val="0"/>
          <w:i/>
          <w:color w:val="666666"/>
          <w:sz w:val="16"/>
        </w:rPr>
        <w:t>Day 1 evidence: DIEZ AI initiative map, AI Opportunity Map and tested working pattern.</w:t>
      </w:r>
    </w:p>
    <w:p>
      <w:pPr>
        <w:pStyle w:val="Heading2"/>
        <w:spacing w:before="180" w:after="120"/>
      </w:pPr>
      <w:r>
        <w:rPr>
          <w:rFonts w:ascii="Arial" w:hAnsi="Arial" w:eastAsia="Arial"/>
          <w:b/>
          <w:i w:val="0"/>
          <w:color w:val="0F6B78"/>
          <w:sz w:val="23"/>
        </w:rPr>
        <w:t>Day 2 — Apply to DIEZ initiatives</w:t>
      </w:r>
    </w:p>
    <w:p>
      <w:pPr>
        <w:spacing w:after="100" w:before="0" w:line="276" w:lineRule="auto"/>
      </w:pPr>
      <w:r>
        <w:rPr>
          <w:rFonts w:ascii="Arial" w:hAnsi="Arial" w:eastAsia="Arial"/>
          <w:b w:val="0"/>
          <w:i w:val="0"/>
          <w:color w:val="1F2937"/>
          <w:sz w:val="20"/>
        </w:rPr>
        <w:t>Day purpose: Practise AI-assisted stewardship work and assess data readiness across DIEZ-relevant use cases.</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123"/>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Time</w:t>
            </w:r>
          </w:p>
        </w:tc>
        <w:tc>
          <w:tcPr>
            <w:tcW w:type="dxa" w:w="2232"/>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Session</w:t>
            </w:r>
          </w:p>
        </w:tc>
        <w:tc>
          <w:tcPr>
            <w:tcW w:type="dxa" w:w="432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Learning and application</w:t>
            </w:r>
          </w:p>
        </w:tc>
        <w:tc>
          <w:tcPr>
            <w:tcW w:type="dxa" w:w="1757"/>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Participant output</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09:00–09:20</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Recap and challenge</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Revisit Day 1 evidence; diagnose one example of a plausible but unsupported output.</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Corrected output note</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09:20–10:35</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Data readiness and problem framing</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Assess documentation, governance, access, quality, representation and fit-for-purpose conditions.</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AI and Data Readiness Checklist</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10:50–12:00</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Lab A: segmentation and sentiment</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Review a simulated dataset and feedback sample; identify missing context, bias and validation needs.</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Reviewed segment and sentiment artefacts</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12:00–13:00</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Lab B: churn and Partner IQ</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Frame prediction and matching use cases; distinguish probability/ranking from certainty or entitlement.</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Use-case feasibility notes</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14:00–15:15</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Lab C: Document Intelligence and Copilot</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Draft metadata; investigate a quality issue; summarise findings; prepare stakeholder communication.</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Metadata, quality and communication artefacts</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15:30–16:30</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Use-case prioritisation</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Compare all seven initiatives; select a candidate for the capstone using purpose, data, risk and value.</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Prioritised DIEZ use case</w:t>
            </w:r>
          </w:p>
        </w:tc>
      </w:tr>
    </w:tbl>
    <w:p>
      <w:pPr>
        <w:spacing w:after="20"/>
      </w:pPr>
    </w:p>
    <w:p>
      <w:pPr>
        <w:spacing w:before="40" w:after="120"/>
      </w:pPr>
      <w:r>
        <w:rPr>
          <w:rFonts w:ascii="Arial" w:hAnsi="Arial" w:eastAsia="Arial"/>
          <w:b w:val="0"/>
          <w:i/>
          <w:color w:val="666666"/>
          <w:sz w:val="16"/>
        </w:rPr>
        <w:t>Day 2 evidence: AI and Data Readiness Checklist, reviewed stewardship artefacts and prioritised DIEZ use case.</w:t>
      </w:r>
    </w:p>
    <w:p>
      <w:pPr>
        <w:pStyle w:val="Heading2"/>
        <w:spacing w:before="180" w:after="120"/>
      </w:pPr>
      <w:r>
        <w:rPr>
          <w:rFonts w:ascii="Arial" w:hAnsi="Arial" w:eastAsia="Arial"/>
          <w:b/>
          <w:i w:val="0"/>
          <w:color w:val="0F6B78"/>
          <w:sz w:val="23"/>
        </w:rPr>
        <w:t>Day 3 — Verify and govern</w:t>
      </w:r>
    </w:p>
    <w:p>
      <w:pPr>
        <w:spacing w:after="100" w:before="0" w:line="276" w:lineRule="auto"/>
      </w:pPr>
      <w:r>
        <w:rPr>
          <w:rFonts w:ascii="Arial" w:hAnsi="Arial" w:eastAsia="Arial"/>
          <w:b w:val="0"/>
          <w:i w:val="0"/>
          <w:color w:val="1F2937"/>
          <w:sz w:val="20"/>
        </w:rPr>
        <w:t>Day purpose: Make responsible AI controls explicit and design safe, reviewable workflows.</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123"/>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Time</w:t>
            </w:r>
          </w:p>
        </w:tc>
        <w:tc>
          <w:tcPr>
            <w:tcW w:type="dxa" w:w="2232"/>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Session</w:t>
            </w:r>
          </w:p>
        </w:tc>
        <w:tc>
          <w:tcPr>
            <w:tcW w:type="dxa" w:w="432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Learning and application</w:t>
            </w:r>
          </w:p>
        </w:tc>
        <w:tc>
          <w:tcPr>
            <w:tcW w:type="dxa" w:w="1757"/>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Participant output</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09:00–09:20</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Recap: what makes an output trustworthy?</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Peer review of Day 2 artefacts against evidence and acceptance criteria.</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Peer-review record</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09:20–10:35</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Responsible AI for operational use</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Privacy, confidentiality, security, bias, explainability, IP, over-reliance and evidence retention.</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Risk prompt card</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10:50–12:00</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Lab: Content Moderation case</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Translate policy into a classification task; test false positives/negatives, thresholds and exception paths.</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Content-moderation risk review</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12:00–13:00</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Lab: Copilot control patterns</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Authorised data, source checking, prompt hygiene, accountability and appropriate task selection.</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AI Safe Use Checklist</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14:00–15:15</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Human review, decision rights and escalation</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Design who reviews what, when to stop, what evidence is kept and who decides.</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Human review workflow and escalation map</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15:30–16:30</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Cross-initiative governance clinic</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Stress-test the candidate capstone against risk, control and monitoring questions.</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Governed workflow outline</w:t>
            </w:r>
          </w:p>
        </w:tc>
      </w:tr>
    </w:tbl>
    <w:p>
      <w:pPr>
        <w:spacing w:after="20"/>
      </w:pPr>
    </w:p>
    <w:p>
      <w:pPr>
        <w:spacing w:before="40" w:after="120"/>
      </w:pPr>
      <w:r>
        <w:rPr>
          <w:rFonts w:ascii="Arial" w:hAnsi="Arial" w:eastAsia="Arial"/>
          <w:b w:val="0"/>
          <w:i/>
          <w:color w:val="666666"/>
          <w:sz w:val="16"/>
        </w:rPr>
        <w:t>Day 3 evidence: AI Safe Use Checklist, initiative risk review, human review workflow and escalation map.</w:t>
      </w:r>
    </w:p>
    <w:p>
      <w:pPr>
        <w:pStyle w:val="Heading2"/>
        <w:spacing w:before="180" w:after="120"/>
      </w:pPr>
      <w:r>
        <w:rPr>
          <w:rFonts w:ascii="Arial" w:hAnsi="Arial" w:eastAsia="Arial"/>
          <w:b/>
          <w:i w:val="0"/>
          <w:color w:val="0F6B78"/>
          <w:sz w:val="23"/>
        </w:rPr>
        <w:t>Day 4 — Implement and demonstrate</w:t>
      </w:r>
    </w:p>
    <w:p>
      <w:pPr>
        <w:spacing w:after="100" w:before="0" w:line="276" w:lineRule="auto"/>
      </w:pPr>
      <w:r>
        <w:rPr>
          <w:rFonts w:ascii="Arial" w:hAnsi="Arial" w:eastAsia="Arial"/>
          <w:b w:val="0"/>
          <w:i w:val="0"/>
          <w:color w:val="1F2937"/>
          <w:sz w:val="20"/>
        </w:rPr>
        <w:t>Day purpose: Integrate the learning into a governed workflow, demonstrate value and plan workplace application.</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123"/>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Time</w:t>
            </w:r>
          </w:p>
        </w:tc>
        <w:tc>
          <w:tcPr>
            <w:tcW w:type="dxa" w:w="2232"/>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Session</w:t>
            </w:r>
          </w:p>
        </w:tc>
        <w:tc>
          <w:tcPr>
            <w:tcW w:type="dxa" w:w="432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Learning and application</w:t>
            </w:r>
          </w:p>
        </w:tc>
        <w:tc>
          <w:tcPr>
            <w:tcW w:type="dxa" w:w="1757"/>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Participant output</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09:00–09:30</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Capstone briefing and assessment criteria</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Review rubric, evidence expectations, peer-review protocol and presentation format.</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Capstone plan</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09:30–11:00</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Workflow design studio</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Build the end-to-end flow: input → AI assistance → human review → decision → evidence → action → monitoring.</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Draft governed workflow</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11:15–12:45</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Implementation and adoption</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Define users, change impacts, enablement, operating controls, dependencies and measures.</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Implementation canvas</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13:45–15:00</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Peer review and refinement</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Use shared criteria to challenge problem framing, data readiness, controls and value.</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Peer feedback record</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15:00–15:45</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Capstone demonstrations</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Present the governed workflow and explain responsible-use decisions.</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Assessed capstone</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15:45–16:30</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Post-assessment and 30-day application plan</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Complete scenario-based assessment; commit to a workplace experiment and evidence plan.</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Post-assessment, CMI evidence portfolio and 30-day plan</w:t>
            </w:r>
          </w:p>
        </w:tc>
      </w:tr>
    </w:tbl>
    <w:p>
      <w:pPr>
        <w:spacing w:after="20"/>
      </w:pPr>
    </w:p>
    <w:p>
      <w:pPr>
        <w:spacing w:before="40" w:after="120"/>
      </w:pPr>
      <w:r>
        <w:rPr>
          <w:rFonts w:ascii="Arial" w:hAnsi="Arial" w:eastAsia="Arial"/>
          <w:b w:val="0"/>
          <w:i/>
          <w:color w:val="666666"/>
          <w:sz w:val="16"/>
        </w:rPr>
        <w:t>Day 4 evidence: governed AI-assisted workflow, capstone assessment, post-assessment, CMI-aligned evidence portfolio and 30-day application plan.</w:t>
      </w:r>
    </w:p>
    <w:p>
      <w:pPr>
        <w:pStyle w:val="Heading1"/>
        <w:spacing w:before="280" w:after="120"/>
      </w:pPr>
      <w:r>
        <w:rPr>
          <w:rFonts w:ascii="Arial" w:hAnsi="Arial" w:eastAsia="Arial"/>
          <w:b/>
          <w:i w:val="0"/>
          <w:color w:val="17365D"/>
          <w:sz w:val="30"/>
        </w:rPr>
        <w:t>7. Capstone design</w:t>
      </w:r>
    </w:p>
    <w:p>
      <w:pPr>
        <w:spacing w:after="120" w:before="0" w:line="276" w:lineRule="auto"/>
      </w:pPr>
      <w:r>
        <w:rPr>
          <w:rFonts w:ascii="Arial" w:hAnsi="Arial" w:eastAsia="Arial"/>
          <w:b w:val="0"/>
          <w:i w:val="0"/>
          <w:color w:val="1F2937"/>
          <w:sz w:val="21"/>
        </w:rPr>
        <w:t>Each participant or small group develops one governed AI-assisted workflow from a DIEZ-relevant scenario. Capstones should be operationally credible without requiring production data or a production deployment.</w:t>
      </w:r>
    </w:p>
    <w:tbl>
      <w:tblPr>
        <w:tblW w:type="auto" w:w="0"/>
        <w:jc w:val="center"/>
        <w:tblLayout w:type="fixed"/>
        <w:tblLook w:firstColumn="1" w:firstRow="1" w:lastColumn="0" w:lastRow="0" w:noHBand="0" w:noVBand="1" w:val="04A0"/>
      </w:tblPr>
      <w:tblGrid>
        <w:gridCol w:w="3389"/>
        <w:gridCol w:w="3389"/>
        <w:gridCol w:w="3389"/>
      </w:tblGrid>
      <w:tr>
        <w:tc>
          <w:tcPr>
            <w:tcW w:type="dxa" w:w="180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Capstone component</w:t>
            </w:r>
          </w:p>
        </w:tc>
        <w:tc>
          <w:tcPr>
            <w:tcW w:type="dxa" w:w="432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Required question</w:t>
            </w:r>
          </w:p>
        </w:tc>
        <w:tc>
          <w:tcPr>
            <w:tcW w:type="dxa" w:w="3312"/>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Minimum evidence</w:t>
            </w:r>
          </w:p>
        </w:tc>
      </w:tr>
      <w:tr>
        <w:tc>
          <w:tcPr>
            <w:tcW w:type="dxa" w:w="180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Business problem</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What outcome or service issue is being improved?</w:t>
            </w:r>
          </w:p>
        </w:tc>
        <w:tc>
          <w:tcPr>
            <w:tcW w:type="dxa" w:w="331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Problem statement and affected users.</w:t>
            </w:r>
          </w:p>
        </w:tc>
      </w:tr>
      <w:tr>
        <w:tc>
          <w:tcPr>
            <w:tcW w:type="dxa" w:w="180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AI opportunity</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What will AI assist with, and what remains human-owned?</w:t>
            </w:r>
          </w:p>
        </w:tc>
        <w:tc>
          <w:tcPr>
            <w:tcW w:type="dxa" w:w="331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Task boundary and human-accountability statement.</w:t>
            </w:r>
          </w:p>
        </w:tc>
      </w:tr>
      <w:tr>
        <w:tc>
          <w:tcPr>
            <w:tcW w:type="dxa" w:w="180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Data readiness</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Is the data documented, governed, accessible and fit for purpose?</w:t>
            </w:r>
          </w:p>
        </w:tc>
        <w:tc>
          <w:tcPr>
            <w:tcW w:type="dxa" w:w="331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Readiness checklist and gaps.</w:t>
            </w:r>
          </w:p>
        </w:tc>
      </w:tr>
      <w:tr>
        <w:tc>
          <w:tcPr>
            <w:tcW w:type="dxa" w:w="180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Risk and controls</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What could go wrong, and what controls reduce the risk?</w:t>
            </w:r>
          </w:p>
        </w:tc>
        <w:tc>
          <w:tcPr>
            <w:tcW w:type="dxa" w:w="331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Risk review, safe-use decisions and evidence rules.</w:t>
            </w:r>
          </w:p>
        </w:tc>
      </w:tr>
      <w:tr>
        <w:tc>
          <w:tcPr>
            <w:tcW w:type="dxa" w:w="180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Human oversight</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Who reviews, decides, approves exceptions and escalates?</w:t>
            </w:r>
          </w:p>
        </w:tc>
        <w:tc>
          <w:tcPr>
            <w:tcW w:type="dxa" w:w="331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Decision-rights and escalation map.</w:t>
            </w:r>
          </w:p>
        </w:tc>
      </w:tr>
      <w:tr>
        <w:tc>
          <w:tcPr>
            <w:tcW w:type="dxa" w:w="180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Workflow</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How does the work run end to end?</w:t>
            </w:r>
          </w:p>
        </w:tc>
        <w:tc>
          <w:tcPr>
            <w:tcW w:type="dxa" w:w="331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Input → assistance → review → decision → evidence → action → monitoring.</w:t>
            </w:r>
          </w:p>
        </w:tc>
      </w:tr>
      <w:tr>
        <w:tc>
          <w:tcPr>
            <w:tcW w:type="dxa" w:w="180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Implementation</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What is needed to adopt this safely?</w:t>
            </w:r>
          </w:p>
        </w:tc>
        <w:tc>
          <w:tcPr>
            <w:tcW w:type="dxa" w:w="331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Dependencies, roles, change actions and 30-day experiment.</w:t>
            </w:r>
          </w:p>
        </w:tc>
      </w:tr>
      <w:tr>
        <w:tc>
          <w:tcPr>
            <w:tcW w:type="dxa" w:w="180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Measures</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How will value, quality, safety and adoption be monitored?</w:t>
            </w:r>
          </w:p>
        </w:tc>
        <w:tc>
          <w:tcPr>
            <w:tcW w:type="dxa" w:w="331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Leading and lagging indicators.</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EEF5FB"/>
            <w:tcBorders>
              <w:top w:val="single" w:sz="4" w:color="EEF5FB"/>
              <w:left w:val="single" w:sz="18" w:color="2F75B5"/>
              <w:bottom w:val="single" w:sz="4" w:color="EEF5FB"/>
              <w:right w:val="single" w:sz="4" w:color="EEF5FB"/>
            </w:tcBorders>
            <w:tcMar>
              <w:top w:w="130" w:type="dxa"/>
              <w:start w:w="160" w:type="dxa"/>
              <w:bottom w:w="130" w:type="dxa"/>
              <w:end w:w="160" w:type="dxa"/>
            </w:tcMar>
          </w:tcPr>
          <w:p>
            <w:pPr>
              <w:spacing w:after="60"/>
            </w:pPr>
            <w:r/>
            <w:r>
              <w:rPr>
                <w:rFonts w:ascii="Arial" w:hAnsi="Arial" w:eastAsia="Arial"/>
                <w:b/>
                <w:i w:val="0"/>
                <w:color w:val="17365D"/>
                <w:sz w:val="21"/>
              </w:rPr>
              <w:t>Recommended capstone scenarios</w:t>
            </w:r>
          </w:p>
          <w:p>
            <w:pPr>
              <w:spacing w:after="0" w:line="264" w:lineRule="auto"/>
            </w:pPr>
            <w:r>
              <w:rPr>
                <w:rFonts w:ascii="Arial" w:hAnsi="Arial" w:eastAsia="Arial"/>
                <w:b w:val="0"/>
                <w:i w:val="0"/>
                <w:color w:val="1F2937"/>
                <w:sz w:val="19"/>
              </w:rPr>
              <w:t>Leasing operations; real-estate pricing support; government-service request handling; customer growth or retention; compliance triage; operational document processing. Final scenario pack to be confirmed with DIEZ.</w:t>
            </w:r>
          </w:p>
        </w:tc>
      </w:tr>
    </w:tbl>
    <w:p>
      <w:pPr>
        <w:spacing w:after="0"/>
      </w:pPr>
    </w:p>
    <w:p>
      <w:pPr>
        <w:pStyle w:val="Heading1"/>
        <w:spacing w:before="280" w:after="120"/>
      </w:pPr>
      <w:r>
        <w:rPr>
          <w:rFonts w:ascii="Arial" w:hAnsi="Arial" w:eastAsia="Arial"/>
          <w:b/>
          <w:i w:val="0"/>
          <w:color w:val="17365D"/>
          <w:sz w:val="30"/>
        </w:rPr>
        <w:t>8. Assessment and evidence model</w:t>
      </w:r>
    </w:p>
    <w:p>
      <w:pPr>
        <w:spacing w:after="120" w:before="0" w:line="276" w:lineRule="auto"/>
      </w:pPr>
      <w:r>
        <w:rPr>
          <w:rFonts w:ascii="Arial" w:hAnsi="Arial" w:eastAsia="Arial"/>
          <w:b w:val="0"/>
          <w:i w:val="0"/>
          <w:color w:val="1F2937"/>
          <w:sz w:val="21"/>
        </w:rPr>
        <w:t>Assessment is developmental and evidence-based. The pre-assessment is not a pass/fail gate; it calibrates the cohort and establishes a baseline.</w:t>
      </w:r>
    </w:p>
    <w:tbl>
      <w:tblPr>
        <w:tblW w:type="auto" w:w="0"/>
        <w:jc w:val="center"/>
        <w:tblLayout w:type="fixed"/>
        <w:tblLook w:firstColumn="1" w:firstRow="1" w:lastColumn="0" w:lastRow="0" w:noHBand="0" w:noVBand="1" w:val="04A0"/>
      </w:tblPr>
      <w:tblGrid>
        <w:gridCol w:w="3389"/>
        <w:gridCol w:w="3389"/>
        <w:gridCol w:w="3389"/>
      </w:tblGrid>
      <w:tr>
        <w:tc>
          <w:tcPr>
            <w:tcW w:type="dxa" w:w="1368"/>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Stage</w:t>
            </w:r>
          </w:p>
        </w:tc>
        <w:tc>
          <w:tcPr>
            <w:tcW w:type="dxa" w:w="3672"/>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Method</w:t>
            </w:r>
          </w:p>
        </w:tc>
        <w:tc>
          <w:tcPr>
            <w:tcW w:type="dxa" w:w="4392"/>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Evidence / purpose</w:t>
            </w:r>
          </w:p>
        </w:tc>
      </w:tr>
      <w:tr>
        <w:tc>
          <w:tcPr>
            <w:tcW w:type="dxa" w:w="136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Before</w:t>
            </w:r>
          </w:p>
        </w:tc>
        <w:tc>
          <w:tcPr>
            <w:tcW w:type="dxa" w:w="367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30–45 minute diagnostic, confidence survey and nominated recurring task.</w:t>
            </w:r>
          </w:p>
        </w:tc>
        <w:tc>
          <w:tcPr>
            <w:tcW w:type="dxa" w:w="439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Baseline of AI familiarity, limitations awareness, data-governance awareness and candidate opportunity.</w:t>
            </w:r>
          </w:p>
        </w:tc>
      </w:tr>
      <w:tr>
        <w:tc>
          <w:tcPr>
            <w:tcW w:type="dxa" w:w="136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During</w:t>
            </w:r>
          </w:p>
        </w:tc>
        <w:tc>
          <w:tcPr>
            <w:tcW w:type="dxa" w:w="367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Facilitator observation, peer review, pulse checks, daily artefact checks and scenario challenges.</w:t>
            </w:r>
          </w:p>
        </w:tc>
        <w:tc>
          <w:tcPr>
            <w:tcW w:type="dxa" w:w="439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Checks conceptual understanding and practical stewardship decisions as they develop.</w:t>
            </w:r>
          </w:p>
        </w:tc>
      </w:tr>
      <w:tr>
        <w:tc>
          <w:tcPr>
            <w:tcW w:type="dxa" w:w="136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Final</w:t>
            </w:r>
          </w:p>
        </w:tc>
        <w:tc>
          <w:tcPr>
            <w:tcW w:type="dxa" w:w="367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Scenario-based post-assessment, capstone review and 30-day transfer plan.</w:t>
            </w:r>
          </w:p>
        </w:tc>
        <w:tc>
          <w:tcPr>
            <w:tcW w:type="dxa" w:w="439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Measures progress from baseline and confirms the participant can design a responsible AI-assisted workflow.</w:t>
            </w:r>
          </w:p>
        </w:tc>
      </w:tr>
      <w:tr>
        <w:tc>
          <w:tcPr>
            <w:tcW w:type="dxa" w:w="136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Optional follow-up</w:t>
            </w:r>
          </w:p>
        </w:tc>
        <w:tc>
          <w:tcPr>
            <w:tcW w:type="dxa" w:w="367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Manager check-in or community-of-practice session after 30 days.</w:t>
            </w:r>
          </w:p>
        </w:tc>
        <w:tc>
          <w:tcPr>
            <w:tcW w:type="dxa" w:w="439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Captures implementation progress, blockers and evidence of adoption.</w:t>
            </w:r>
          </w:p>
        </w:tc>
      </w:tr>
    </w:tbl>
    <w:p>
      <w:pPr>
        <w:spacing w:after="20"/>
      </w:pPr>
    </w:p>
    <w:p>
      <w:pPr>
        <w:pStyle w:val="Heading2"/>
        <w:spacing w:before="180" w:after="120"/>
      </w:pPr>
      <w:r>
        <w:rPr>
          <w:rFonts w:ascii="Arial" w:hAnsi="Arial" w:eastAsia="Arial"/>
          <w:b/>
          <w:i w:val="0"/>
          <w:color w:val="0F6B78"/>
          <w:sz w:val="23"/>
        </w:rPr>
        <w:t>Suggested capstone rubric (to confirm with DIEZ)</w:t>
      </w:r>
    </w:p>
    <w:tbl>
      <w:tblPr>
        <w:tblW w:type="auto" w:w="0"/>
        <w:jc w:val="center"/>
        <w:tblLayout w:type="fixed"/>
        <w:tblLook w:firstColumn="1" w:firstRow="1" w:lastColumn="0" w:lastRow="0" w:noHBand="0" w:noVBand="1" w:val="04A0"/>
      </w:tblPr>
      <w:tblGrid>
        <w:gridCol w:w="3389"/>
        <w:gridCol w:w="3389"/>
        <w:gridCol w:w="3389"/>
      </w:tblGrid>
      <w:tr>
        <w:tc>
          <w:tcPr>
            <w:tcW w:type="dxa" w:w="252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Criterion</w:t>
            </w:r>
          </w:p>
        </w:tc>
        <w:tc>
          <w:tcPr>
            <w:tcW w:type="dxa" w:w="1152"/>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Weight</w:t>
            </w:r>
          </w:p>
        </w:tc>
        <w:tc>
          <w:tcPr>
            <w:tcW w:type="dxa" w:w="576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What good looks like</w:t>
            </w:r>
          </w:p>
        </w:tc>
      </w:tr>
      <w:tr>
        <w:tc>
          <w:tcPr>
            <w:tcW w:type="dxa" w:w="25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Problem framing and value</w:t>
            </w:r>
          </w:p>
        </w:tc>
        <w:tc>
          <w:tcPr>
            <w:tcW w:type="dxa" w:w="115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20%</w:t>
            </w:r>
          </w:p>
        </w:tc>
        <w:tc>
          <w:tcPr>
            <w:tcW w:type="dxa" w:w="576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Specific user or process problem; credible benefit; appropriate AI boundary.</w:t>
            </w:r>
          </w:p>
        </w:tc>
      </w:tr>
      <w:tr>
        <w:tc>
          <w:tcPr>
            <w:tcW w:type="dxa" w:w="25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Data readiness</w:t>
            </w:r>
          </w:p>
        </w:tc>
        <w:tc>
          <w:tcPr>
            <w:tcW w:type="dxa" w:w="115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20%</w:t>
            </w:r>
          </w:p>
        </w:tc>
        <w:tc>
          <w:tcPr>
            <w:tcW w:type="dxa" w:w="576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Data documentation, access, quality and representation are assessed with gaps stated.</w:t>
            </w:r>
          </w:p>
        </w:tc>
      </w:tr>
      <w:tr>
        <w:tc>
          <w:tcPr>
            <w:tcW w:type="dxa" w:w="25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Responsible controls</w:t>
            </w:r>
          </w:p>
        </w:tc>
        <w:tc>
          <w:tcPr>
            <w:tcW w:type="dxa" w:w="115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25%</w:t>
            </w:r>
          </w:p>
        </w:tc>
        <w:tc>
          <w:tcPr>
            <w:tcW w:type="dxa" w:w="576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Risks, privacy/security, human review, decision rights and escalation are explicit.</w:t>
            </w:r>
          </w:p>
        </w:tc>
      </w:tr>
      <w:tr>
        <w:tc>
          <w:tcPr>
            <w:tcW w:type="dxa" w:w="25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Workflow and implementation</w:t>
            </w:r>
          </w:p>
        </w:tc>
        <w:tc>
          <w:tcPr>
            <w:tcW w:type="dxa" w:w="115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20%</w:t>
            </w:r>
          </w:p>
        </w:tc>
        <w:tc>
          <w:tcPr>
            <w:tcW w:type="dxa" w:w="576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The workflow is repeatable, feasible and supported by roles, dependencies and adoption actions.</w:t>
            </w:r>
          </w:p>
        </w:tc>
      </w:tr>
      <w:tr>
        <w:tc>
          <w:tcPr>
            <w:tcW w:type="dxa" w:w="25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Measures and evidence</w:t>
            </w:r>
          </w:p>
        </w:tc>
        <w:tc>
          <w:tcPr>
            <w:tcW w:type="dxa" w:w="115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15%</w:t>
            </w:r>
          </w:p>
        </w:tc>
        <w:tc>
          <w:tcPr>
            <w:tcW w:type="dxa" w:w="576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Success measures cover value, quality, safety, adoption and audit evidence.</w:t>
            </w:r>
          </w:p>
        </w:tc>
      </w:tr>
    </w:tbl>
    <w:p>
      <w:pPr>
        <w:spacing w:after="20"/>
      </w:pPr>
    </w:p>
    <w:p>
      <w:r>
        <w:br w:type="page"/>
      </w:r>
    </w:p>
    <w:p>
      <w:pPr>
        <w:pStyle w:val="Heading1"/>
        <w:spacing w:before="280" w:after="120"/>
      </w:pPr>
      <w:r>
        <w:rPr>
          <w:rFonts w:ascii="Arial" w:hAnsi="Arial" w:eastAsia="Arial"/>
          <w:b/>
          <w:i w:val="0"/>
          <w:color w:val="17365D"/>
          <w:sz w:val="30"/>
        </w:rPr>
        <w:t>9. Learning resources and participant toolkit</w:t>
      </w:r>
    </w:p>
    <w:p>
      <w:pPr>
        <w:spacing w:after="120" w:before="0" w:line="276" w:lineRule="auto"/>
      </w:pPr>
      <w:r>
        <w:rPr>
          <w:rFonts w:ascii="Arial" w:hAnsi="Arial" w:eastAsia="Arial"/>
          <w:b w:val="0"/>
          <w:i w:val="0"/>
          <w:color w:val="1F2937"/>
          <w:sz w:val="21"/>
        </w:rPr>
        <w:t>The following resources are recommended for each participant. They are designed to support both the course and workplace transfer.</w:t>
      </w:r>
    </w:p>
    <w:p>
      <w:pPr>
        <w:pStyle w:val="ListBullet"/>
        <w:spacing w:after="60" w:line="264" w:lineRule="auto"/>
      </w:pPr>
      <w:r>
        <w:rPr>
          <w:rFonts w:ascii="Arial" w:hAnsi="Arial" w:eastAsia="Arial"/>
          <w:b w:val="0"/>
          <w:i w:val="0"/>
          <w:color w:val="1F2937"/>
          <w:sz w:val="20"/>
        </w:rPr>
        <w:t>Participant workbook with plain-language AI concepts, guided exercises, reflection prompts and role-specific application space.</w:t>
      </w:r>
    </w:p>
    <w:p>
      <w:pPr>
        <w:pStyle w:val="ListBullet"/>
        <w:spacing w:after="60" w:line="264" w:lineRule="auto"/>
      </w:pPr>
      <w:r>
        <w:rPr>
          <w:rFonts w:ascii="Arial" w:hAnsi="Arial" w:eastAsia="Arial"/>
          <w:b w:val="0"/>
          <w:i w:val="0"/>
          <w:color w:val="1F2937"/>
          <w:sz w:val="20"/>
        </w:rPr>
        <w:t>AI practice toolkit: prompt canvas, output-verification checklist, safe-use decision guide, risk-review template and human-oversight template.</w:t>
      </w:r>
    </w:p>
    <w:p>
      <w:pPr>
        <w:pStyle w:val="ListBullet"/>
        <w:spacing w:after="60" w:line="264" w:lineRule="auto"/>
      </w:pPr>
      <w:r>
        <w:rPr>
          <w:rFonts w:ascii="Arial" w:hAnsi="Arial" w:eastAsia="Arial"/>
          <w:b w:val="0"/>
          <w:i w:val="0"/>
          <w:color w:val="1F2937"/>
          <w:sz w:val="20"/>
        </w:rPr>
        <w:t>Stewardship scenario pack: simulated datasets, metadata records, issue logs, governance requests and DIEZ-relevant cases.</w:t>
      </w:r>
    </w:p>
    <w:p>
      <w:pPr>
        <w:pStyle w:val="ListBullet"/>
        <w:spacing w:after="60" w:line="264" w:lineRule="auto"/>
      </w:pPr>
      <w:r>
        <w:rPr>
          <w:rFonts w:ascii="Arial" w:hAnsi="Arial" w:eastAsia="Arial"/>
          <w:b w:val="0"/>
          <w:i w:val="0"/>
          <w:color w:val="1F2937"/>
          <w:sz w:val="20"/>
        </w:rPr>
        <w:t>Transfer pack: job aids, glossary, capstone template, CMI evidence guide and 30-day application plan.</w:t>
      </w:r>
    </w:p>
    <w:p>
      <w:pPr>
        <w:pStyle w:val="ListBullet"/>
        <w:spacing w:after="60" w:line="264" w:lineRule="auto"/>
      </w:pPr>
      <w:r>
        <w:rPr>
          <w:rFonts w:ascii="Arial" w:hAnsi="Arial" w:eastAsia="Arial"/>
          <w:b w:val="0"/>
          <w:i w:val="0"/>
          <w:color w:val="1F2937"/>
          <w:sz w:val="20"/>
        </w:rPr>
        <w:t>Facilitator pack: session plans, worked examples, challenge cards, observation checklist, assessment materials and marking guidance.</w:t>
      </w:r>
    </w:p>
    <w:p>
      <w:pPr>
        <w:pStyle w:val="Heading1"/>
        <w:spacing w:before="280" w:after="120"/>
      </w:pPr>
      <w:r>
        <w:rPr>
          <w:rFonts w:ascii="Arial" w:hAnsi="Arial" w:eastAsia="Arial"/>
          <w:b/>
          <w:i w:val="0"/>
          <w:color w:val="17365D"/>
          <w:sz w:val="30"/>
        </w:rPr>
        <w:t>10. Delivery model and roles</w:t>
      </w:r>
    </w:p>
    <w:tbl>
      <w:tblPr>
        <w:tblW w:type="auto" w:w="0"/>
        <w:jc w:val="center"/>
        <w:tblLayout w:type="fixed"/>
        <w:tblLook w:firstColumn="1" w:firstRow="1" w:lastColumn="0" w:lastRow="0" w:noHBand="0" w:noVBand="1" w:val="04A0"/>
      </w:tblPr>
      <w:tblGrid>
        <w:gridCol w:w="5083"/>
        <w:gridCol w:w="5083"/>
      </w:tblGrid>
      <w:tr>
        <w:tc>
          <w:tcPr>
            <w:tcW w:type="dxa" w:w="252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Role</w:t>
            </w:r>
          </w:p>
        </w:tc>
        <w:tc>
          <w:tcPr>
            <w:tcW w:type="dxa" w:w="6912"/>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Primary responsibilities</w:t>
            </w:r>
          </w:p>
        </w:tc>
      </w:tr>
      <w:tr>
        <w:tc>
          <w:tcPr>
            <w:tcW w:type="dxa" w:w="25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DIEZ sponsor / programme owner</w:t>
            </w:r>
          </w:p>
        </w:tc>
        <w:tc>
          <w:tcPr>
            <w:tcW w:type="dxa" w:w="691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Confirm outcomes, cohort profile, scenarios, governance constraints, approved AI environments and success measures.</w:t>
            </w:r>
          </w:p>
        </w:tc>
      </w:tr>
      <w:tr>
        <w:tc>
          <w:tcPr>
            <w:tcW w:type="dxa" w:w="25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Training provider / programme lead</w:t>
            </w:r>
          </w:p>
        </w:tc>
        <w:tc>
          <w:tcPr>
            <w:tcW w:type="dxa" w:w="691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Own curriculum, faculty, mobilisation, materials, assessment, bilingual support, quality assurance and consolidated reporting.</w:t>
            </w:r>
          </w:p>
        </w:tc>
      </w:tr>
      <w:tr>
        <w:tc>
          <w:tcPr>
            <w:tcW w:type="dxa" w:w="25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DIEZ subject-matter contributors</w:t>
            </w:r>
          </w:p>
        </w:tc>
        <w:tc>
          <w:tcPr>
            <w:tcW w:type="dxa" w:w="691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Validate scenarios, terminology, data-governance expectations, escalation routes and operational relevance.</w:t>
            </w:r>
          </w:p>
        </w:tc>
      </w:tr>
      <w:tr>
        <w:tc>
          <w:tcPr>
            <w:tcW w:type="dxa" w:w="25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Facilitators</w:t>
            </w:r>
          </w:p>
        </w:tc>
        <w:tc>
          <w:tcPr>
            <w:tcW w:type="dxa" w:w="691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Teach, demonstrate, coach, observe, challenge outputs, support peer review and assess evidence.</w:t>
            </w:r>
          </w:p>
        </w:tc>
      </w:tr>
      <w:tr>
        <w:tc>
          <w:tcPr>
            <w:tcW w:type="dxa" w:w="25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Participants</w:t>
            </w:r>
          </w:p>
        </w:tc>
        <w:tc>
          <w:tcPr>
            <w:tcW w:type="dxa" w:w="691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Bring a non-sensitive task or use the controlled scenario pack, participate actively, document decisions and complete the capstone.</w:t>
            </w:r>
          </w:p>
        </w:tc>
      </w:tr>
      <w:tr>
        <w:tc>
          <w:tcPr>
            <w:tcW w:type="dxa" w:w="25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Line managers (recommended)</w:t>
            </w:r>
          </w:p>
        </w:tc>
        <w:tc>
          <w:tcPr>
            <w:tcW w:type="dxa" w:w="691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Support the 30-day experiment, remove blockers and review evidence of adoption.</w:t>
            </w:r>
          </w:p>
        </w:tc>
      </w:tr>
    </w:tbl>
    <w:p>
      <w:pPr>
        <w:spacing w:after="20"/>
      </w:pPr>
    </w:p>
    <w:p>
      <w:pPr>
        <w:spacing w:after="120" w:before="0" w:line="276" w:lineRule="auto"/>
      </w:pPr>
      <w:r>
        <w:rPr>
          <w:rFonts w:ascii="Arial" w:hAnsi="Arial" w:eastAsia="Arial"/>
          <w:b w:val="0"/>
          <w:i w:val="0"/>
          <w:color w:val="1F2937"/>
          <w:sz w:val="21"/>
        </w:rPr>
        <w:t>Bilingual delivery: Arabic-speaking subject-matter capability can support explanations, terminology, exercises, risk concepts, capstone work and participant questions while maintaining one consistent programme standard.</w:t>
      </w:r>
    </w:p>
    <w:p>
      <w:pPr>
        <w:spacing w:after="120" w:before="0" w:line="276" w:lineRule="auto"/>
      </w:pPr>
      <w:r>
        <w:rPr>
          <w:rFonts w:ascii="Arial" w:hAnsi="Arial" w:eastAsia="Arial"/>
          <w:b w:val="0"/>
          <w:i w:val="0"/>
          <w:color w:val="1F2937"/>
          <w:sz w:val="21"/>
        </w:rPr>
        <w:t>Cohort capacity: two parallel cohorts may be supported subject to scheduling and faculty confirmation, with dedicated facilitation and standardised assessment.</w:t>
      </w:r>
    </w:p>
    <w:p>
      <w:pPr>
        <w:pStyle w:val="Heading1"/>
        <w:spacing w:before="280" w:after="120"/>
      </w:pPr>
      <w:r>
        <w:rPr>
          <w:rFonts w:ascii="Arial" w:hAnsi="Arial" w:eastAsia="Arial"/>
          <w:b/>
          <w:i w:val="0"/>
          <w:color w:val="17365D"/>
          <w:sz w:val="30"/>
        </w:rPr>
        <w:t>11. Mobilisation and delivery readiness</w:t>
      </w:r>
    </w:p>
    <w:tbl>
      <w:tblPr>
        <w:tblW w:type="auto" w:w="0"/>
        <w:jc w:val="center"/>
        <w:tblLayout w:type="fixed"/>
        <w:tblLook w:firstColumn="1" w:firstRow="1" w:lastColumn="0" w:lastRow="0" w:noHBand="0" w:noVBand="1" w:val="04A0"/>
      </w:tblPr>
      <w:tblGrid>
        <w:gridCol w:w="3389"/>
        <w:gridCol w:w="3389"/>
        <w:gridCol w:w="3389"/>
      </w:tblGrid>
      <w:tr>
        <w:tc>
          <w:tcPr>
            <w:tcW w:type="dxa" w:w="180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Timing</w:t>
            </w:r>
          </w:p>
        </w:tc>
        <w:tc>
          <w:tcPr>
            <w:tcW w:type="dxa" w:w="6048"/>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Action</w:t>
            </w:r>
          </w:p>
        </w:tc>
        <w:tc>
          <w:tcPr>
            <w:tcW w:type="dxa" w:w="1584"/>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Owner / decision</w:t>
            </w:r>
          </w:p>
        </w:tc>
      </w:tr>
      <w:tr>
        <w:tc>
          <w:tcPr>
            <w:tcW w:type="dxa" w:w="180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T−4 to T−3 weeks</w:t>
            </w:r>
          </w:p>
        </w:tc>
        <w:tc>
          <w:tcPr>
            <w:tcW w:type="dxa" w:w="604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Confirm sponsor, cohort profile, dates, venue, language needs, approved AI environment(s), data-handling rules and DIEZ scenario owners.</w:t>
            </w:r>
          </w:p>
        </w:tc>
        <w:tc>
          <w:tcPr>
            <w:tcW w:type="dxa" w:w="1584"/>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DIEZ + provider</w:t>
            </w:r>
          </w:p>
        </w:tc>
      </w:tr>
      <w:tr>
        <w:tc>
          <w:tcPr>
            <w:tcW w:type="dxa" w:w="180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T−3 to T−2 weeks</w:t>
            </w:r>
          </w:p>
        </w:tc>
        <w:tc>
          <w:tcPr>
            <w:tcW w:type="dxa" w:w="604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Configure diagnostic, finalise workbook/scenario pack, align assessment rubric and collect non-sensitive participant use cases.</w:t>
            </w:r>
          </w:p>
        </w:tc>
        <w:tc>
          <w:tcPr>
            <w:tcW w:type="dxa" w:w="1584"/>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Provider</w:t>
            </w:r>
          </w:p>
        </w:tc>
      </w:tr>
      <w:tr>
        <w:tc>
          <w:tcPr>
            <w:tcW w:type="dxa" w:w="180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T−1 week</w:t>
            </w:r>
          </w:p>
        </w:tc>
        <w:tc>
          <w:tcPr>
            <w:tcW w:type="dxa" w:w="604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Review baseline themes, adjust emphasis, test room and technology, confirm faculty and Arabic support.</w:t>
            </w:r>
          </w:p>
        </w:tc>
        <w:tc>
          <w:tcPr>
            <w:tcW w:type="dxa" w:w="1584"/>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Provider + DIEZ</w:t>
            </w:r>
          </w:p>
        </w:tc>
      </w:tr>
      <w:tr>
        <w:tc>
          <w:tcPr>
            <w:tcW w:type="dxa" w:w="180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During course</w:t>
            </w:r>
          </w:p>
        </w:tc>
        <w:tc>
          <w:tcPr>
            <w:tcW w:type="dxa" w:w="604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Deliver sessions, capture daily evidence, resolve tool/access issues and conduct pulse checks.</w:t>
            </w:r>
          </w:p>
        </w:tc>
        <w:tc>
          <w:tcPr>
            <w:tcW w:type="dxa" w:w="1584"/>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Provider + DIEZ support</w:t>
            </w:r>
          </w:p>
        </w:tc>
      </w:tr>
      <w:tr>
        <w:tc>
          <w:tcPr>
            <w:tcW w:type="dxa" w:w="180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Within 5 working days</w:t>
            </w:r>
          </w:p>
        </w:tc>
        <w:tc>
          <w:tcPr>
            <w:tcW w:type="dxa" w:w="604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Issue consolidated completion, assessment and feedback report; provide participant evidence pack.</w:t>
            </w:r>
          </w:p>
        </w:tc>
        <w:tc>
          <w:tcPr>
            <w:tcW w:type="dxa" w:w="1584"/>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Provider</w:t>
            </w:r>
          </w:p>
        </w:tc>
      </w:tr>
      <w:tr>
        <w:tc>
          <w:tcPr>
            <w:tcW w:type="dxa" w:w="180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At 30 days</w:t>
            </w:r>
          </w:p>
        </w:tc>
        <w:tc>
          <w:tcPr>
            <w:tcW w:type="dxa" w:w="604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Run optional manager or community-of-practice check-in and capture application evidence.</w:t>
            </w:r>
          </w:p>
        </w:tc>
        <w:tc>
          <w:tcPr>
            <w:tcW w:type="dxa" w:w="1584"/>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DIEZ + provider</w:t>
            </w:r>
          </w:p>
        </w:tc>
      </w:tr>
    </w:tbl>
    <w:p>
      <w:pPr>
        <w:spacing w:after="20"/>
      </w:pPr>
    </w:p>
    <w:p>
      <w:pPr>
        <w:pStyle w:val="Heading1"/>
        <w:spacing w:before="280" w:after="120"/>
      </w:pPr>
      <w:r>
        <w:rPr>
          <w:rFonts w:ascii="Arial" w:hAnsi="Arial" w:eastAsia="Arial"/>
          <w:b/>
          <w:i w:val="0"/>
          <w:color w:val="17365D"/>
          <w:sz w:val="30"/>
        </w:rPr>
        <w:t>12. Assumptions and decisions to confirm</w:t>
      </w:r>
    </w:p>
    <w:p>
      <w:pPr>
        <w:pStyle w:val="ListBullet"/>
        <w:spacing w:after="60" w:line="264" w:lineRule="auto"/>
      </w:pPr>
      <w:r>
        <w:rPr>
          <w:rFonts w:ascii="Arial" w:hAnsi="Arial" w:eastAsia="Arial"/>
          <w:b w:val="0"/>
          <w:i w:val="0"/>
          <w:color w:val="1F2937"/>
          <w:sz w:val="20"/>
        </w:rPr>
        <w:t>Final cohort size, participant roles and any requirements for separate manager, steward or business-owner cohorts.</w:t>
      </w:r>
    </w:p>
    <w:p>
      <w:pPr>
        <w:pStyle w:val="ListBullet"/>
        <w:spacing w:after="60" w:line="264" w:lineRule="auto"/>
      </w:pPr>
      <w:r>
        <w:rPr>
          <w:rFonts w:ascii="Arial" w:hAnsi="Arial" w:eastAsia="Arial"/>
          <w:b w:val="0"/>
          <w:i w:val="0"/>
          <w:color w:val="1F2937"/>
          <w:sz w:val="20"/>
        </w:rPr>
        <w:t>Whether delivery is four consecutive days or two two-day blocks within two weeks.</w:t>
      </w:r>
    </w:p>
    <w:p>
      <w:pPr>
        <w:pStyle w:val="ListBullet"/>
        <w:spacing w:after="60" w:line="264" w:lineRule="auto"/>
      </w:pPr>
      <w:r>
        <w:rPr>
          <w:rFonts w:ascii="Arial" w:hAnsi="Arial" w:eastAsia="Arial"/>
          <w:b w:val="0"/>
          <w:i w:val="0"/>
          <w:color w:val="1F2937"/>
          <w:sz w:val="20"/>
        </w:rPr>
        <w:t>DIEZ-approved AI environment(s), identity/access arrangements and the policy for using simulated, anonymised or authorised information.</w:t>
      </w:r>
    </w:p>
    <w:p>
      <w:pPr>
        <w:pStyle w:val="ListBullet"/>
        <w:spacing w:after="60" w:line="264" w:lineRule="auto"/>
      </w:pPr>
      <w:r>
        <w:rPr>
          <w:rFonts w:ascii="Arial" w:hAnsi="Arial" w:eastAsia="Arial"/>
          <w:b w:val="0"/>
          <w:i w:val="0"/>
          <w:color w:val="1F2937"/>
          <w:sz w:val="20"/>
        </w:rPr>
        <w:t>Which DIEZ use cases and operational SMEs should anchor the scenario pack and capstone options.</w:t>
      </w:r>
    </w:p>
    <w:p>
      <w:pPr>
        <w:pStyle w:val="ListBullet"/>
        <w:spacing w:after="60" w:line="264" w:lineRule="auto"/>
      </w:pPr>
      <w:r>
        <w:rPr>
          <w:rFonts w:ascii="Arial" w:hAnsi="Arial" w:eastAsia="Arial"/>
          <w:b w:val="0"/>
          <w:i w:val="0"/>
          <w:color w:val="1F2937"/>
          <w:sz w:val="20"/>
        </w:rPr>
        <w:t>Whether Arabic support is required in every room, for selected sessions, or on an on-call basis.</w:t>
      </w:r>
    </w:p>
    <w:p>
      <w:pPr>
        <w:pStyle w:val="ListBullet"/>
        <w:spacing w:after="60" w:line="264" w:lineRule="auto"/>
      </w:pPr>
      <w:r>
        <w:rPr>
          <w:rFonts w:ascii="Arial" w:hAnsi="Arial" w:eastAsia="Arial"/>
          <w:b w:val="0"/>
          <w:i w:val="0"/>
          <w:color w:val="1F2937"/>
          <w:sz w:val="20"/>
        </w:rPr>
        <w:t>CMI mapping, registration, assessment evidence and eligibility requirements, which remain subject to final CMI programme confirmation.</w:t>
      </w:r>
    </w:p>
    <w:p>
      <w:pPr>
        <w:pStyle w:val="ListBullet"/>
        <w:spacing w:after="60" w:line="264" w:lineRule="auto"/>
      </w:pPr>
      <w:r>
        <w:rPr>
          <w:rFonts w:ascii="Arial" w:hAnsi="Arial" w:eastAsia="Arial"/>
          <w:b w:val="0"/>
          <w:i w:val="0"/>
          <w:color w:val="1F2937"/>
          <w:sz w:val="20"/>
        </w:rPr>
        <w:t>Whether WEL.X or another measurement layer will be used for onboarding, baseline/post-assessment, progress and consolidated reporting.</w:t>
      </w:r>
    </w:p>
    <w:p>
      <w:pPr>
        <w:pStyle w:val="ListBullet"/>
        <w:spacing w:after="60" w:line="264" w:lineRule="auto"/>
      </w:pPr>
      <w:r>
        <w:rPr>
          <w:rFonts w:ascii="Arial" w:hAnsi="Arial" w:eastAsia="Arial"/>
          <w:b w:val="0"/>
          <w:i w:val="0"/>
          <w:color w:val="1F2937"/>
          <w:sz w:val="20"/>
        </w:rPr>
        <w:t>Which DIEZ legal, data-protection, information-security and data-governance owners will sign off scenarios, data classifications, approved tools and control language before delivery.</w:t>
      </w:r>
    </w:p>
    <w:p>
      <w:pPr>
        <w:pStyle w:val="ListBullet"/>
        <w:spacing w:after="60" w:line="264" w:lineRule="auto"/>
      </w:pPr>
      <w:r>
        <w:rPr>
          <w:rFonts w:ascii="Arial" w:hAnsi="Arial" w:eastAsia="Arial"/>
          <w:b w:val="0"/>
          <w:i w:val="0"/>
          <w:color w:val="1F2937"/>
          <w:sz w:val="20"/>
        </w:rPr>
        <w:t>Whether any sector-specific, free-zone, contractual or cross-border data requirements apply to the selected use cases.</w:t>
      </w:r>
    </w:p>
    <w:p>
      <w:pPr>
        <w:pStyle w:val="ListBullet"/>
        <w:spacing w:after="60" w:line="264" w:lineRule="auto"/>
      </w:pPr>
      <w:r>
        <w:rPr>
          <w:rFonts w:ascii="Arial" w:hAnsi="Arial" w:eastAsia="Arial"/>
          <w:b w:val="0"/>
          <w:i w:val="0"/>
          <w:color w:val="1F2937"/>
          <w:sz w:val="20"/>
        </w:rPr>
        <w:t>Success measures beyond attendance, such as confidence change, quality of artefacts, number of viable opportunities, implementation readiness and 30-day adoption evidence.</w:t>
      </w:r>
    </w:p>
    <w:p>
      <w:pPr>
        <w:pStyle w:val="Heading1"/>
        <w:spacing w:before="280" w:after="120"/>
      </w:pPr>
      <w:r>
        <w:rPr>
          <w:rFonts w:ascii="Arial" w:hAnsi="Arial" w:eastAsia="Arial"/>
          <w:b/>
          <w:i w:val="0"/>
          <w:color w:val="17365D"/>
          <w:sz w:val="30"/>
        </w:rPr>
        <w:t>13. Risks and mitigations</w:t>
      </w:r>
    </w:p>
    <w:tbl>
      <w:tblPr>
        <w:tblW w:type="auto" w:w="0"/>
        <w:jc w:val="center"/>
        <w:tblLayout w:type="fixed"/>
        <w:tblLook w:firstColumn="1" w:firstRow="1" w:lastColumn="0" w:lastRow="0" w:noHBand="0" w:noVBand="1" w:val="04A0"/>
      </w:tblPr>
      <w:tblGrid>
        <w:gridCol w:w="5083"/>
        <w:gridCol w:w="5083"/>
      </w:tblGrid>
      <w:tr>
        <w:tc>
          <w:tcPr>
            <w:tcW w:type="dxa" w:w="3528"/>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Risk</w:t>
            </w:r>
          </w:p>
        </w:tc>
        <w:tc>
          <w:tcPr>
            <w:tcW w:type="dxa" w:w="5904"/>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Mitigation in this plan</w:t>
            </w:r>
          </w:p>
        </w:tc>
      </w:tr>
      <w:tr>
        <w:tc>
          <w:tcPr>
            <w:tcW w:type="dxa" w:w="352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Participants use sensitive data in an unapproved tool.</w:t>
            </w:r>
          </w:p>
        </w:tc>
        <w:tc>
          <w:tcPr>
            <w:tcW w:type="dxa" w:w="5904"/>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Use safe, authorised or simulated information; define tool and data rules during mobilisation; include a safe-use decision guide.</w:t>
            </w:r>
          </w:p>
        </w:tc>
      </w:tr>
      <w:tr>
        <w:tc>
          <w:tcPr>
            <w:tcW w:type="dxa" w:w="352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Course becomes tool training rather than capability building.</w:t>
            </w:r>
          </w:p>
        </w:tc>
        <w:tc>
          <w:tcPr>
            <w:tcW w:type="dxa" w:w="5904"/>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Use a tool-neutral discipline and scenario evidence; treat tools as examples inside a broader workflow.</w:t>
            </w:r>
          </w:p>
        </w:tc>
      </w:tr>
      <w:tr>
        <w:tc>
          <w:tcPr>
            <w:tcW w:type="dxa" w:w="352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Outputs are accepted without verification.</w:t>
            </w:r>
          </w:p>
        </w:tc>
        <w:tc>
          <w:tcPr>
            <w:tcW w:type="dxa" w:w="5904"/>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Make review and evidence capture mandatory in every lab; assess accept/revise/reject/escalate decisions.</w:t>
            </w:r>
          </w:p>
        </w:tc>
      </w:tr>
      <w:tr>
        <w:tc>
          <w:tcPr>
            <w:tcW w:type="dxa" w:w="352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Scenarios are not relevant to DIEZ operations.</w:t>
            </w:r>
          </w:p>
        </w:tc>
        <w:tc>
          <w:tcPr>
            <w:tcW w:type="dxa" w:w="5904"/>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Validate cases with DIEZ SMEs and use the seven initiatives plus leasing, pricing, government-service, growth, compliance and operations contexts.</w:t>
            </w:r>
          </w:p>
        </w:tc>
      </w:tr>
      <w:tr>
        <w:tc>
          <w:tcPr>
            <w:tcW w:type="dxa" w:w="352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Learning does not transfer to workplace practice.</w:t>
            </w:r>
          </w:p>
        </w:tc>
        <w:tc>
          <w:tcPr>
            <w:tcW w:type="dxa" w:w="5904"/>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Finish with a governed workflow, a 30-day application plan and an optional manager/community follow-up.</w:t>
            </w:r>
          </w:p>
        </w:tc>
      </w:tr>
      <w:tr>
        <w:tc>
          <w:tcPr>
            <w:tcW w:type="dxa" w:w="352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Bilingual support fragments the course experience.</w:t>
            </w:r>
          </w:p>
        </w:tc>
        <w:tc>
          <w:tcPr>
            <w:tcW w:type="dxa" w:w="5904"/>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Use one shared curriculum and assessment standard with Arabic-speaking support integrated into facilitation.</w:t>
            </w:r>
          </w:p>
        </w:tc>
      </w:tr>
    </w:tbl>
    <w:p>
      <w:pPr>
        <w:spacing w:after="20"/>
      </w:pPr>
    </w:p>
    <w:p>
      <w:pPr>
        <w:pStyle w:val="Heading1"/>
        <w:spacing w:before="280" w:after="120"/>
      </w:pPr>
      <w:r>
        <w:rPr>
          <w:rFonts w:ascii="Arial" w:hAnsi="Arial" w:eastAsia="Arial"/>
          <w:b/>
          <w:i w:val="0"/>
          <w:color w:val="17365D"/>
          <w:sz w:val="30"/>
        </w:rPr>
        <w:t>14. Recommended decision</w:t>
      </w:r>
    </w:p>
    <w:p>
      <w:pPr>
        <w:spacing w:after="120" w:before="0" w:line="276" w:lineRule="auto"/>
      </w:pPr>
      <w:r>
        <w:rPr>
          <w:rFonts w:ascii="Arial" w:hAnsi="Arial" w:eastAsia="Arial"/>
          <w:b w:val="0"/>
          <w:i w:val="0"/>
          <w:color w:val="1F2937"/>
          <w:sz w:val="21"/>
        </w:rPr>
        <w:t>Proceed with the four-day course design as the baseline for client discussion, subject to a short mobilisation workshop with DIEZ. The mobilisation workshop should confirm the cohort, approved AI environment, scenario priorities, bilingual support model, measurement approach and any CMI requirements. Once confirmed, the timetable can be converted into a facilitator guide, participant workbook, scenario pack and assessment pack without changing the core learning journey.</w:t>
      </w:r>
    </w:p>
    <w:p>
      <w:pPr>
        <w:pStyle w:val="Heading1"/>
        <w:spacing w:before="280" w:after="120"/>
      </w:pPr>
      <w:r>
        <w:rPr>
          <w:rFonts w:ascii="Arial" w:hAnsi="Arial" w:eastAsia="Arial"/>
          <w:b/>
          <w:i w:val="0"/>
          <w:color w:val="17365D"/>
          <w:sz w:val="30"/>
        </w:rPr>
        <w:t>References</w:t>
      </w:r>
    </w:p>
    <w:p>
      <w:pPr>
        <w:spacing w:after="120" w:before="0" w:line="276" w:lineRule="auto"/>
      </w:pPr>
      <w:r>
        <w:rPr>
          <w:rFonts w:ascii="Arial" w:hAnsi="Arial" w:eastAsia="Arial"/>
          <w:b w:val="0"/>
          <w:i w:val="0"/>
          <w:color w:val="1F2937"/>
          <w:sz w:val="21"/>
        </w:rPr>
        <w:t>[1] UAE Legislation, Federal Decree-Law No. (45) of 2021 Concerning the Protection of Personal Data. https://uaelegislation.gov.ae/en/legislations/1972</w:t>
      </w:r>
    </w:p>
    <w:p>
      <w:pPr>
        <w:spacing w:after="120" w:before="0" w:line="276" w:lineRule="auto"/>
      </w:pPr>
      <w:r>
        <w:rPr>
          <w:rFonts w:ascii="Arial" w:hAnsi="Arial" w:eastAsia="Arial"/>
          <w:b w:val="0"/>
          <w:i w:val="0"/>
          <w:color w:val="1F2937"/>
          <w:sz w:val="21"/>
        </w:rPr>
        <w:t>[2] Digital Dubai, Standards and Policies (including Dubai Law No. 26 of 2015, Law No. 9 of 2022, Executive Council Resolution No. 15 of 2022 and Executive Council Resolution No. 13 of 2012). https://www.digitaldubai.ae/standards-and-policies</w:t>
      </w:r>
    </w:p>
    <w:p>
      <w:pPr>
        <w:spacing w:after="120"/>
      </w:pPr>
      <w:r>
        <w:rPr>
          <w:rFonts w:ascii="Arial" w:hAnsi="Arial" w:eastAsia="Arial"/>
          <w:b w:val="0"/>
          <w:i w:val="0"/>
          <w:color w:val="1F2937"/>
          <w:sz w:val="18"/>
        </w:rPr>
        <w:t xml:space="preserve">[3] DIEZ — Driving Dubai’s Economic Growth. </w:t>
      </w:r>
      <w:hyperlink r:id="rId11">
        <w:r>
          <w:rPr>
            <w:color w:val="2F75B5"/>
            <w:u w:val="single"/>
          </w:rPr>
          <w:t>https://www.diez.ae/</w:t>
        </w:r>
      </w:hyperlink>
    </w:p>
    <w:p>
      <w:pPr>
        <w:spacing w:after="0" w:before="0" w:line="276" w:lineRule="auto"/>
      </w:pPr>
      <w:r>
        <w:rPr>
          <w:rFonts w:ascii="Arial" w:hAnsi="Arial" w:eastAsia="Arial"/>
          <w:b w:val="0"/>
          <w:i w:val="0"/>
          <w:color w:val="666666"/>
          <w:sz w:val="17"/>
        </w:rPr>
        <w:t>Citation note: This document provides an operational alignment model for training design. It is not a legal opinion and should be reviewed against DIEZ internal policies and scenario-specific requirements before delivery.</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i w:val="0"/>
        <w:color w:val="0F6B78"/>
        <w:sz w:val="17"/>
      </w:rPr>
      <w:t>DIEZ  |  AI for Data Stewards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iez.a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for Data Stewards — Proposed Four-Day Course Plan</dc:title>
  <dc:subject>DIEZ 2026 AI literacy and data stewardship training plan</dc:subject>
  <dc:creator>Skywork</dc:creator>
  <cp:keywords>DIEZ, AI literacy, data stewards, responsible AI, training plan</cp:keywords>
  <dc:description>generated by python-docx</dc:description>
  <cp:lastModifiedBy/>
  <cp:revision>1</cp:revision>
  <dcterms:created xsi:type="dcterms:W3CDTF">2013-12-23T23:15:00Z</dcterms:created>
  <dcterms:modified xsi:type="dcterms:W3CDTF">2013-12-23T23:15:00Z</dcterms:modified>
  <cp:category/>
</cp:coreProperties>
</file>