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160"/>
        <w:jc w:val="left"/>
      </w:pPr>
      <w:r>
        <w:rPr>
          <w:rFonts w:ascii="Arial" w:hAnsi="Arial" w:eastAsia="Arial"/>
          <w:b/>
          <w:i w:val="0"/>
          <w:color w:val="0F6B78"/>
          <w:sz w:val="36"/>
        </w:rPr>
        <w:t>DIEZ</w:t>
      </w:r>
    </w:p>
    <w:p>
      <w:pPr>
        <w:spacing w:after="80"/>
      </w:pPr>
      <w:r>
        <w:rPr>
          <w:rFonts w:ascii="Arial" w:hAnsi="Arial" w:eastAsia="Arial"/>
          <w:b/>
          <w:i w:val="0"/>
          <w:color w:val="17365D"/>
          <w:sz w:val="58"/>
        </w:rPr>
        <w:t>AI for Data Stewards</w:t>
      </w:r>
    </w:p>
    <w:p>
      <w:pPr>
        <w:spacing w:after="440"/>
      </w:pPr>
      <w:r>
        <w:rPr>
          <w:rFonts w:ascii="Arial" w:hAnsi="Arial" w:eastAsia="Arial"/>
          <w:b w:val="0"/>
          <w:i w:val="0"/>
          <w:color w:val="2F75B5"/>
          <w:sz w:val="34"/>
        </w:rPr>
        <w:t>Proposed four-day course plan</w:t>
      </w:r>
    </w:p>
    <w:tbl>
      <w:tblPr>
        <w:tblW w:type="auto" w:w="0"/>
        <w:jc w:val="center"/>
        <w:tblLayout w:type="autofit"/>
        <w:tblLook w:firstColumn="1" w:firstRow="1" w:lastColumn="0" w:lastRow="0" w:noHBand="0" w:noVBand="1" w:val="04A0"/>
      </w:tblPr>
      <w:tblGrid>
        <w:gridCol w:w="10166"/>
      </w:tblGrid>
      <w:tr>
        <w:tc>
          <w:tcPr>
            <w:tcW w:type="dxa" w:w="10166"/>
            <w:shd w:fill="EEF5FB"/>
            <w:tcBorders>
              <w:top w:val="single" w:sz="4" w:color="EEF5FB"/>
              <w:left w:val="single" w:sz="18" w:color="0F6B78"/>
              <w:bottom w:val="single" w:sz="4" w:color="EEF5FB"/>
              <w:right w:val="single" w:sz="4" w:color="EEF5FB"/>
            </w:tcBorders>
            <w:tcMar>
              <w:top w:w="130" w:type="dxa"/>
              <w:start w:w="160" w:type="dxa"/>
              <w:bottom w:w="130" w:type="dxa"/>
              <w:end w:w="160" w:type="dxa"/>
            </w:tcMar>
          </w:tcPr>
          <w:p>
            <w:pPr>
              <w:spacing w:after="60"/>
            </w:pPr>
            <w:r/>
            <w:r>
              <w:rPr>
                <w:rFonts w:ascii="Arial" w:hAnsi="Arial" w:eastAsia="Arial"/>
                <w:b/>
                <w:i w:val="0"/>
                <w:color w:val="17365D"/>
                <w:sz w:val="21"/>
              </w:rPr>
              <w:t>Purpose</w:t>
            </w:r>
          </w:p>
          <w:p>
            <w:pPr>
              <w:spacing w:after="0" w:line="264" w:lineRule="auto"/>
            </w:pPr>
            <w:r>
              <w:rPr>
                <w:rFonts w:ascii="Arial" w:hAnsi="Arial" w:eastAsia="Arial"/>
                <w:b w:val="0"/>
                <w:i w:val="0"/>
                <w:color w:val="1F2937"/>
                <w:sz w:val="19"/>
              </w:rPr>
              <w:t>A practical capability programme that teaches data stewards and adjacent professionals to use DIEZ’s seven AI products responsibly. Participants learn how each product works in the business, how to interpret its outputs, when human judgement is required and what evidence and controls must be retained.</w:t>
            </w:r>
          </w:p>
        </w:tc>
      </w:tr>
    </w:tbl>
    <w:p>
      <w:pPr>
        <w:spacing w:after="0"/>
      </w:pPr>
    </w:p>
    <w:p>
      <w:pPr>
        <w:spacing w:after="440"/>
      </w:pPr>
    </w:p>
    <w:p>
      <w:pPr>
        <w:spacing w:after="80"/>
      </w:pPr>
      <w:r>
        <w:rPr>
          <w:rFonts w:ascii="Arial" w:hAnsi="Arial" w:eastAsia="Arial"/>
          <w:b/>
          <w:i w:val="0"/>
          <w:color w:val="17365D"/>
          <w:sz w:val="20"/>
        </w:rPr>
        <w:t xml:space="preserve">Prepared for: </w:t>
      </w:r>
      <w:r>
        <w:rPr>
          <w:rFonts w:ascii="Arial" w:hAnsi="Arial" w:eastAsia="Arial"/>
          <w:b w:val="0"/>
          <w:i w:val="0"/>
          <w:color w:val="1F2937"/>
          <w:sz w:val="20"/>
        </w:rPr>
        <w:t>Dubai Integrated Economic Zones Authority (DIEZ)</w:t>
      </w:r>
    </w:p>
    <w:p>
      <w:pPr>
        <w:spacing w:after="80"/>
      </w:pPr>
      <w:r>
        <w:rPr>
          <w:rFonts w:ascii="Arial" w:hAnsi="Arial" w:eastAsia="Arial"/>
          <w:b/>
          <w:i w:val="0"/>
          <w:color w:val="17365D"/>
          <w:sz w:val="20"/>
        </w:rPr>
        <w:t xml:space="preserve">Format: </w:t>
      </w:r>
      <w:r>
        <w:rPr>
          <w:rFonts w:ascii="Arial" w:hAnsi="Arial" w:eastAsia="Arial"/>
          <w:b w:val="0"/>
          <w:i w:val="0"/>
          <w:color w:val="1F2937"/>
          <w:sz w:val="20"/>
        </w:rPr>
        <w:t>Four consecutive full days, with pre-course diagnostic and post-course assessment</w:t>
      </w:r>
    </w:p>
    <w:p>
      <w:pPr>
        <w:spacing w:after="80"/>
      </w:pPr>
      <w:r>
        <w:rPr>
          <w:rFonts w:ascii="Arial" w:hAnsi="Arial" w:eastAsia="Arial"/>
          <w:b/>
          <w:i w:val="0"/>
          <w:color w:val="17365D"/>
          <w:sz w:val="20"/>
        </w:rPr>
        <w:t xml:space="preserve">Planning basis: </w:t>
      </w:r>
      <w:r>
        <w:rPr>
          <w:rFonts w:ascii="Arial" w:hAnsi="Arial" w:eastAsia="Arial"/>
          <w:b w:val="0"/>
          <w:i w:val="0"/>
          <w:color w:val="1F2937"/>
          <w:sz w:val="20"/>
        </w:rPr>
        <w:t>DIEZ operating context, UAE federal requirements and Dubai government data, digital and information-security instruments</w:t>
      </w:r>
    </w:p>
    <w:p>
      <w:pPr>
        <w:spacing w:after="80"/>
      </w:pPr>
      <w:r>
        <w:rPr>
          <w:rFonts w:ascii="Arial" w:hAnsi="Arial" w:eastAsia="Arial"/>
          <w:b/>
          <w:i w:val="0"/>
          <w:color w:val="17365D"/>
          <w:sz w:val="20"/>
        </w:rPr>
        <w:t xml:space="preserve">Version: </w:t>
      </w:r>
      <w:r>
        <w:rPr>
          <w:rFonts w:ascii="Arial" w:hAnsi="Arial" w:eastAsia="Arial"/>
          <w:b w:val="0"/>
          <w:i w:val="0"/>
          <w:color w:val="1F2937"/>
          <w:sz w:val="20"/>
        </w:rPr>
        <w:t>Proposed plan | September 2026</w:t>
      </w:r>
    </w:p>
    <w:p>
      <w:r>
        <w:br w:type="page"/>
      </w:r>
    </w:p>
    <w:p>
      <w:pPr>
        <w:pStyle w:val="Heading1"/>
        <w:spacing w:before="280" w:after="120"/>
      </w:pPr>
      <w:r>
        <w:rPr>
          <w:rFonts w:ascii="Arial" w:hAnsi="Arial" w:eastAsia="Arial"/>
          <w:b/>
          <w:i w:val="0"/>
          <w:color w:val="17365D"/>
          <w:sz w:val="30"/>
        </w:rPr>
        <w:t>1. Executive summary</w:t>
      </w:r>
    </w:p>
    <w:p>
      <w:pPr>
        <w:spacing w:after="120" w:before="0" w:line="276" w:lineRule="auto"/>
      </w:pPr>
      <w:r>
        <w:rPr>
          <w:rFonts w:ascii="Arial" w:hAnsi="Arial" w:eastAsia="Arial"/>
          <w:b w:val="0"/>
          <w:i w:val="0"/>
          <w:color w:val="1F2937"/>
          <w:sz w:val="21"/>
        </w:rPr>
        <w:t>This plan proposes a four-day applied course for DIEZ data stewards, business data owners, operational managers and business use-case owners. Its central purpose is to help participants use DIEZ’s seven AI products responsibly: Customer Segmentation, Sentiment Analysis, Customer Churn Prediction, Content Moderation, Partner IQ, Microsoft 365 Copilot and Document Intelligence. Participants are not expected to become AI engineers or data scientists.</w:t>
      </w:r>
    </w:p>
    <w:p>
      <w:pPr>
        <w:spacing w:after="120" w:before="0" w:line="276" w:lineRule="auto"/>
      </w:pPr>
      <w:r>
        <w:rPr>
          <w:rFonts w:ascii="Arial" w:hAnsi="Arial" w:eastAsia="Arial"/>
          <w:b w:val="0"/>
          <w:i w:val="0"/>
          <w:color w:val="1F2937"/>
          <w:sz w:val="21"/>
        </w:rPr>
        <w:t>The course connects each product to its real operating context, data inputs, output limitations, human decisions, controls and evidence. Participants practise how to interpret a customer tier, sentiment label, churn alert, moderation decision, partner recommendation, Copilot response or extracted document field without treating the result as unquestionable fact. DIEZ’s public positioning emphasises business enablement, digital transformation and advanced technologies, including AI-enabled operational improvement [3].</w:t>
      </w:r>
    </w:p>
    <w:tbl>
      <w:tblPr>
        <w:tblW w:type="auto" w:w="0"/>
        <w:jc w:val="center"/>
        <w:tblLayout w:type="autofit"/>
        <w:tblLook w:firstColumn="1" w:firstRow="1" w:lastColumn="0" w:lastRow="0" w:noHBand="0" w:noVBand="1" w:val="04A0"/>
      </w:tblPr>
      <w:tblGrid>
        <w:gridCol w:w="10166"/>
      </w:tblGrid>
      <w:tr>
        <w:tc>
          <w:tcPr>
            <w:tcW w:type="dxa" w:w="10166"/>
            <w:shd w:fill="EEF5FB"/>
            <w:tcBorders>
              <w:top w:val="single" w:sz="4" w:color="EEF5FB"/>
              <w:left w:val="single" w:sz="18" w:color="2F75B5"/>
              <w:bottom w:val="single" w:sz="4" w:color="EEF5FB"/>
              <w:right w:val="single" w:sz="4" w:color="EEF5FB"/>
            </w:tcBorders>
            <w:tcMar>
              <w:top w:w="130" w:type="dxa"/>
              <w:start w:w="160" w:type="dxa"/>
              <w:bottom w:w="130" w:type="dxa"/>
              <w:end w:w="160" w:type="dxa"/>
            </w:tcMar>
          </w:tcPr>
          <w:p>
            <w:pPr>
              <w:spacing w:after="60"/>
            </w:pPr>
            <w:r/>
            <w:r>
              <w:rPr>
                <w:rFonts w:ascii="Arial" w:hAnsi="Arial" w:eastAsia="Arial"/>
                <w:b/>
                <w:i w:val="0"/>
                <w:color w:val="17365D"/>
                <w:sz w:val="21"/>
              </w:rPr>
              <w:t>Design principle</w:t>
            </w:r>
          </w:p>
          <w:p>
            <w:pPr>
              <w:spacing w:after="0" w:line="264" w:lineRule="auto"/>
            </w:pPr>
            <w:r>
              <w:rPr>
                <w:rFonts w:ascii="Arial" w:hAnsi="Arial" w:eastAsia="Arial"/>
                <w:b w:val="0"/>
                <w:i w:val="0"/>
                <w:color w:val="1F2937"/>
                <w:sz w:val="19"/>
              </w:rPr>
              <w:t>AI output informs work; it does not remove accountability. For every DIEZ product, participants learn to understand the output, check its fitness for the decision, apply the required human review, document the evidence and act or escalate. UAE and Dubai legal, policy and information-security controls are embedded in the product labs.</w:t>
            </w:r>
          </w:p>
        </w:tc>
      </w:tr>
    </w:tbl>
    <w:p>
      <w:pPr>
        <w:spacing w:after="0"/>
      </w:pPr>
    </w:p>
    <w:p>
      <w:pPr>
        <w:pStyle w:val="Heading1"/>
        <w:spacing w:before="280" w:after="120"/>
      </w:pPr>
      <w:r>
        <w:rPr>
          <w:rFonts w:ascii="Arial" w:hAnsi="Arial" w:eastAsia="Arial"/>
          <w:b/>
          <w:i w:val="0"/>
          <w:color w:val="17365D"/>
          <w:sz w:val="30"/>
        </w:rPr>
        <w:t>2. UAE and Dubai alignment</w:t>
      </w:r>
    </w:p>
    <w:p>
      <w:pPr>
        <w:spacing w:after="120" w:before="0" w:line="276" w:lineRule="auto"/>
      </w:pPr>
      <w:r>
        <w:rPr>
          <w:rFonts w:ascii="Arial" w:hAnsi="Arial" w:eastAsia="Arial"/>
          <w:b w:val="0"/>
          <w:i w:val="0"/>
          <w:color w:val="1F2937"/>
          <w:sz w:val="21"/>
        </w:rPr>
        <w:t>This course is an operational training design, not legal advice. Before delivery, DIEZ’s legal, data-protection, information-security and data-governance owners should confirm the exact instruments and internal policies that apply to each scenario, dataset and technology environment.</w:t>
      </w:r>
    </w:p>
    <w:tbl>
      <w:tblPr>
        <w:tblW w:type="auto" w:w="0"/>
        <w:jc w:val="center"/>
        <w:tblLayout w:type="fixed"/>
        <w:tblLook w:firstColumn="1" w:firstRow="1" w:lastColumn="0" w:lastRow="0" w:noHBand="0" w:noVBand="1" w:val="04A0"/>
      </w:tblPr>
      <w:tblGrid>
        <w:gridCol w:w="5083"/>
        <w:gridCol w:w="5083"/>
      </w:tblGrid>
      <w:tr>
        <w:tc>
          <w:tcPr>
            <w:tcW w:type="dxa" w:w="324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6"/>
              </w:rPr>
              <w:t>Local requirement / context</w:t>
            </w:r>
          </w:p>
        </w:tc>
        <w:tc>
          <w:tcPr>
            <w:tcW w:type="dxa" w:w="640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6"/>
              </w:rPr>
              <w:t>How the course operationalises it</w:t>
            </w:r>
          </w:p>
        </w:tc>
      </w:tr>
      <w:tr>
        <w:tc>
          <w:tcPr>
            <w:tcW w:type="dxa" w:w="324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UAE Personal Data Protection Law — Federal Decree-Law No. 45 of 2021 [1]</w:t>
            </w:r>
          </w:p>
        </w:tc>
        <w:tc>
          <w:tcPr>
            <w:tcW w:type="dxa" w:w="640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Teach purpose limitation, data minimisation, access control, retention, processor/vendor review, incident escalation and cross-border transfer checks where personal data is in scope. The law expressly excludes government data and governmental entities that control or process personal data; the course therefore treats it as a baseline for provider/contractor and other in-scope processing, while pairing it with Dubai government instruments.</w:t>
            </w:r>
          </w:p>
        </w:tc>
      </w:tr>
      <w:tr>
        <w:tc>
          <w:tcPr>
            <w:tcW w:type="dxa" w:w="324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Law No. 26 of 2015 Regulating Data Dissemination and Exchange [2]</w:t>
            </w:r>
          </w:p>
        </w:tc>
        <w:tc>
          <w:tcPr>
            <w:tcW w:type="dxa" w:w="640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Use data inventory, classification, provenance, release/approval, authorised sharing and evidence of permitted use as mandatory steps in every data-readiness and capstone exercise.</w:t>
            </w:r>
          </w:p>
        </w:tc>
      </w:tr>
      <w:tr>
        <w:tc>
          <w:tcPr>
            <w:tcW w:type="dxa" w:w="324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Data and Statistics Establishment / Dubai Data framework [2]</w:t>
            </w:r>
          </w:p>
        </w:tc>
        <w:tc>
          <w:tcPr>
            <w:tcW w:type="dxa" w:w="640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Practise documenting data owners, custodians, quality issues, metadata, reuse conditions and escalation routes for datasets used in government or cross-entity workflows.</w:t>
            </w:r>
          </w:p>
        </w:tc>
      </w:tr>
      <w:tr>
        <w:tc>
          <w:tcPr>
            <w:tcW w:type="dxa" w:w="324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Law No. 9 of 2022 Regulating the Provision of Digital Services [2]</w:t>
            </w:r>
          </w:p>
        </w:tc>
        <w:tc>
          <w:tcPr>
            <w:tcW w:type="dxa" w:w="640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Frame AI use around service quality, user impact, accessibility, continuity, human escalation and accountable change control for digital government services.</w:t>
            </w:r>
          </w:p>
        </w:tc>
      </w:tr>
      <w:tr>
        <w:tc>
          <w:tcPr>
            <w:tcW w:type="dxa" w:w="324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ICT Policies — Executive Council Resolution No. 15 of 2022 [2]</w:t>
            </w:r>
          </w:p>
        </w:tc>
        <w:tc>
          <w:tcPr>
            <w:tcW w:type="dxa" w:w="640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Require participants to identify the approved platform, identity/access path, hosting and integration constraints, records/evidence needs and responsible owner before proposing an AI-enabled workflow.</w:t>
            </w:r>
          </w:p>
        </w:tc>
      </w:tr>
      <w:tr>
        <w:tc>
          <w:tcPr>
            <w:tcW w:type="dxa" w:w="324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Information Security Regulation — Executive Council Resolution No. 13 of 2012 [2]</w:t>
            </w:r>
          </w:p>
        </w:tc>
        <w:tc>
          <w:tcPr>
            <w:tcW w:type="dxa" w:w="640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Embed least privilege, secure handling, no unapproved public upload, logging/evidence, incident reporting and controlled testing into labs and capstones.</w:t>
            </w:r>
          </w:p>
        </w:tc>
      </w:tr>
      <w:tr>
        <w:tc>
          <w:tcPr>
            <w:tcW w:type="dxa" w:w="324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Dubai’s digital-government and economic-zone context [3]</w:t>
            </w:r>
          </w:p>
        </w:tc>
        <w:tc>
          <w:tcPr>
            <w:tcW w:type="dxa" w:w="640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Use the actual DIEZ product contexts: customer tiers in Salesforce, customer-care touchpoints, churn intervention, the Dubai CommerCity community app, free-zone partner matching, Microsoft 365 work and government-service document processing.</w:t>
            </w:r>
          </w:p>
        </w:tc>
      </w:tr>
    </w:tbl>
    <w:p>
      <w:pPr>
        <w:spacing w:after="20"/>
      </w:pPr>
    </w:p>
    <w:p>
      <w:pPr>
        <w:spacing w:before="40" w:after="120"/>
      </w:pPr>
      <w:r>
        <w:rPr>
          <w:rFonts w:ascii="Arial" w:hAnsi="Arial" w:eastAsia="Arial"/>
          <w:b w:val="0"/>
          <w:i/>
          <w:color w:val="666666"/>
          <w:sz w:val="16"/>
        </w:rPr>
        <w:t>Legal alignment note: [1]–[2] identify the public legal and policy sources used for this training design. Internal DIEZ policies, sector-specific requirements, contractual controls and any free-zone or regulated-activity rules must be confirmed during mobilisation.</w:t>
      </w:r>
    </w:p>
    <w:p>
      <w:pPr>
        <w:pStyle w:val="Heading1"/>
        <w:spacing w:before="280" w:after="120"/>
      </w:pPr>
      <w:r>
        <w:rPr>
          <w:rFonts w:ascii="Arial" w:hAnsi="Arial" w:eastAsia="Arial"/>
          <w:b/>
          <w:i w:val="0"/>
          <w:color w:val="17365D"/>
          <w:sz w:val="30"/>
        </w:rPr>
        <w:t>3. Proposed course at a glance</w:t>
      </w:r>
    </w:p>
    <w:tbl>
      <w:tblPr>
        <w:tblW w:type="auto" w:w="0"/>
        <w:jc w:val="center"/>
        <w:tblLayout w:type="fixed"/>
        <w:tblLook w:firstColumn="1" w:firstRow="1" w:lastColumn="0" w:lastRow="0" w:noHBand="0" w:noVBand="1" w:val="04A0"/>
      </w:tblPr>
      <w:tblGrid>
        <w:gridCol w:w="5083"/>
        <w:gridCol w:w="5083"/>
      </w:tblGrid>
      <w:tr>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8"/>
              </w:rPr>
              <w:t>Element</w:t>
            </w:r>
          </w:p>
        </w:tc>
        <w:tc>
          <w:tcPr>
            <w:tcW w:type="dxa" w:w="7416"/>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8"/>
              </w:rPr>
              <w:t>Proposed design</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Audience</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Practising data stewards and adjacent data-governance, data-quality, business-data and operational professionals.</w:t>
            </w:r>
          </w:p>
        </w:tc>
      </w:tr>
      <w:tr>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Duration</w:t>
            </w:r>
          </w:p>
        </w:tc>
        <w:tc>
          <w:tcPr>
            <w:tcW w:type="dxa" w:w="741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Four consecutive full days; alternative cadence is two two-day blocks within two weeks.</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Pre-work</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30–45 minute self-paced diagnostic covering familiarity with the seven products, current usage, role responsibilities and responsible-use confidence.</w:t>
            </w:r>
          </w:p>
        </w:tc>
      </w:tr>
      <w:tr>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Daily rhythm</w:t>
            </w:r>
          </w:p>
        </w:tc>
        <w:tc>
          <w:tcPr>
            <w:tcW w:type="dxa" w:w="741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Learn → see → try → challenge → improve → evidence.</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Core discipline</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Context → instruct → review → verify → decide → document → act or escalate.</w:t>
            </w:r>
          </w:p>
        </w:tc>
      </w:tr>
      <w:tr>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Capstone</w:t>
            </w:r>
          </w:p>
        </w:tc>
        <w:tc>
          <w:tcPr>
            <w:tcW w:type="dxa" w:w="741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A responsible-use operating procedure for one DIEZ product, covering data, output interpretation, human decisions, controls, evidence, exceptions and monitoring.</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Assessment</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Baseline diagnostic, observation and artefact checks, scenario-based post-assessment, capstone review and 30-day application plan.</w:t>
            </w:r>
          </w:p>
        </w:tc>
      </w:tr>
      <w:tr>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Language</w:t>
            </w:r>
          </w:p>
        </w:tc>
        <w:tc>
          <w:tcPr>
            <w:tcW w:type="dxa" w:w="741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English delivery with Arabic-speaking subject-matter support where required; bilingual materials can be agreed during mobilisation.</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Tools</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Licensed Microsoft 365 Copilot is the hands-on environment. Other products are taught through approved demonstrations, controlled simulations or anonymised examples unless DIEZ authorises live access.</w:t>
            </w:r>
          </w:p>
        </w:tc>
      </w:tr>
    </w:tbl>
    <w:p>
      <w:pPr>
        <w:spacing w:after="20"/>
      </w:pPr>
    </w:p>
    <w:p>
      <w:pPr>
        <w:pStyle w:val="Heading1"/>
        <w:spacing w:before="280" w:after="120"/>
      </w:pPr>
      <w:r>
        <w:rPr>
          <w:rFonts w:ascii="Arial" w:hAnsi="Arial" w:eastAsia="Arial"/>
          <w:b/>
          <w:i w:val="0"/>
          <w:color w:val="17365D"/>
          <w:sz w:val="30"/>
        </w:rPr>
        <w:t>4. Intended outcomes</w:t>
      </w:r>
    </w:p>
    <w:p>
      <w:pPr>
        <w:spacing w:after="120" w:before="0" w:line="276" w:lineRule="auto"/>
      </w:pPr>
      <w:r>
        <w:rPr>
          <w:rFonts w:ascii="Arial" w:hAnsi="Arial" w:eastAsia="Arial"/>
          <w:b w:val="0"/>
          <w:i w:val="0"/>
          <w:color w:val="1F2937"/>
          <w:sz w:val="21"/>
        </w:rPr>
        <w:t>By the end of the course, participants should be able to:</w:t>
      </w:r>
    </w:p>
    <w:p>
      <w:pPr>
        <w:pStyle w:val="ListBullet"/>
        <w:spacing w:after="60" w:line="264" w:lineRule="auto"/>
      </w:pPr>
      <w:r>
        <w:rPr>
          <w:rFonts w:ascii="Arial" w:hAnsi="Arial" w:eastAsia="Arial"/>
          <w:b w:val="0"/>
          <w:i w:val="0"/>
          <w:color w:val="1F2937"/>
          <w:sz w:val="20"/>
        </w:rPr>
        <w:t>Explain what each of the seven DIEZ AI products does, where its output appears and which business decision or workflow it supports.</w:t>
      </w:r>
    </w:p>
    <w:p>
      <w:pPr>
        <w:pStyle w:val="ListBullet"/>
        <w:spacing w:after="60" w:line="264" w:lineRule="auto"/>
      </w:pPr>
      <w:r>
        <w:rPr>
          <w:rFonts w:ascii="Arial" w:hAnsi="Arial" w:eastAsia="Arial"/>
          <w:b w:val="0"/>
          <w:i w:val="0"/>
          <w:color w:val="1F2937"/>
          <w:sz w:val="20"/>
        </w:rPr>
        <w:t>Interpret customer tiers, sentiment labels, confidence scores, churn alerts, moderation classifications, partner rankings, Copilot responses and extracted document fields without treating them as certainty.</w:t>
      </w:r>
    </w:p>
    <w:p>
      <w:pPr>
        <w:pStyle w:val="ListBullet"/>
        <w:spacing w:after="60" w:line="264" w:lineRule="auto"/>
      </w:pPr>
      <w:r>
        <w:rPr>
          <w:rFonts w:ascii="Arial" w:hAnsi="Arial" w:eastAsia="Arial"/>
          <w:b w:val="0"/>
          <w:i w:val="0"/>
          <w:color w:val="1F2937"/>
          <w:sz w:val="20"/>
        </w:rPr>
        <w:t>Identify the data definitions, quality conditions and ownership required for each product to operate responsibly.</w:t>
      </w:r>
    </w:p>
    <w:p>
      <w:pPr>
        <w:pStyle w:val="ListBullet"/>
        <w:spacing w:after="60" w:line="264" w:lineRule="auto"/>
      </w:pPr>
      <w:r>
        <w:rPr>
          <w:rFonts w:ascii="Arial" w:hAnsi="Arial" w:eastAsia="Arial"/>
          <w:b w:val="0"/>
          <w:i w:val="0"/>
          <w:color w:val="1F2937"/>
          <w:sz w:val="20"/>
        </w:rPr>
        <w:t>Use Microsoft 365 Copilot responsibly in PowerPoint, Excel, Word and Outlook with approved information and appropriate verification.</w:t>
      </w:r>
    </w:p>
    <w:p>
      <w:pPr>
        <w:pStyle w:val="ListBullet"/>
        <w:spacing w:after="60" w:line="264" w:lineRule="auto"/>
      </w:pPr>
      <w:r>
        <w:rPr>
          <w:rFonts w:ascii="Arial" w:hAnsi="Arial" w:eastAsia="Arial"/>
          <w:b w:val="0"/>
          <w:i w:val="0"/>
          <w:color w:val="1F2937"/>
          <w:sz w:val="20"/>
        </w:rPr>
        <w:t>Verify product outputs and decide whether to accept, investigate, override, correct or escalate them.</w:t>
      </w:r>
    </w:p>
    <w:p>
      <w:pPr>
        <w:pStyle w:val="ListBullet"/>
        <w:spacing w:after="60" w:line="264" w:lineRule="auto"/>
      </w:pPr>
      <w:r>
        <w:rPr>
          <w:rFonts w:ascii="Arial" w:hAnsi="Arial" w:eastAsia="Arial"/>
          <w:b w:val="0"/>
          <w:i w:val="0"/>
          <w:color w:val="1F2937"/>
          <w:sz w:val="20"/>
        </w:rPr>
        <w:t>Recognise privacy, confidentiality, hallucination, bias, security, intellectual-property and over-reliance risks.</w:t>
      </w:r>
    </w:p>
    <w:p>
      <w:pPr>
        <w:pStyle w:val="ListBullet"/>
        <w:spacing w:after="60" w:line="264" w:lineRule="auto"/>
      </w:pPr>
      <w:r>
        <w:rPr>
          <w:rFonts w:ascii="Arial" w:hAnsi="Arial" w:eastAsia="Arial"/>
          <w:b w:val="0"/>
          <w:i w:val="0"/>
          <w:color w:val="1F2937"/>
          <w:sz w:val="20"/>
        </w:rPr>
        <w:t>Apply product-specific human review, decision rights, evidence retention, exception handling and monitoring.</w:t>
      </w:r>
    </w:p>
    <w:p>
      <w:pPr>
        <w:pStyle w:val="ListBullet"/>
        <w:spacing w:after="60" w:line="264" w:lineRule="auto"/>
      </w:pPr>
      <w:r>
        <w:rPr>
          <w:rFonts w:ascii="Arial" w:hAnsi="Arial" w:eastAsia="Arial"/>
          <w:b w:val="0"/>
          <w:i w:val="0"/>
          <w:color w:val="1F2937"/>
          <w:sz w:val="20"/>
        </w:rPr>
        <w:t>Create a responsible-use operating procedure for one DIEZ product and a practical 30-day application plan.</w:t>
      </w:r>
    </w:p>
    <w:p>
      <w:pPr>
        <w:pStyle w:val="Heading1"/>
        <w:spacing w:before="280" w:after="120"/>
      </w:pPr>
      <w:r>
        <w:rPr>
          <w:rFonts w:ascii="Arial" w:hAnsi="Arial" w:eastAsia="Arial"/>
          <w:b/>
          <w:i w:val="0"/>
          <w:color w:val="17365D"/>
          <w:sz w:val="30"/>
        </w:rPr>
        <w:t>5. DIEZ product operating picture and lab focus</w:t>
      </w:r>
    </w:p>
    <w:p>
      <w:pPr>
        <w:spacing w:after="120" w:before="0" w:line="276" w:lineRule="auto"/>
      </w:pPr>
      <w:r>
        <w:rPr>
          <w:rFonts w:ascii="Arial" w:hAnsi="Arial" w:eastAsia="Arial"/>
          <w:b w:val="0"/>
          <w:i w:val="0"/>
          <w:color w:val="1F2937"/>
          <w:sz w:val="21"/>
        </w:rPr>
        <w:t>The seven products are the organising spine of the programme. Known operational facts are taught directly. Where the technical mechanism or owner has not been confirmed, the course labels the point as unconfirmed and teaches participants to seek authoritative clarification rather than infer how the product works.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656"/>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4"/>
              </w:rPr>
              <w:t>Product</w:t>
            </w:r>
          </w:p>
        </w:tc>
        <w:tc>
          <w:tcPr>
            <w:tcW w:type="dxa" w:w="367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4"/>
              </w:rPr>
              <w:t>What it does and how it works</w:t>
            </w:r>
          </w:p>
        </w:tc>
        <w:tc>
          <w:tcPr>
            <w:tcW w:type="dxa" w:w="180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4"/>
              </w:rPr>
              <w:t>Owner / status</w:t>
            </w:r>
          </w:p>
        </w:tc>
        <w:tc>
          <w:tcPr>
            <w:tcW w:type="dxa" w:w="25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4"/>
              </w:rPr>
              <w:t>Responsible-use lab</w:t>
            </w:r>
          </w:p>
        </w:tc>
      </w:tr>
      <w:tr>
        <w:tc>
          <w:tcPr>
            <w:tcW w:type="dxa" w:w="165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1. Customer Segmentation</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Assigns diamond, platinum, gold or bronze tiers. An unsupervised model uses about 11–12 drivers; an integration script places the tier in Salesforce.</w:t>
            </w:r>
          </w:p>
        </w:tc>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Owner not stated.</w:t>
            </w:r>
          </w:p>
        </w:tc>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Reconcile competing customer definitions; create a governed tier definition and challenge inconsistent inputs.</w:t>
            </w:r>
          </w:p>
        </w:tc>
      </w:tr>
      <w:tr>
        <w:tc>
          <w:tcPr>
            <w:tcW w:type="dxa" w:w="165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2. Sentiment Analysis</w:t>
            </w:r>
          </w:p>
        </w:tc>
        <w:tc>
          <w:tcPr>
            <w:tcW w:type="dxa" w:w="367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Classifies inquiries, complaints and tickets as positive, neutral or negative and returns a confidence score.</w:t>
            </w:r>
          </w:p>
        </w:tc>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Customer Care.</w:t>
            </w:r>
          </w:p>
        </w:tc>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Set confidence thresholds; test Arabic and English text; define what the score can and cannot justify.</w:t>
            </w:r>
          </w:p>
        </w:tc>
      </w:tr>
      <w:tr>
        <w:tc>
          <w:tcPr>
            <w:tcW w:type="dxa" w:w="165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3. Customer Churn Prediction</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Predicts customers likely to leave, including progressive lease reductions. Target is an alert at least three months ahead.</w:t>
            </w:r>
          </w:p>
        </w:tc>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Customer Care.</w:t>
            </w:r>
          </w:p>
        </w:tc>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Treat the alert as probability; define validation, leadership-visit and discount decision rules; record the human decision.</w:t>
            </w:r>
          </w:p>
        </w:tc>
      </w:tr>
      <w:tr>
        <w:tc>
          <w:tcPr>
            <w:tcW w:type="dxa" w:w="165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4. Content Moderation</w:t>
            </w:r>
          </w:p>
        </w:tc>
        <w:tc>
          <w:tcPr>
            <w:tcW w:type="dxa" w:w="367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Screens text and images in the Dubai CommerCity community app.</w:t>
            </w:r>
          </w:p>
        </w:tc>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Owner not stated. Azure Content Moderation is an unconfirmed assumption.</w:t>
            </w:r>
          </w:p>
        </w:tc>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Translate policy into rules; test false positives and negatives; design review and escalation without assuming the technology.</w:t>
            </w:r>
          </w:p>
        </w:tc>
      </w:tr>
      <w:tr>
        <w:tc>
          <w:tcPr>
            <w:tcW w:type="dxa" w:w="165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5. Partner IQ</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Matches businesses within the same free zone so members can source services from neighbouring zone companies.</w:t>
            </w:r>
          </w:p>
        </w:tc>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Owner and technical mechanism not confirmed; recommendation engine is only a working hypothesis.</w:t>
            </w:r>
          </w:p>
        </w:tc>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Define matching criteria; challenge ranking bias and unequal visibility; require an explainable and contestable recommendation.</w:t>
            </w:r>
          </w:p>
        </w:tc>
      </w:tr>
      <w:tr>
        <w:tc>
          <w:tcPr>
            <w:tcW w:type="dxa" w:w="165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6. Microsoft 365 Copilot</w:t>
            </w:r>
          </w:p>
        </w:tc>
        <w:tc>
          <w:tcPr>
            <w:tcW w:type="dxa" w:w="367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Supports work in PowerPoint, Excel, Word and Outlook through the licensed Microsoft 365 Copilot environment.</w:t>
            </w:r>
          </w:p>
        </w:tc>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Digital.</w:t>
            </w:r>
          </w:p>
        </w:tc>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Use approved data, verify sources and calculations, protect confidentiality and retain human accountability for the final work.</w:t>
            </w:r>
          </w:p>
        </w:tc>
      </w:tr>
      <w:tr>
        <w:tc>
          <w:tcPr>
            <w:tcW w:type="dxa" w:w="165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7. Document Intelligence</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Uses OCR to extract fields from documents such as visa applications and populate another government entity’s portal; it is not a RAG workflow.</w:t>
            </w:r>
          </w:p>
        </w:tc>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Operational ownership to confirm; Government Services is indicated by the use case.</w:t>
            </w:r>
          </w:p>
        </w:tc>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Check extraction accuracy and missing fields; route exceptions; retain source-to-field evidence and protect personal data.</w:t>
            </w:r>
          </w:p>
        </w:tc>
      </w:tr>
    </w:tbl>
    <w:p>
      <w:pPr>
        <w:spacing w:after="20"/>
      </w:pPr>
    </w:p>
    <w:p>
      <w:pPr>
        <w:spacing w:before="40" w:after="120"/>
      </w:pPr>
      <w:r>
        <w:rPr>
          <w:rFonts w:ascii="Arial" w:hAnsi="Arial" w:eastAsia="Arial"/>
          <w:b w:val="0"/>
          <w:i/>
          <w:color w:val="666666"/>
          <w:sz w:val="16"/>
        </w:rPr>
        <w:t>Product-fact discipline: unconfirmed owners and technologies must remain visibly marked “to confirm”; participants must not convert assumptions into operational facts.</w:t>
      </w:r>
    </w:p>
    <w:p>
      <w:r>
        <w:br w:type="page"/>
      </w:r>
    </w:p>
    <w:p>
      <w:pPr>
        <w:pStyle w:val="Heading1"/>
        <w:spacing w:before="280" w:after="120"/>
      </w:pPr>
      <w:r>
        <w:rPr>
          <w:rFonts w:ascii="Arial" w:hAnsi="Arial" w:eastAsia="Arial"/>
          <w:b/>
          <w:i w:val="0"/>
          <w:color w:val="17365D"/>
          <w:sz w:val="30"/>
        </w:rPr>
        <w:t>6. Detailed four-day delivery plan</w:t>
      </w:r>
    </w:p>
    <w:p>
      <w:pPr>
        <w:spacing w:after="120" w:before="0" w:line="276" w:lineRule="auto"/>
      </w:pPr>
      <w:r>
        <w:rPr>
          <w:rFonts w:ascii="Arial" w:hAnsi="Arial" w:eastAsia="Arial"/>
          <w:b w:val="0"/>
          <w:i w:val="0"/>
          <w:color w:val="1F2937"/>
          <w:sz w:val="21"/>
        </w:rPr>
        <w:t>The timetable below assumes a 09:00–16:30 day with a 60-minute lunch and two short breaks. Timings are indicative and should be tuned after the baseline diagnostic and confirmation of cohort size, approved tools and DIEZ scenarios.</w:t>
      </w:r>
    </w:p>
    <w:p>
      <w:pPr>
        <w:pStyle w:val="Heading2"/>
        <w:spacing w:before="180" w:after="120"/>
      </w:pPr>
      <w:r>
        <w:rPr>
          <w:rFonts w:ascii="Arial" w:hAnsi="Arial" w:eastAsia="Arial"/>
          <w:b/>
          <w:i w:val="0"/>
          <w:color w:val="0F6B78"/>
          <w:sz w:val="23"/>
        </w:rPr>
        <w:t>Day 1 — Understand and identify</w:t>
      </w:r>
    </w:p>
    <w:p>
      <w:pPr>
        <w:spacing w:after="100" w:before="0" w:line="276" w:lineRule="auto"/>
      </w:pPr>
      <w:r>
        <w:rPr>
          <w:rFonts w:ascii="Arial" w:hAnsi="Arial" w:eastAsia="Arial"/>
          <w:b w:val="0"/>
          <w:i w:val="0"/>
          <w:color w:val="1F2937"/>
          <w:sz w:val="20"/>
        </w:rPr>
        <w:t>Day purpose: Build a shared responsible-use discipline, understand the seven products and practise safely in Microsoft 365 Copilot.</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123"/>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Time</w:t>
            </w:r>
          </w:p>
        </w:tc>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Session</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Learning and application</w:t>
            </w:r>
          </w:p>
        </w:tc>
        <w:tc>
          <w:tcPr>
            <w:tcW w:type="dxa" w:w="1757"/>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Participant output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09:00–09:30</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Welcome, diagnostic read-out and learning contract</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Review baseline themes; set responsible-use expectations; introduce the evidence portfolio.</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Personal success criteria and learning contract</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09:30–10:45</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Seven products, four output types</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Distinguish tiering, classification, prediction/recommendation, generation and OCR extraction; connect outputs to human decisions.</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DIEZ product-and-decision map</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11:00–12:15</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Responsible-use foundations</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Confidence and uncertainty; privacy; authorised data; bias; human accountability; evidence and escalation.</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Responsible-use decision card</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12:15–13:00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Demonstration: from output to accountable action</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Model: understand → verify → decide → document → act or escalate.</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Observation and challenge notes</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14:00–15:15</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Copilot lab in Microsoft 365</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Practise in Word, Excel, PowerPoint and Outlook using safe information; inspect sources, calculations and unsupported claims.</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Verified Copilot work sample</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15:30–16:30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Product controls clinic</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Map users, decisions, data, controls and evidence across all seven products; flag facts that remain to be confirmed.</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Product responsibility map</w:t>
            </w:r>
          </w:p>
        </w:tc>
      </w:tr>
    </w:tbl>
    <w:p>
      <w:pPr>
        <w:spacing w:after="20"/>
      </w:pPr>
    </w:p>
    <w:p>
      <w:pPr>
        <w:spacing w:before="40" w:after="120"/>
      </w:pPr>
      <w:r>
        <w:rPr>
          <w:rFonts w:ascii="Arial" w:hAnsi="Arial" w:eastAsia="Arial"/>
          <w:b w:val="0"/>
          <w:i/>
          <w:color w:val="666666"/>
          <w:sz w:val="16"/>
        </w:rPr>
        <w:t>Day 1 evidence: product-and-decision map, responsible-use decision card, verified Copilot sample and product responsibility map.</w:t>
      </w:r>
    </w:p>
    <w:p>
      <w:pPr>
        <w:pStyle w:val="Heading2"/>
        <w:spacing w:before="180" w:after="120"/>
      </w:pPr>
      <w:r>
        <w:rPr>
          <w:rFonts w:ascii="Arial" w:hAnsi="Arial" w:eastAsia="Arial"/>
          <w:b/>
          <w:i w:val="0"/>
          <w:color w:val="0F6B78"/>
          <w:sz w:val="23"/>
        </w:rPr>
        <w:t>Day 2 — Use customer intelligence products responsibly</w:t>
      </w:r>
    </w:p>
    <w:p>
      <w:pPr>
        <w:spacing w:after="100" w:before="0" w:line="276" w:lineRule="auto"/>
      </w:pPr>
      <w:r>
        <w:rPr>
          <w:rFonts w:ascii="Arial" w:hAnsi="Arial" w:eastAsia="Arial"/>
          <w:b w:val="0"/>
          <w:i w:val="0"/>
          <w:color w:val="1F2937"/>
          <w:sz w:val="20"/>
        </w:rPr>
        <w:t>Day purpose: Practise responsible interpretation of customer intelligence and matching outputs.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123"/>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Time</w:t>
            </w:r>
          </w:p>
        </w:tc>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Session</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Learning and application</w:t>
            </w:r>
          </w:p>
        </w:tc>
        <w:tc>
          <w:tcPr>
            <w:tcW w:type="dxa" w:w="1757"/>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Participant output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09:00–09:20</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Recap and product-output challenge</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Identify where a label, score, alert or ranking is being treated as a fact or final decision.</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Corrected decision statement</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09:20–10:35</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Customer Segmentation lab</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Reconcile revenue, multinational-status and company-size definitions; assess the 11–12 drivers; govern diamond/platinum/gold/bronze tiers shown in Salesforce.</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Tier definition, data rules and dispute path</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10:50–12:00</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Sentiment Analysis lab</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Test positive/neutral/negative classifications and confidence scores across Arabic and English customer-care examples.</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Confidence-threshold and manual-review matrix</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12:00–13:00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Churn Prediction lab</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Interpret a three-month-ahead alert; review lease-reduction evidence; separate model probability from retention decisions.</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Alert validation and intervention protocol</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14:00–15:15</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Partner IQ lab</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Design fair matching criteria for free-zone businesses; test ranking visibility, conflicts and explainability without assuming the engine.</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Matching criteria and fairness review</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15:30–16:30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Cross-product data stewardship</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Trace definitions, ownership, quality and feedback loops across segmentation, sentiment, churn and Partner IQ.</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Customer-intelligence stewardship map</w:t>
            </w:r>
          </w:p>
        </w:tc>
      </w:tr>
    </w:tbl>
    <w:p>
      <w:pPr>
        <w:spacing w:after="20"/>
      </w:pPr>
    </w:p>
    <w:p>
      <w:pPr>
        <w:spacing w:before="40" w:after="120"/>
      </w:pPr>
      <w:r>
        <w:rPr>
          <w:rFonts w:ascii="Arial" w:hAnsi="Arial" w:eastAsia="Arial"/>
          <w:b w:val="0"/>
          <w:i/>
          <w:color w:val="666666"/>
          <w:sz w:val="16"/>
        </w:rPr>
        <w:t>Day 2 evidence: governed tier definition, confidence-threshold matrix, churn intervention protocol, Partner IQ fairness review and stewardship map.</w:t>
      </w:r>
    </w:p>
    <w:p>
      <w:pPr>
        <w:pStyle w:val="Heading2"/>
        <w:spacing w:before="180" w:after="120"/>
      </w:pPr>
      <w:r>
        <w:rPr>
          <w:rFonts w:ascii="Arial" w:hAnsi="Arial" w:eastAsia="Arial"/>
          <w:b/>
          <w:i w:val="0"/>
          <w:color w:val="0F6B78"/>
          <w:sz w:val="23"/>
        </w:rPr>
        <w:t>Day 3 — Verify and govern</w:t>
      </w:r>
    </w:p>
    <w:p>
      <w:pPr>
        <w:spacing w:after="100" w:before="0" w:line="276" w:lineRule="auto"/>
      </w:pPr>
      <w:r>
        <w:rPr>
          <w:rFonts w:ascii="Arial" w:hAnsi="Arial" w:eastAsia="Arial"/>
          <w:b w:val="0"/>
          <w:i w:val="0"/>
          <w:color w:val="1F2937"/>
          <w:sz w:val="20"/>
        </w:rPr>
        <w:t>Day purpose: Control moderation, document extraction and Copilot use in operational workflows.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123"/>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Time</w:t>
            </w:r>
          </w:p>
        </w:tc>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Session</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Learning and application</w:t>
            </w:r>
          </w:p>
        </w:tc>
        <w:tc>
          <w:tcPr>
            <w:tcW w:type="dxa" w:w="1757"/>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Participant output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09:00–09:20</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Recap: what makes an output trustworthy?</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Peer review of Day 2 artefacts against evidence and acceptance criteria.</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Peer-review record</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09:20–10:35</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Content Moderation lab</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Convert Dubai CommerCity community-app policy into testable rules; examine text/image false positives and negatives; define appeals and escalation.</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Moderation policy-to-control matrix</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10:50–12:00</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Document Intelligence lab</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Validate OCR-extracted visa fields against source documents; identify missing or uncertain fields; prevent unchecked portal submission.</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Field-level QA and exception workflow</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12:00–13:00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Copilot control patterns</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Apply data classification, authorised-use, source checking, calculation validation, prompt hygiene and final-owner accountability.</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Microsoft 365 Copilot Safe Use Checklist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14:00–15:15</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Privacy, security and evidence</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Apply UAE/Dubai requirements to product data, access, sharing, retention, logs, incidents and cross-entity processing.</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Product data-control checklist</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15:30–16:30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Human review, ownership and escalation</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Define reviewer, decision owner, override rights, escalation route and retained evidence for each product; flag unresolved ownership.</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Seven-product RACI and escalation map</w:t>
            </w:r>
          </w:p>
        </w:tc>
      </w:tr>
    </w:tbl>
    <w:p>
      <w:pPr>
        <w:spacing w:after="20"/>
      </w:pPr>
    </w:p>
    <w:p>
      <w:pPr>
        <w:spacing w:before="40" w:after="120"/>
      </w:pPr>
      <w:r>
        <w:rPr>
          <w:rFonts w:ascii="Arial" w:hAnsi="Arial" w:eastAsia="Arial"/>
          <w:b w:val="0"/>
          <w:i/>
          <w:color w:val="666666"/>
          <w:sz w:val="16"/>
        </w:rPr>
        <w:t>Day 3 evidence: moderation control matrix, OCR QA workflow, Copilot checklist, product data controls and seven-product escalation map.</w:t>
      </w:r>
    </w:p>
    <w:p>
      <w:pPr>
        <w:pStyle w:val="Heading2"/>
        <w:spacing w:before="180" w:after="120"/>
      </w:pPr>
      <w:r>
        <w:rPr>
          <w:rFonts w:ascii="Arial" w:hAnsi="Arial" w:eastAsia="Arial"/>
          <w:b/>
          <w:i w:val="0"/>
          <w:color w:val="0F6B78"/>
          <w:sz w:val="23"/>
        </w:rPr>
        <w:t>Day 4 — Implement and demonstrate</w:t>
      </w:r>
    </w:p>
    <w:p>
      <w:pPr>
        <w:spacing w:after="100" w:before="0" w:line="276" w:lineRule="auto"/>
      </w:pPr>
      <w:r>
        <w:rPr>
          <w:rFonts w:ascii="Arial" w:hAnsi="Arial" w:eastAsia="Arial"/>
          <w:b w:val="0"/>
          <w:i w:val="0"/>
          <w:color w:val="1F2937"/>
          <w:sz w:val="20"/>
        </w:rPr>
        <w:t>Day purpose: Convert responsible-use learning into an operating procedure for one DIEZ product.</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123"/>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Time</w:t>
            </w:r>
          </w:p>
        </w:tc>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Session</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Learning and application</w:t>
            </w:r>
          </w:p>
        </w:tc>
        <w:tc>
          <w:tcPr>
            <w:tcW w:type="dxa" w:w="1757"/>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Participant output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09:00–09:30</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Capstone briefing and assessment criteria</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Review rubric, evidence expectations, peer-review protocol and presentation format.</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Capstone plan</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09:30–11:00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Responsible-use procedure studio</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Build: product purpose → permitted use → inputs → output interpretation → verification → decision → evidence → exception → monitoring.</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Draft product operating procedure</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11:15–12:45</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Implementation and adoption</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Define product users, owner/steward roles, training, access, change impacts, controls, dependencies and measures.</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Product implementation canvas</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13:45–15:00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Peer review and simulation</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Run a realistic edge case through the procedure; challenge data quality, thresholds, bias, overrides and escalation.</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Simulation record and peer feedback</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15:00–15:45</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Capstone demonstrations</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Present the product procedure and defend the responsible-use decisions.</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Assessed product procedure</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15:45–16:30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Post-assessment and 30-day application plan</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Complete a product-use scenario assessment; commit to a workplace application and evidence plan.</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Post-assessment, evidence portfolio and 30-day plan</w:t>
            </w:r>
          </w:p>
        </w:tc>
      </w:tr>
    </w:tbl>
    <w:p>
      <w:pPr>
        <w:spacing w:after="20"/>
      </w:pPr>
    </w:p>
    <w:p>
      <w:pPr>
        <w:spacing w:before="40" w:after="120"/>
      </w:pPr>
      <w:r>
        <w:rPr>
          <w:rFonts w:ascii="Arial" w:hAnsi="Arial" w:eastAsia="Arial"/>
          <w:b w:val="0"/>
          <w:i/>
          <w:color w:val="666666"/>
          <w:sz w:val="16"/>
        </w:rPr>
        <w:t>Day 4 evidence: responsible-use product procedure, simulation record, capstone assessment, post-assessment and 30-day application plan.</w:t>
      </w:r>
    </w:p>
    <w:p>
      <w:pPr>
        <w:pStyle w:val="Heading1"/>
        <w:spacing w:before="280" w:after="120"/>
      </w:pPr>
      <w:r>
        <w:rPr>
          <w:rFonts w:ascii="Arial" w:hAnsi="Arial" w:eastAsia="Arial"/>
          <w:b/>
          <w:i w:val="0"/>
          <w:color w:val="17365D"/>
          <w:sz w:val="30"/>
        </w:rPr>
        <w:t>7. Capstone design</w:t>
      </w:r>
    </w:p>
    <w:p>
      <w:pPr>
        <w:spacing w:after="120" w:before="0" w:line="276" w:lineRule="auto"/>
      </w:pPr>
      <w:r>
        <w:rPr>
          <w:rFonts w:ascii="Arial" w:hAnsi="Arial" w:eastAsia="Arial"/>
          <w:b w:val="0"/>
          <w:i w:val="0"/>
          <w:color w:val="1F2937"/>
          <w:sz w:val="21"/>
        </w:rPr>
        <w:t>Each participant or small group develops a responsible-use operating procedure for one of the seven DIEZ products. The procedure must be operationally credible but can be tested with approved, anonymised or simulated information rather than production data.</w:t>
      </w:r>
    </w:p>
    <w:tbl>
      <w:tblPr>
        <w:tblW w:type="auto" w:w="0"/>
        <w:jc w:val="center"/>
        <w:tblLayout w:type="fixed"/>
        <w:tblLook w:firstColumn="1" w:firstRow="1" w:lastColumn="0" w:lastRow="0" w:noHBand="0" w:noVBand="1" w:val="04A0"/>
      </w:tblPr>
      <w:tblGrid>
        <w:gridCol w:w="3389"/>
        <w:gridCol w:w="3389"/>
        <w:gridCol w:w="3389"/>
      </w:tblGrid>
      <w:tr>
        <w:tc>
          <w:tcPr>
            <w:tcW w:type="dxa" w:w="180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Capstone component</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Required question</w:t>
            </w:r>
          </w:p>
        </w:tc>
        <w:tc>
          <w:tcPr>
            <w:tcW w:type="dxa" w:w="331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Minimum evidence</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Product and purpose</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Which DIEZ product is in scope and what approved business purpose does it serve?</w:t>
            </w:r>
          </w:p>
        </w:tc>
        <w:tc>
          <w:tcPr>
            <w:tcW w:type="dxa" w:w="33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Product, workflow, users and approved-purpose statement.</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Output and decision</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What output does the product produce, and what remains human-owned?</w:t>
            </w:r>
          </w:p>
        </w:tc>
        <w:tc>
          <w:tcPr>
            <w:tcW w:type="dxa" w:w="33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Output interpretation and human-accountability statement.</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Data readiness</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Is the data documented, governed, accessible and fit for purpose?</w:t>
            </w:r>
          </w:p>
        </w:tc>
        <w:tc>
          <w:tcPr>
            <w:tcW w:type="dxa" w:w="33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Readiness checklist and gaps.</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Risk and controls</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What could go wrong, and what controls reduce the risk?</w:t>
            </w:r>
          </w:p>
        </w:tc>
        <w:tc>
          <w:tcPr>
            <w:tcW w:type="dxa" w:w="33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Risk review, safe-use decisions and evidence rules.</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Human oversight</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Who reviews, decides, approves exceptions and escalates?</w:t>
            </w:r>
          </w:p>
        </w:tc>
        <w:tc>
          <w:tcPr>
            <w:tcW w:type="dxa" w:w="33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Decision-rights and escalation map.</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Workflow</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How does the work run end to end?</w:t>
            </w:r>
          </w:p>
        </w:tc>
        <w:tc>
          <w:tcPr>
            <w:tcW w:type="dxa" w:w="33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Input → assistance → review → decision → evidence → action → monitoring.</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Implementation</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What is needed to adopt this safely?</w:t>
            </w:r>
          </w:p>
        </w:tc>
        <w:tc>
          <w:tcPr>
            <w:tcW w:type="dxa" w:w="33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Dependencies, roles, change actions and 30-day experiment.</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Measures</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How will value, quality, safety and adoption be monitored?</w:t>
            </w:r>
          </w:p>
        </w:tc>
        <w:tc>
          <w:tcPr>
            <w:tcW w:type="dxa" w:w="33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Leading and lagging indicators.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EEF5FB"/>
            <w:tcBorders>
              <w:top w:val="single" w:sz="4" w:color="EEF5FB"/>
              <w:left w:val="single" w:sz="18" w:color="2F75B5"/>
              <w:bottom w:val="single" w:sz="4" w:color="EEF5FB"/>
              <w:right w:val="single" w:sz="4" w:color="EEF5FB"/>
            </w:tcBorders>
            <w:tcMar>
              <w:top w:w="130" w:type="dxa"/>
              <w:start w:w="160" w:type="dxa"/>
              <w:bottom w:w="130" w:type="dxa"/>
              <w:end w:w="160" w:type="dxa"/>
            </w:tcMar>
          </w:tcPr>
          <w:p>
            <w:pPr>
              <w:spacing w:after="60"/>
            </w:pPr>
            <w:r/>
            <w:r>
              <w:rPr>
                <w:rFonts w:ascii="Arial" w:hAnsi="Arial" w:eastAsia="Arial"/>
                <w:b/>
                <w:i w:val="0"/>
                <w:color w:val="17365D"/>
                <w:sz w:val="21"/>
              </w:rPr>
              <w:t>Recommended capstone scenarios</w:t>
            </w:r>
          </w:p>
          <w:p>
            <w:pPr>
              <w:spacing w:after="0" w:line="264" w:lineRule="auto"/>
            </w:pPr>
            <w:r>
              <w:rPr>
                <w:rFonts w:ascii="Arial" w:hAnsi="Arial" w:eastAsia="Arial"/>
                <w:b w:val="0"/>
                <w:i w:val="0"/>
                <w:color w:val="1F2937"/>
                <w:sz w:val="19"/>
              </w:rPr>
              <w:t>Leasing operations; real-estate pricing support; government-service request handling; customer growth or retention; compliance triage; operational document processing. Final scenario pack to be confirmed with DIEZ.</w:t>
            </w:r>
          </w:p>
        </w:tc>
      </w:tr>
    </w:tbl>
    <w:p>
      <w:pPr>
        <w:spacing w:after="0"/>
      </w:pPr>
    </w:p>
    <w:p>
      <w:pPr>
        <w:pStyle w:val="Heading1"/>
        <w:spacing w:before="280" w:after="120"/>
      </w:pPr>
      <w:r>
        <w:rPr>
          <w:rFonts w:ascii="Arial" w:hAnsi="Arial" w:eastAsia="Arial"/>
          <w:b/>
          <w:i w:val="0"/>
          <w:color w:val="17365D"/>
          <w:sz w:val="30"/>
        </w:rPr>
        <w:t>8. Assessment and evidence model</w:t>
      </w:r>
    </w:p>
    <w:p>
      <w:pPr>
        <w:spacing w:after="120" w:before="0" w:line="276" w:lineRule="auto"/>
      </w:pPr>
      <w:r>
        <w:rPr>
          <w:rFonts w:ascii="Arial" w:hAnsi="Arial" w:eastAsia="Arial"/>
          <w:b w:val="0"/>
          <w:i w:val="0"/>
          <w:color w:val="1F2937"/>
          <w:sz w:val="21"/>
        </w:rPr>
        <w:t>Assessment is developmental and evidence-based. The pre-assessment is not a pass/fail gate; it calibrates the cohort and establishes a baseline.</w:t>
      </w:r>
    </w:p>
    <w:tbl>
      <w:tblPr>
        <w:tblW w:type="auto" w:w="0"/>
        <w:jc w:val="center"/>
        <w:tblLayout w:type="fixed"/>
        <w:tblLook w:firstColumn="1" w:firstRow="1" w:lastColumn="0" w:lastRow="0" w:noHBand="0" w:noVBand="1" w:val="04A0"/>
      </w:tblPr>
      <w:tblGrid>
        <w:gridCol w:w="3389"/>
        <w:gridCol w:w="3389"/>
        <w:gridCol w:w="3389"/>
      </w:tblGrid>
      <w:tr>
        <w:tc>
          <w:tcPr>
            <w:tcW w:type="dxa" w:w="136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Stage</w:t>
            </w:r>
          </w:p>
        </w:tc>
        <w:tc>
          <w:tcPr>
            <w:tcW w:type="dxa" w:w="367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Method</w:t>
            </w:r>
          </w:p>
        </w:tc>
        <w:tc>
          <w:tcPr>
            <w:tcW w:type="dxa" w:w="439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Evidence / purpose</w:t>
            </w:r>
          </w:p>
        </w:tc>
      </w:tr>
      <w:tr>
        <w:tc>
          <w:tcPr>
            <w:tcW w:type="dxa" w:w="136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Before</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30–45 minute diagnostic and confidence survey across the seven products.</w:t>
            </w:r>
          </w:p>
        </w:tc>
        <w:tc>
          <w:tcPr>
            <w:tcW w:type="dxa" w:w="439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Baseline of product familiarity, current use, limitations awareness, data-governance awareness and role responsibility.</w:t>
            </w:r>
          </w:p>
        </w:tc>
      </w:tr>
      <w:tr>
        <w:tc>
          <w:tcPr>
            <w:tcW w:type="dxa" w:w="136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During</w:t>
            </w:r>
          </w:p>
        </w:tc>
        <w:tc>
          <w:tcPr>
            <w:tcW w:type="dxa" w:w="367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Facilitator observation, peer review, pulse checks, daily artefact checks and scenario challenges.</w:t>
            </w:r>
          </w:p>
        </w:tc>
        <w:tc>
          <w:tcPr>
            <w:tcW w:type="dxa" w:w="439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Checks conceptual understanding and practical stewardship decisions as they develop.</w:t>
            </w:r>
          </w:p>
        </w:tc>
      </w:tr>
      <w:tr>
        <w:tc>
          <w:tcPr>
            <w:tcW w:type="dxa" w:w="136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Final</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Product-use scenario assessment, capstone review and 30-day transfer plan.</w:t>
            </w:r>
          </w:p>
        </w:tc>
        <w:tc>
          <w:tcPr>
            <w:tcW w:type="dxa" w:w="439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Measures progress from baseline and confirms the participant can operate a DIEZ product within defined responsible-use controls.</w:t>
            </w:r>
          </w:p>
        </w:tc>
      </w:tr>
      <w:tr>
        <w:tc>
          <w:tcPr>
            <w:tcW w:type="dxa" w:w="136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Optional follow-up</w:t>
            </w:r>
          </w:p>
        </w:tc>
        <w:tc>
          <w:tcPr>
            <w:tcW w:type="dxa" w:w="367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Manager check-in or community-of-practice session after 30 days.</w:t>
            </w:r>
          </w:p>
        </w:tc>
        <w:tc>
          <w:tcPr>
            <w:tcW w:type="dxa" w:w="439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Captures implementation progress, blockers and evidence of adoption.</w:t>
            </w:r>
          </w:p>
        </w:tc>
      </w:tr>
    </w:tbl>
    <w:p>
      <w:pPr>
        <w:spacing w:after="20"/>
      </w:pPr>
    </w:p>
    <w:p>
      <w:pPr>
        <w:pStyle w:val="Heading2"/>
        <w:spacing w:before="180" w:after="120"/>
      </w:pPr>
      <w:r>
        <w:rPr>
          <w:rFonts w:ascii="Arial" w:hAnsi="Arial" w:eastAsia="Arial"/>
          <w:b/>
          <w:i w:val="0"/>
          <w:color w:val="0F6B78"/>
          <w:sz w:val="23"/>
        </w:rPr>
        <w:t>Suggested capstone rubric (to confirm with DIEZ)</w:t>
      </w:r>
    </w:p>
    <w:tbl>
      <w:tblPr>
        <w:tblW w:type="auto" w:w="0"/>
        <w:jc w:val="center"/>
        <w:tblLayout w:type="fixed"/>
        <w:tblLook w:firstColumn="1" w:firstRow="1" w:lastColumn="0" w:lastRow="0" w:noHBand="0" w:noVBand="1" w:val="04A0"/>
      </w:tblPr>
      <w:tblGrid>
        <w:gridCol w:w="3389"/>
        <w:gridCol w:w="3389"/>
        <w:gridCol w:w="3389"/>
      </w:tblGrid>
      <w:tr>
        <w:tc>
          <w:tcPr>
            <w:tcW w:type="dxa" w:w="25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Criterion</w:t>
            </w:r>
          </w:p>
        </w:tc>
        <w:tc>
          <w:tcPr>
            <w:tcW w:type="dxa" w:w="115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Weight</w:t>
            </w:r>
          </w:p>
        </w:tc>
        <w:tc>
          <w:tcPr>
            <w:tcW w:type="dxa" w:w="576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What good looks like</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Problem framing and value</w:t>
            </w:r>
          </w:p>
        </w:tc>
        <w:tc>
          <w:tcPr>
            <w:tcW w:type="dxa" w:w="115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20%</w:t>
            </w:r>
          </w:p>
        </w:tc>
        <w:tc>
          <w:tcPr>
            <w:tcW w:type="dxa" w:w="576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Specific user or process problem; credible benefit; appropriate AI boundary.</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Data readiness</w:t>
            </w:r>
          </w:p>
        </w:tc>
        <w:tc>
          <w:tcPr>
            <w:tcW w:type="dxa" w:w="115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20%</w:t>
            </w:r>
          </w:p>
        </w:tc>
        <w:tc>
          <w:tcPr>
            <w:tcW w:type="dxa" w:w="576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Data documentation, access, quality and representation are assessed with gaps stated.</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Responsible controls</w:t>
            </w:r>
          </w:p>
        </w:tc>
        <w:tc>
          <w:tcPr>
            <w:tcW w:type="dxa" w:w="115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25%</w:t>
            </w:r>
          </w:p>
        </w:tc>
        <w:tc>
          <w:tcPr>
            <w:tcW w:type="dxa" w:w="576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Risks, privacy/security, human review, decision rights and escalation are explicit.</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Workflow and implementation</w:t>
            </w:r>
          </w:p>
        </w:tc>
        <w:tc>
          <w:tcPr>
            <w:tcW w:type="dxa" w:w="115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20%</w:t>
            </w:r>
          </w:p>
        </w:tc>
        <w:tc>
          <w:tcPr>
            <w:tcW w:type="dxa" w:w="576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The workflow is repeatable, feasible and supported by roles, dependencies and adoption actions.</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Measures and evidence</w:t>
            </w:r>
          </w:p>
        </w:tc>
        <w:tc>
          <w:tcPr>
            <w:tcW w:type="dxa" w:w="115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15%</w:t>
            </w:r>
          </w:p>
        </w:tc>
        <w:tc>
          <w:tcPr>
            <w:tcW w:type="dxa" w:w="576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Success measures cover value, quality, safety, adoption and audit evidence.</w:t>
            </w:r>
          </w:p>
        </w:tc>
      </w:tr>
    </w:tbl>
    <w:p>
      <w:pPr>
        <w:spacing w:after="20"/>
      </w:pPr>
    </w:p>
    <w:p>
      <w:r>
        <w:br w:type="page"/>
      </w:r>
    </w:p>
    <w:p>
      <w:pPr>
        <w:pStyle w:val="Heading1"/>
        <w:spacing w:before="280" w:after="120"/>
      </w:pPr>
      <w:r>
        <w:rPr>
          <w:rFonts w:ascii="Arial" w:hAnsi="Arial" w:eastAsia="Arial"/>
          <w:b/>
          <w:i w:val="0"/>
          <w:color w:val="17365D"/>
          <w:sz w:val="30"/>
        </w:rPr>
        <w:t>9. Learning resources and participant toolkit</w:t>
      </w:r>
    </w:p>
    <w:p>
      <w:pPr>
        <w:spacing w:after="120" w:before="0" w:line="276" w:lineRule="auto"/>
      </w:pPr>
      <w:r>
        <w:rPr>
          <w:rFonts w:ascii="Arial" w:hAnsi="Arial" w:eastAsia="Arial"/>
          <w:b w:val="0"/>
          <w:i w:val="0"/>
          <w:color w:val="1F2937"/>
          <w:sz w:val="21"/>
        </w:rPr>
        <w:t>The following resources are recommended for each participant. They are designed to support both the course and workplace transfer.</w:t>
      </w:r>
    </w:p>
    <w:p>
      <w:pPr>
        <w:pStyle w:val="ListBullet"/>
        <w:spacing w:after="60" w:line="264" w:lineRule="auto"/>
      </w:pPr>
      <w:r>
        <w:rPr>
          <w:rFonts w:ascii="Arial" w:hAnsi="Arial" w:eastAsia="Arial"/>
          <w:b w:val="0"/>
          <w:i w:val="0"/>
          <w:color w:val="1F2937"/>
          <w:sz w:val="20"/>
        </w:rPr>
        <w:t>Participant workbook with plain-language AI concepts, guided exercises, reflection prompts and role-specific application space.</w:t>
      </w:r>
    </w:p>
    <w:p>
      <w:pPr>
        <w:pStyle w:val="ListBullet"/>
        <w:spacing w:after="60" w:line="264" w:lineRule="auto"/>
      </w:pPr>
      <w:r>
        <w:rPr>
          <w:rFonts w:ascii="Arial" w:hAnsi="Arial" w:eastAsia="Arial"/>
          <w:b w:val="0"/>
          <w:i w:val="0"/>
          <w:color w:val="1F2937"/>
          <w:sz w:val="20"/>
        </w:rPr>
        <w:t>AI practice toolkit: prompt canvas, output-verification checklist, safe-use decision guide, risk-review template and human-oversight template.</w:t>
      </w:r>
    </w:p>
    <w:p>
      <w:pPr>
        <w:pStyle w:val="ListBullet"/>
        <w:spacing w:after="60" w:line="264" w:lineRule="auto"/>
      </w:pPr>
      <w:r>
        <w:rPr>
          <w:rFonts w:ascii="Arial" w:hAnsi="Arial" w:eastAsia="Arial"/>
          <w:b w:val="0"/>
          <w:i w:val="0"/>
          <w:color w:val="1F2937"/>
          <w:sz w:val="20"/>
        </w:rPr>
        <w:t>Stewardship scenario pack: simulated datasets, metadata records, issue logs, governance requests and DIEZ-relevant cases.</w:t>
      </w:r>
    </w:p>
    <w:p>
      <w:pPr>
        <w:pStyle w:val="ListBullet"/>
        <w:spacing w:after="60" w:line="264" w:lineRule="auto"/>
      </w:pPr>
      <w:r>
        <w:rPr>
          <w:rFonts w:ascii="Arial" w:hAnsi="Arial" w:eastAsia="Arial"/>
          <w:b w:val="0"/>
          <w:i w:val="0"/>
          <w:color w:val="1F2937"/>
          <w:sz w:val="20"/>
        </w:rPr>
        <w:t>Transfer pack: product quick-reference sheets, responsible-use checklist, glossary, capstone template, evidence guide and 30-day application plan.</w:t>
      </w:r>
    </w:p>
    <w:p>
      <w:pPr>
        <w:pStyle w:val="ListBullet"/>
        <w:spacing w:after="60" w:line="264" w:lineRule="auto"/>
      </w:pPr>
      <w:r>
        <w:rPr>
          <w:rFonts w:ascii="Arial" w:hAnsi="Arial" w:eastAsia="Arial"/>
          <w:b w:val="0"/>
          <w:i w:val="0"/>
          <w:color w:val="1F2937"/>
          <w:sz w:val="20"/>
        </w:rPr>
        <w:t>Facilitator pack: session plans, worked examples, challenge cards, observation checklist, assessment materials and marking guidance.</w:t>
      </w:r>
    </w:p>
    <w:p>
      <w:pPr>
        <w:pStyle w:val="Heading1"/>
        <w:spacing w:before="280" w:after="120"/>
      </w:pPr>
      <w:r>
        <w:rPr>
          <w:rFonts w:ascii="Arial" w:hAnsi="Arial" w:eastAsia="Arial"/>
          <w:b/>
          <w:i w:val="0"/>
          <w:color w:val="17365D"/>
          <w:sz w:val="30"/>
        </w:rPr>
        <w:t>10. Delivery model and roles</w:t>
      </w:r>
    </w:p>
    <w:tbl>
      <w:tblPr>
        <w:tblW w:type="auto" w:w="0"/>
        <w:jc w:val="center"/>
        <w:tblLayout w:type="fixed"/>
        <w:tblLook w:firstColumn="1" w:firstRow="1" w:lastColumn="0" w:lastRow="0" w:noHBand="0" w:noVBand="1" w:val="04A0"/>
      </w:tblPr>
      <w:tblGrid>
        <w:gridCol w:w="5083"/>
        <w:gridCol w:w="5083"/>
      </w:tblGrid>
      <w:tr>
        <w:tc>
          <w:tcPr>
            <w:tcW w:type="dxa" w:w="25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Role</w:t>
            </w:r>
          </w:p>
        </w:tc>
        <w:tc>
          <w:tcPr>
            <w:tcW w:type="dxa" w:w="691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Primary responsibilities</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sponsor / programme owner</w:t>
            </w:r>
          </w:p>
        </w:tc>
        <w:tc>
          <w:tcPr>
            <w:tcW w:type="dxa" w:w="69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Confirm outcomes, cohort profile, product access, product owners, governance constraints and success measures.</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Training provider / programme lead</w:t>
            </w:r>
          </w:p>
        </w:tc>
        <w:tc>
          <w:tcPr>
            <w:tcW w:type="dxa" w:w="69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Own curriculum, faculty, mobilisation, materials, assessment, bilingual support, quality assurance and consolidated reporting.</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subject-matter contributors</w:t>
            </w:r>
          </w:p>
        </w:tc>
        <w:tc>
          <w:tcPr>
            <w:tcW w:type="dxa" w:w="69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Validate scenarios, terminology, data-governance expectations, escalation routes and operational relevance.</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Facilitators</w:t>
            </w:r>
          </w:p>
        </w:tc>
        <w:tc>
          <w:tcPr>
            <w:tcW w:type="dxa" w:w="69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Teach, demonstrate, coach, observe, challenge outputs, support peer review and assess evidence.</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Participants</w:t>
            </w:r>
          </w:p>
        </w:tc>
        <w:tc>
          <w:tcPr>
            <w:tcW w:type="dxa" w:w="69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Bring a non-sensitive task or use the controlled scenario pack, participate actively, document decisions and complete the capstone.</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Line managers (recommended)</w:t>
            </w:r>
          </w:p>
        </w:tc>
        <w:tc>
          <w:tcPr>
            <w:tcW w:type="dxa" w:w="69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Support the 30-day experiment, remove blockers and review evidence of adoption.</w:t>
            </w:r>
          </w:p>
        </w:tc>
      </w:tr>
    </w:tbl>
    <w:p>
      <w:pPr>
        <w:spacing w:after="20"/>
      </w:pPr>
    </w:p>
    <w:p>
      <w:pPr>
        <w:spacing w:after="120" w:before="0" w:line="276" w:lineRule="auto"/>
      </w:pPr>
      <w:r>
        <w:rPr>
          <w:rFonts w:ascii="Arial" w:hAnsi="Arial" w:eastAsia="Arial"/>
          <w:b w:val="0"/>
          <w:i w:val="0"/>
          <w:color w:val="1F2937"/>
          <w:sz w:val="21"/>
        </w:rPr>
        <w:t>Bilingual delivery: Arabic-speaking subject-matter capability can support explanations, terminology, exercises, risk concepts, capstone work and participant questions while maintaining one consistent programme standard.</w:t>
      </w:r>
    </w:p>
    <w:p>
      <w:pPr>
        <w:spacing w:after="120" w:before="0" w:line="276" w:lineRule="auto"/>
      </w:pPr>
      <w:r>
        <w:rPr>
          <w:rFonts w:ascii="Arial" w:hAnsi="Arial" w:eastAsia="Arial"/>
          <w:b w:val="0"/>
          <w:i w:val="0"/>
          <w:color w:val="1F2937"/>
          <w:sz w:val="21"/>
        </w:rPr>
        <w:t>Cohort capacity: two parallel cohorts may be supported subject to scheduling and faculty confirmation, with dedicated facilitation and standardised assessment.</w:t>
      </w:r>
    </w:p>
    <w:p>
      <w:pPr>
        <w:pStyle w:val="Heading1"/>
        <w:spacing w:before="280" w:after="120"/>
      </w:pPr>
      <w:r>
        <w:rPr>
          <w:rFonts w:ascii="Arial" w:hAnsi="Arial" w:eastAsia="Arial"/>
          <w:b/>
          <w:i w:val="0"/>
          <w:color w:val="17365D"/>
          <w:sz w:val="30"/>
        </w:rPr>
        <w:t>11. Mobilisation and delivery readiness</w:t>
      </w:r>
    </w:p>
    <w:tbl>
      <w:tblPr>
        <w:tblW w:type="auto" w:w="0"/>
        <w:jc w:val="center"/>
        <w:tblLayout w:type="fixed"/>
        <w:tblLook w:firstColumn="1" w:firstRow="1" w:lastColumn="0" w:lastRow="0" w:noHBand="0" w:noVBand="1" w:val="04A0"/>
      </w:tblPr>
      <w:tblGrid>
        <w:gridCol w:w="3389"/>
        <w:gridCol w:w="3389"/>
        <w:gridCol w:w="3389"/>
      </w:tblGrid>
      <w:tr>
        <w:tc>
          <w:tcPr>
            <w:tcW w:type="dxa" w:w="180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Timing</w:t>
            </w:r>
          </w:p>
        </w:tc>
        <w:tc>
          <w:tcPr>
            <w:tcW w:type="dxa" w:w="604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Action</w:t>
            </w:r>
          </w:p>
        </w:tc>
        <w:tc>
          <w:tcPr>
            <w:tcW w:type="dxa" w:w="1584"/>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Owner / decision</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T−4 to T−3 weeks</w:t>
            </w:r>
          </w:p>
        </w:tc>
        <w:tc>
          <w:tcPr>
            <w:tcW w:type="dxa" w:w="604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Confirm sponsor, cohort profile, dates, venue, language needs, Microsoft 365 Copilot access, product owners, demonstration access and data-handling rules.</w:t>
            </w:r>
          </w:p>
        </w:tc>
        <w:tc>
          <w:tcPr>
            <w:tcW w:type="dxa" w:w="158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 provider</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T−3 to T−2 weeks</w:t>
            </w:r>
          </w:p>
        </w:tc>
        <w:tc>
          <w:tcPr>
            <w:tcW w:type="dxa" w:w="604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Configure diagnostic, finalise workbook/scenario pack, align assessment rubric and collect non-sensitive participant use cases.</w:t>
            </w:r>
          </w:p>
        </w:tc>
        <w:tc>
          <w:tcPr>
            <w:tcW w:type="dxa" w:w="158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Provider</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T−1 week</w:t>
            </w:r>
          </w:p>
        </w:tc>
        <w:tc>
          <w:tcPr>
            <w:tcW w:type="dxa" w:w="604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Review baseline themes, adjust emphasis, test room and technology, confirm faculty and Arabic support.</w:t>
            </w:r>
          </w:p>
        </w:tc>
        <w:tc>
          <w:tcPr>
            <w:tcW w:type="dxa" w:w="158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Provider + DIEZ</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During course</w:t>
            </w:r>
          </w:p>
        </w:tc>
        <w:tc>
          <w:tcPr>
            <w:tcW w:type="dxa" w:w="604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Deliver sessions, capture daily evidence, resolve tool/access issues and conduct pulse checks.</w:t>
            </w:r>
          </w:p>
        </w:tc>
        <w:tc>
          <w:tcPr>
            <w:tcW w:type="dxa" w:w="158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Provider + DIEZ support</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Within 5 working days</w:t>
            </w:r>
          </w:p>
        </w:tc>
        <w:tc>
          <w:tcPr>
            <w:tcW w:type="dxa" w:w="604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Issue consolidated completion, assessment and feedback report; provide participant evidence pack.</w:t>
            </w:r>
          </w:p>
        </w:tc>
        <w:tc>
          <w:tcPr>
            <w:tcW w:type="dxa" w:w="158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Provider</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At 30 days</w:t>
            </w:r>
          </w:p>
        </w:tc>
        <w:tc>
          <w:tcPr>
            <w:tcW w:type="dxa" w:w="604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Run optional manager or community-of-practice check-in and capture application evidence.</w:t>
            </w:r>
          </w:p>
        </w:tc>
        <w:tc>
          <w:tcPr>
            <w:tcW w:type="dxa" w:w="158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 provider</w:t>
            </w:r>
          </w:p>
        </w:tc>
      </w:tr>
    </w:tbl>
    <w:p>
      <w:pPr>
        <w:spacing w:after="20"/>
      </w:pPr>
    </w:p>
    <w:p>
      <w:pPr>
        <w:pStyle w:val="Heading1"/>
        <w:spacing w:before="280" w:after="120"/>
      </w:pPr>
      <w:r>
        <w:rPr>
          <w:rFonts w:ascii="Arial" w:hAnsi="Arial" w:eastAsia="Arial"/>
          <w:b/>
          <w:i w:val="0"/>
          <w:color w:val="17365D"/>
          <w:sz w:val="30"/>
        </w:rPr>
        <w:t>12. Assumptions and decisions to confirm</w:t>
      </w:r>
    </w:p>
    <w:p>
      <w:pPr>
        <w:pStyle w:val="ListBullet"/>
        <w:spacing w:after="60" w:line="264" w:lineRule="auto"/>
      </w:pPr>
      <w:r>
        <w:rPr>
          <w:rFonts w:ascii="Arial" w:hAnsi="Arial" w:eastAsia="Arial"/>
          <w:b w:val="0"/>
          <w:i w:val="0"/>
          <w:color w:val="1F2937"/>
          <w:sz w:val="20"/>
        </w:rPr>
        <w:t>Final cohort size, participant roles and any requirements for separate manager, steward or business-owner cohorts.</w:t>
      </w:r>
    </w:p>
    <w:p>
      <w:pPr>
        <w:pStyle w:val="ListBullet"/>
        <w:spacing w:after="60" w:line="264" w:lineRule="auto"/>
      </w:pPr>
      <w:r>
        <w:rPr>
          <w:rFonts w:ascii="Arial" w:hAnsi="Arial" w:eastAsia="Arial"/>
          <w:b w:val="0"/>
          <w:i w:val="0"/>
          <w:color w:val="1F2937"/>
          <w:sz w:val="20"/>
        </w:rPr>
        <w:t>Whether delivery is four consecutive days or two two-day blocks within two weeks.</w:t>
      </w:r>
    </w:p>
    <w:p>
      <w:pPr>
        <w:pStyle w:val="ListBullet"/>
        <w:spacing w:after="60" w:line="264" w:lineRule="auto"/>
      </w:pPr>
      <w:r>
        <w:rPr>
          <w:rFonts w:ascii="Arial" w:hAnsi="Arial" w:eastAsia="Arial"/>
          <w:b w:val="0"/>
          <w:i w:val="0"/>
          <w:color w:val="1F2937"/>
          <w:sz w:val="20"/>
        </w:rPr>
        <w:t>Microsoft 365 Copilot licences, identity/access arrangements and the policy for using simulated, anonymised or authorised information.</w:t>
      </w:r>
    </w:p>
    <w:p>
      <w:pPr>
        <w:pStyle w:val="ListBullet"/>
        <w:spacing w:after="60" w:line="264" w:lineRule="auto"/>
      </w:pPr>
      <w:r>
        <w:rPr>
          <w:rFonts w:ascii="Arial" w:hAnsi="Arial" w:eastAsia="Arial"/>
          <w:b w:val="0"/>
          <w:i w:val="0"/>
          <w:color w:val="1F2937"/>
          <w:sz w:val="20"/>
        </w:rPr>
        <w:t>Product owners and operational SMEs for all seven products, including confirmation of the owners currently not stated.</w:t>
      </w:r>
    </w:p>
    <w:p>
      <w:pPr>
        <w:pStyle w:val="ListBullet"/>
        <w:spacing w:after="60" w:line="264" w:lineRule="auto"/>
      </w:pPr>
      <w:r>
        <w:rPr>
          <w:rFonts w:ascii="Arial" w:hAnsi="Arial" w:eastAsia="Arial"/>
          <w:b w:val="0"/>
          <w:i w:val="0"/>
          <w:color w:val="1F2937"/>
          <w:sz w:val="20"/>
        </w:rPr>
        <w:t>The actual technology used for Content Moderation and Partner IQ; both remain unconfirmed in this plan.</w:t>
      </w:r>
    </w:p>
    <w:p>
      <w:pPr>
        <w:pStyle w:val="ListBullet"/>
        <w:spacing w:after="60" w:line="264" w:lineRule="auto"/>
      </w:pPr>
      <w:r>
        <w:rPr>
          <w:rFonts w:ascii="Arial" w:hAnsi="Arial" w:eastAsia="Arial"/>
          <w:b w:val="0"/>
          <w:i w:val="0"/>
          <w:color w:val="1F2937"/>
          <w:sz w:val="20"/>
        </w:rPr>
        <w:t>The exact 11–12 Customer Segmentation drivers, tier definitions, refresh frequency and Salesforce display/override process.</w:t>
      </w:r>
    </w:p>
    <w:p>
      <w:pPr>
        <w:pStyle w:val="ListBullet"/>
        <w:spacing w:after="60" w:line="264" w:lineRule="auto"/>
      </w:pPr>
      <w:r>
        <w:rPr>
          <w:rFonts w:ascii="Arial" w:hAnsi="Arial" w:eastAsia="Arial"/>
          <w:b w:val="0"/>
          <w:i w:val="0"/>
          <w:color w:val="1F2937"/>
          <w:sz w:val="20"/>
        </w:rPr>
        <w:t>Sentiment and churn confidence/alert thresholds, model refresh and monitoring, and authorised intervention rules.</w:t>
      </w:r>
    </w:p>
    <w:p>
      <w:pPr>
        <w:pStyle w:val="ListBullet"/>
        <w:spacing w:after="60" w:line="264" w:lineRule="auto"/>
      </w:pPr>
      <w:r>
        <w:rPr>
          <w:rFonts w:ascii="Arial" w:hAnsi="Arial" w:eastAsia="Arial"/>
          <w:b w:val="0"/>
          <w:i w:val="0"/>
          <w:color w:val="1F2937"/>
          <w:sz w:val="20"/>
        </w:rPr>
        <w:t>Document Intelligence field-confidence thresholds, source-evidence retention, portal validation and exception ownership.</w:t>
      </w:r>
    </w:p>
    <w:p>
      <w:pPr>
        <w:pStyle w:val="ListBullet"/>
        <w:spacing w:after="60" w:line="264" w:lineRule="auto"/>
      </w:pPr>
      <w:r>
        <w:rPr>
          <w:rFonts w:ascii="Arial" w:hAnsi="Arial" w:eastAsia="Arial"/>
          <w:b w:val="0"/>
          <w:i w:val="0"/>
          <w:color w:val="1F2937"/>
          <w:sz w:val="20"/>
        </w:rPr>
        <w:t>Whether Arabic support is required in every room, for selected sessions, or on an on-call basis.</w:t>
      </w:r>
    </w:p>
    <w:p>
      <w:pPr>
        <w:pStyle w:val="ListBullet"/>
        <w:spacing w:after="60" w:line="264" w:lineRule="auto"/>
      </w:pPr>
      <w:r>
        <w:rPr>
          <w:rFonts w:ascii="Arial" w:hAnsi="Arial" w:eastAsia="Arial"/>
          <w:b w:val="0"/>
          <w:i w:val="0"/>
          <w:color w:val="1F2937"/>
          <w:sz w:val="20"/>
        </w:rPr>
        <w:t>Whether external accreditation or another measurement platform will be used for onboarding, assessment, progress and consolidated reporting.</w:t>
      </w:r>
    </w:p>
    <w:p>
      <w:pPr>
        <w:pStyle w:val="ListBullet"/>
        <w:spacing w:after="60" w:line="264" w:lineRule="auto"/>
      </w:pPr>
      <w:r>
        <w:rPr>
          <w:rFonts w:ascii="Arial" w:hAnsi="Arial" w:eastAsia="Arial"/>
          <w:b w:val="0"/>
          <w:i w:val="0"/>
          <w:color w:val="1F2937"/>
          <w:sz w:val="20"/>
        </w:rPr>
        <w:t>Which DIEZ legal, data-protection, information-security and data-governance owners will sign off scenarios, data classifications, approved tools and control language before delivery.</w:t>
      </w:r>
    </w:p>
    <w:p>
      <w:pPr>
        <w:pStyle w:val="ListBullet"/>
        <w:spacing w:after="60" w:line="264" w:lineRule="auto"/>
      </w:pPr>
      <w:r>
        <w:rPr>
          <w:rFonts w:ascii="Arial" w:hAnsi="Arial" w:eastAsia="Arial"/>
          <w:b w:val="0"/>
          <w:i w:val="0"/>
          <w:color w:val="1F2937"/>
          <w:sz w:val="20"/>
        </w:rPr>
        <w:t>Whether any sector-specific, free-zone, contractual or cross-border data requirements apply to the selected use cases.</w:t>
      </w:r>
    </w:p>
    <w:p>
      <w:pPr>
        <w:pStyle w:val="ListBullet"/>
        <w:spacing w:after="60" w:line="264" w:lineRule="auto"/>
      </w:pPr>
      <w:r>
        <w:rPr>
          <w:rFonts w:ascii="Arial" w:hAnsi="Arial" w:eastAsia="Arial"/>
          <w:b w:val="0"/>
          <w:i w:val="0"/>
          <w:color w:val="1F2937"/>
          <w:sz w:val="20"/>
        </w:rPr>
        <w:t>Success measures beyond attendance, such as correct product-output interpretation, quality of controls, exception-handling readiness and 30-day responsible-use evidence.</w:t>
      </w:r>
    </w:p>
    <w:p>
      <w:pPr>
        <w:pStyle w:val="Heading1"/>
        <w:spacing w:before="280" w:after="120"/>
      </w:pPr>
      <w:r>
        <w:rPr>
          <w:rFonts w:ascii="Arial" w:hAnsi="Arial" w:eastAsia="Arial"/>
          <w:b/>
          <w:i w:val="0"/>
          <w:color w:val="17365D"/>
          <w:sz w:val="30"/>
        </w:rPr>
        <w:t>13. Risks and mitigations</w:t>
      </w:r>
    </w:p>
    <w:tbl>
      <w:tblPr>
        <w:tblW w:type="auto" w:w="0"/>
        <w:jc w:val="center"/>
        <w:tblLayout w:type="fixed"/>
        <w:tblLook w:firstColumn="1" w:firstRow="1" w:lastColumn="0" w:lastRow="0" w:noHBand="0" w:noVBand="1" w:val="04A0"/>
      </w:tblPr>
      <w:tblGrid>
        <w:gridCol w:w="5083"/>
        <w:gridCol w:w="5083"/>
      </w:tblGrid>
      <w:tr>
        <w:tc>
          <w:tcPr>
            <w:tcW w:type="dxa" w:w="352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Risk</w:t>
            </w:r>
          </w:p>
        </w:tc>
        <w:tc>
          <w:tcPr>
            <w:tcW w:type="dxa" w:w="5904"/>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Mitigation in this plan</w:t>
            </w:r>
          </w:p>
        </w:tc>
      </w:tr>
      <w:tr>
        <w:tc>
          <w:tcPr>
            <w:tcW w:type="dxa" w:w="352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Participants use sensitive data in an unapproved tool.</w:t>
            </w:r>
          </w:p>
        </w:tc>
        <w:tc>
          <w:tcPr>
            <w:tcW w:type="dxa" w:w="590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Use safe, authorised or simulated information; define tool and data rules during mobilisation; include a safe-use decision guide.</w:t>
            </w:r>
          </w:p>
        </w:tc>
      </w:tr>
      <w:tr>
        <w:tc>
          <w:tcPr>
            <w:tcW w:type="dxa" w:w="352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Course becomes tool training rather than capability building.</w:t>
            </w:r>
          </w:p>
        </w:tc>
        <w:tc>
          <w:tcPr>
            <w:tcW w:type="dxa" w:w="590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Use a tool-neutral discipline and scenario evidence; treat tools as examples inside a broader workflow.</w:t>
            </w:r>
          </w:p>
        </w:tc>
      </w:tr>
      <w:tr>
        <w:tc>
          <w:tcPr>
            <w:tcW w:type="dxa" w:w="352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Outputs are accepted without verification.</w:t>
            </w:r>
          </w:p>
        </w:tc>
        <w:tc>
          <w:tcPr>
            <w:tcW w:type="dxa" w:w="590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Make review and evidence capture mandatory in every lab; assess accept/revise/reject/escalate decisions.</w:t>
            </w:r>
          </w:p>
        </w:tc>
      </w:tr>
      <w:tr>
        <w:tc>
          <w:tcPr>
            <w:tcW w:type="dxa" w:w="352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Product details are assumed or outdated.</w:t>
            </w:r>
          </w:p>
        </w:tc>
        <w:tc>
          <w:tcPr>
            <w:tcW w:type="dxa" w:w="590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Validate the product fact sheets with named owners before delivery; keep unknown owners and unconfirmed technologies clearly labelled.</w:t>
            </w:r>
          </w:p>
        </w:tc>
      </w:tr>
      <w:tr>
        <w:tc>
          <w:tcPr>
            <w:tcW w:type="dxa" w:w="352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Learners treat a product output as a final decision.</w:t>
            </w:r>
          </w:p>
        </w:tc>
        <w:tc>
          <w:tcPr>
            <w:tcW w:type="dxa" w:w="590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Assess interpretation of tiers, confidence scores, alerts, rankings and extracted fields; require human decision rules and evidence.</w:t>
            </w:r>
          </w:p>
        </w:tc>
      </w:tr>
      <w:tr>
        <w:tc>
          <w:tcPr>
            <w:tcW w:type="dxa" w:w="352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Scenarios are not relevant to DIEZ operations.</w:t>
            </w:r>
          </w:p>
        </w:tc>
        <w:tc>
          <w:tcPr>
            <w:tcW w:type="dxa" w:w="590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Build labs around the actual product workflows: Salesforce tiers, customer-care touchpoints, churn alerts, community moderation, zone matching, M365 Copilot and visa-document extraction.</w:t>
            </w:r>
          </w:p>
        </w:tc>
      </w:tr>
      <w:tr>
        <w:tc>
          <w:tcPr>
            <w:tcW w:type="dxa" w:w="352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Learning does not transfer to workplace practice.</w:t>
            </w:r>
          </w:p>
        </w:tc>
        <w:tc>
          <w:tcPr>
            <w:tcW w:type="dxa" w:w="590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Finish with a governed workflow, a 30-day application plan and an optional manager/community follow-up.</w:t>
            </w:r>
          </w:p>
        </w:tc>
      </w:tr>
      <w:tr>
        <w:tc>
          <w:tcPr>
            <w:tcW w:type="dxa" w:w="352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Bilingual support fragments the course experience.</w:t>
            </w:r>
          </w:p>
        </w:tc>
        <w:tc>
          <w:tcPr>
            <w:tcW w:type="dxa" w:w="590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Use one shared curriculum and assessment standard with Arabic-speaking support integrated into facilitation.</w:t>
            </w:r>
          </w:p>
        </w:tc>
      </w:tr>
    </w:tbl>
    <w:p>
      <w:pPr>
        <w:spacing w:after="20"/>
      </w:pPr>
    </w:p>
    <w:p>
      <w:pPr>
        <w:pStyle w:val="Heading1"/>
        <w:spacing w:before="280" w:after="120"/>
      </w:pPr>
      <w:r>
        <w:rPr>
          <w:rFonts w:ascii="Arial" w:hAnsi="Arial" w:eastAsia="Arial"/>
          <w:b/>
          <w:i w:val="0"/>
          <w:color w:val="17365D"/>
          <w:sz w:val="30"/>
        </w:rPr>
        <w:t>14. Recommended decision</w:t>
      </w:r>
    </w:p>
    <w:p>
      <w:pPr>
        <w:spacing w:after="120" w:before="0" w:line="276" w:lineRule="auto"/>
      </w:pPr>
      <w:r>
        <w:rPr>
          <w:rFonts w:ascii="Arial" w:hAnsi="Arial" w:eastAsia="Arial"/>
          <w:b w:val="0"/>
          <w:i w:val="0"/>
          <w:color w:val="1F2937"/>
          <w:sz w:val="21"/>
        </w:rPr>
        <w:t>Proceed with the four-day product-responsibility course as the baseline for client discussion, subject to a mobilisation workshop with DIEZ. The workshop should validate the seven product fact sheets, confirm owners and currently unconfirmed technologies, agree safe demonstration access, define decision thresholds and escalation routes, and approve the bilingual and measurement approach. Once confirmed, the timetable can be converted into a facilitator guide, participant workbook, product lab pack and assessment pack without changing the core learning journey.</w:t>
      </w:r>
    </w:p>
    <w:p>
      <w:pPr>
        <w:pStyle w:val="Heading1"/>
        <w:spacing w:before="280" w:after="120"/>
      </w:pPr>
      <w:r>
        <w:rPr>
          <w:rFonts w:ascii="Arial" w:hAnsi="Arial" w:eastAsia="Arial"/>
          <w:b/>
          <w:i w:val="0"/>
          <w:color w:val="17365D"/>
          <w:sz w:val="30"/>
        </w:rPr>
        <w:t>References</w:t>
      </w:r>
    </w:p>
    <w:p>
      <w:pPr>
        <w:spacing w:after="120" w:before="0" w:line="276" w:lineRule="auto"/>
      </w:pPr>
      <w:r>
        <w:rPr>
          <w:rFonts w:ascii="Arial" w:hAnsi="Arial" w:eastAsia="Arial"/>
          <w:b w:val="0"/>
          <w:i w:val="0"/>
          <w:color w:val="1F2937"/>
          <w:sz w:val="21"/>
        </w:rPr>
        <w:t>[1] UAE Legislation, Federal Decree-Law No. (45) of 2021 Concerning the Protection of Personal Data. https://uaelegislation.gov.ae/en/legislations/1972</w:t>
      </w:r>
    </w:p>
    <w:p>
      <w:pPr>
        <w:spacing w:after="120" w:before="0" w:line="276" w:lineRule="auto"/>
      </w:pPr>
      <w:r>
        <w:rPr>
          <w:rFonts w:ascii="Arial" w:hAnsi="Arial" w:eastAsia="Arial"/>
          <w:b w:val="0"/>
          <w:i w:val="0"/>
          <w:color w:val="1F2937"/>
          <w:sz w:val="21"/>
        </w:rPr>
        <w:t>[2] Digital Dubai, Standards and Policies (including Dubai Law No. 26 of 2015, Law No. 9 of 2022, Executive Council Resolution No. 15 of 2022 and Executive Council Resolution No. 13 of 2012). https://www.digitaldubai.ae/standards-and-policies</w:t>
      </w:r>
    </w:p>
    <w:p>
      <w:pPr>
        <w:spacing w:after="120"/>
      </w:pPr>
      <w:r>
        <w:rPr>
          <w:rFonts w:ascii="Arial" w:hAnsi="Arial" w:eastAsia="Arial"/>
          <w:b w:val="0"/>
          <w:i w:val="0"/>
          <w:color w:val="1F2937"/>
          <w:sz w:val="18"/>
        </w:rPr>
        <w:t xml:space="preserve">[3] DIEZ — Driving Dubai’s Economic Growth. </w:t>
      </w:r>
      <w:hyperlink r:id="rId11">
        <w:r>
          <w:rPr>
            <w:color w:val="2F75B5"/>
            <w:u w:val="single"/>
          </w:rPr>
          <w:t>https://www.diez.ae/</w:t>
        </w:r>
      </w:hyperlink>
    </w:p>
    <w:p>
      <w:pPr>
        <w:spacing w:after="0" w:before="0" w:line="276" w:lineRule="auto"/>
      </w:pPr>
      <w:r>
        <w:rPr>
          <w:rFonts w:ascii="Arial" w:hAnsi="Arial" w:eastAsia="Arial"/>
          <w:b w:val="0"/>
          <w:i w:val="0"/>
          <w:color w:val="666666"/>
          <w:sz w:val="17"/>
        </w:rPr>
        <w:t>Citation note: This document provides an operational alignment model for training design. It is not a legal opinion and should be reviewed against DIEZ internal policies and scenario-specific requirements before delivery.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i w:val="0"/>
        <w:color w:val="0F6B78"/>
        <w:sz w:val="17"/>
      </w:rPr>
      <w:t>DIEZ  |  AI for Data Stewards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iez.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Data Stewards — Proposed Four-Day Course Plan</dc:title>
  <dc:subject>DIEZ 2026 AI literacy and data stewardship training plan</dc:subject>
  <dc:creator>Skywork</dc:creator>
  <cp:keywords>DIEZ, AI literacy, data stewards, responsible AI, training plan</cp:keywords>
  <dc:description>generated by python-docx</dc:description>
  <cp:lastModifiedBy/>
  <cp:revision>1</cp:revision>
  <dcterms:created xsi:type="dcterms:W3CDTF">2013-12-23T23:15:00Z</dcterms:created>
  <dcterms:modified xsi:type="dcterms:W3CDTF">2013-12-23T23:15:00Z</dcterms:modified>
  <cp:category/>
</cp:coreProperties>
</file>