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after="80"/>
      </w:pPr>
      <w:r>
        <w:rPr>
          <w:rFonts w:ascii="Arial" w:hAnsi="Arial" w:eastAsia="Arial"/>
          <w:b/>
          <w:i w:val="0"/>
          <w:color w:val="0F6B78"/>
          <w:sz w:val="36"/>
        </w:rPr>
        <w:t>DIEZ</w:t>
      </w:r>
    </w:p>
    <w:p>
      <w:pPr>
        <w:spacing w:after="60"/>
      </w:pPr>
      <w:r>
        <w:rPr>
          <w:rFonts w:ascii="Arial" w:hAnsi="Arial" w:eastAsia="Arial"/>
          <w:b/>
          <w:i w:val="0"/>
          <w:color w:val="17365D"/>
          <w:sz w:val="56"/>
        </w:rPr>
        <w:t>AI for Data Stewards</w:t>
      </w:r>
    </w:p>
    <w:p>
      <w:pPr>
        <w:spacing w:after="360"/>
      </w:pPr>
      <w:r>
        <w:rPr>
          <w:rFonts w:ascii="Arial" w:hAnsi="Arial" w:eastAsia="Arial"/>
          <w:b w:val="0"/>
          <w:i w:val="0"/>
          <w:color w:val="2F75B5"/>
          <w:sz w:val="34"/>
        </w:rPr>
        <w:t>Session briefs</w:t>
      </w:r>
    </w:p>
    <w:tbl>
      <w:tblPr>
        <w:tblW w:type="auto" w:w="0"/>
        <w:jc w:val="center"/>
        <w:tblLook w:firstColumn="1" w:firstRow="1" w:lastColumn="0" w:lastRow="0" w:noHBand="0" w:noVBand="1" w:val="04A0"/>
      </w:tblPr>
      <w:tblGrid>
        <w:gridCol w:w="10282"/>
      </w:tblGrid>
      <w:tr>
        <w:tc>
          <w:tcPr>
            <w:tcW w:type="dxa" w:w="10282"/>
            <w:shd w:fill="EEF5FB"/>
            <w:tcBorders>
              <w:top w:val="single" w:sz="6" w:space="0" w:color="0F6B78"/>
              <w:left w:val="single" w:sz="6" w:space="0" w:color="0F6B78"/>
              <w:bottom w:val="single" w:sz="6" w:space="0" w:color="0F6B78"/>
              <w:right w:val="single" w:sz="6" w:space="0" w:color="0F6B78"/>
            </w:tcBorders>
            <w:tcMar>
              <w:top w:w="125" w:type="dxa"/>
              <w:start w:w="150" w:type="dxa"/>
              <w:bottom w:w="125" w:type="dxa"/>
              <w:end w:w="150" w:type="dxa"/>
            </w:tcMar>
          </w:tcPr>
          <w:p>
            <w:pPr>
              <w:spacing w:after="60"/>
            </w:pPr>
            <w:r/>
            <w:r>
              <w:rPr>
                <w:rFonts w:ascii="Arial" w:hAnsi="Arial" w:eastAsia="Arial"/>
                <w:b/>
                <w:i w:val="0"/>
                <w:color w:val="17365D"/>
                <w:sz w:val="21"/>
              </w:rPr>
              <w:t>Purpose of this document</w:t>
            </w:r>
          </w:p>
          <w:p>
            <w:pPr>
              <w:spacing w:after="0" w:line="252" w:lineRule="auto"/>
            </w:pPr>
            <w:r>
              <w:rPr>
                <w:rFonts w:ascii="Arial" w:hAnsi="Arial" w:eastAsia="Arial"/>
                <w:b w:val="0"/>
                <w:i w:val="0"/>
                <w:color w:val="243447"/>
                <w:sz w:val="19"/>
              </w:rPr>
              <w:t>A practical four-day programme for teams who will use, oversee or sign off AI-enabled products.</w:t>
            </w:r>
          </w:p>
        </w:tc>
      </w:tr>
    </w:tbl>
    <w:p>
      <w:pPr>
        <w:spacing w:after="20"/>
      </w:pPr>
    </w:p>
    <w:p>
      <w:pPr>
        <w:spacing w:after="60"/>
      </w:pPr>
      <w:r>
        <w:rPr>
          <w:rFonts w:ascii="Arial" w:hAnsi="Arial" w:eastAsia="Arial"/>
          <w:b/>
          <w:i w:val="0"/>
          <w:color w:val="17365D"/>
          <w:sz w:val="20"/>
        </w:rPr>
        <w:t xml:space="preserve">Prepared for: </w:t>
      </w:r>
      <w:r>
        <w:rPr>
          <w:rFonts w:ascii="Arial" w:hAnsi="Arial" w:eastAsia="Arial"/>
          <w:b w:val="0"/>
          <w:i w:val="0"/>
          <w:color w:val="243447"/>
          <w:sz w:val="20"/>
        </w:rPr>
        <w:t>Dubai Integrated Economic Zones Authority (DIEZ)</w:t>
      </w:r>
    </w:p>
    <w:p>
      <w:pPr>
        <w:spacing w:after="60"/>
      </w:pPr>
      <w:r>
        <w:rPr>
          <w:rFonts w:ascii="Arial" w:hAnsi="Arial" w:eastAsia="Arial"/>
          <w:b/>
          <w:i w:val="0"/>
          <w:color w:val="17365D"/>
          <w:sz w:val="20"/>
        </w:rPr>
        <w:t xml:space="preserve">Format: </w:t>
      </w:r>
      <w:r>
        <w:rPr>
          <w:rFonts w:ascii="Arial" w:hAnsi="Arial" w:eastAsia="Arial"/>
          <w:b w:val="0"/>
          <w:i w:val="0"/>
          <w:color w:val="243447"/>
          <w:sz w:val="20"/>
        </w:rPr>
        <w:t>Four-day applied programme with pre- and post-assessment</w:t>
      </w:r>
    </w:p>
    <w:p>
      <w:pPr>
        <w:spacing w:after="60"/>
      </w:pPr>
      <w:r>
        <w:rPr>
          <w:rFonts w:ascii="Arial" w:hAnsi="Arial" w:eastAsia="Arial"/>
          <w:b/>
          <w:i w:val="0"/>
          <w:color w:val="17365D"/>
          <w:sz w:val="20"/>
        </w:rPr>
        <w:t xml:space="preserve">Working environment: </w:t>
      </w:r>
      <w:r>
        <w:rPr>
          <w:rFonts w:ascii="Arial" w:hAnsi="Arial" w:eastAsia="Arial"/>
          <w:b w:val="0"/>
          <w:i w:val="0"/>
          <w:color w:val="243447"/>
          <w:sz w:val="20"/>
        </w:rPr>
        <w:t>Microsoft 365 Copilot on DIEZ laptops; simulated data only; no live-system access</w:t>
      </w:r>
    </w:p>
    <w:p>
      <w:pPr>
        <w:spacing w:after="60"/>
      </w:pPr>
      <w:r>
        <w:rPr>
          <w:rFonts w:ascii="Arial" w:hAnsi="Arial" w:eastAsia="Arial"/>
          <w:b/>
          <w:i w:val="0"/>
          <w:color w:val="17365D"/>
          <w:sz w:val="20"/>
        </w:rPr>
        <w:t xml:space="preserve">Status: </w:t>
      </w:r>
      <w:r>
        <w:rPr>
          <w:rFonts w:ascii="Arial" w:hAnsi="Arial" w:eastAsia="Arial"/>
          <w:b w:val="0"/>
          <w:i w:val="0"/>
          <w:color w:val="243447"/>
          <w:sz w:val="20"/>
        </w:rPr>
        <w:t>Draft for client consideration · September 2026</w:t>
      </w:r>
    </w:p>
    <w:p>
      <w:r>
        <w:br w:type="page"/>
      </w:r>
    </w:p>
    <w:p>
      <w:pPr>
        <w:pStyle w:val="Heading1"/>
        <w:keepNext/>
        <w:spacing w:before="280" w:after="100"/>
      </w:pPr>
      <w:r>
        <w:rPr>
          <w:rFonts w:ascii="Arial" w:hAnsi="Arial" w:eastAsia="Arial"/>
          <w:b/>
          <w:i w:val="0"/>
          <w:color w:val="17365D"/>
          <w:sz w:val="30"/>
        </w:rPr>
        <w:t>1. Programme at a glance</w:t>
      </w:r>
    </w:p>
    <w:p>
      <w:pPr>
        <w:spacing w:after="100" w:before="0" w:line="259" w:lineRule="auto"/>
      </w:pPr>
      <w:r>
        <w:rPr>
          <w:rFonts w:ascii="Arial" w:hAnsi="Arial" w:eastAsia="Arial"/>
          <w:b w:val="0"/>
          <w:i w:val="0"/>
          <w:color w:val="243447"/>
          <w:sz w:val="20"/>
        </w:rPr>
        <w:t>The programme is for business section heads, team managers, data owners and stewards. Participants work in functional teams across DAFZ, DSO and Dubai CommerCity, using the same process so that differences across the three zones can be compared.</w:t>
      </w:r>
    </w:p>
    <w:tbl>
      <w:tblPr>
        <w:tblW w:type="dxa" w:w="9504"/>
        <w:jc w:val="center"/>
        <w:tblLayout w:type="fixed"/>
        <w:tblLook w:firstColumn="1" w:firstRow="1" w:lastColumn="0" w:lastRow="0" w:noHBand="0" w:noVBand="1" w:val="04A0"/>
      </w:tblPr>
      <w:tblGrid>
        <w:gridCol w:w="1512"/>
        <w:gridCol w:w="2951"/>
        <w:gridCol w:w="5040"/>
      </w:tblGrid>
      <w:tr>
        <w:tc>
          <w:tcPr>
            <w:tcW w:type="dxa" w:w="1512"/>
            <w:shd w:fill="17365D"/>
            <w:tcBorders>
              <w:top w:val="single" w:sz="5" w:space="0" w:color="17365D"/>
              <w:left w:val="single" w:sz="5" w:space="0" w:color="17365D"/>
              <w:bottom w:val="single" w:sz="5" w:space="0" w:color="17365D"/>
              <w:right w:val="single" w:sz="5" w:space="0" w:color="17365D"/>
            </w:tcBorders>
            <w:tcMar>
              <w:top w:w="85" w:type="dxa"/>
              <w:start w:w="105" w:type="dxa"/>
              <w:bottom w:w="85" w:type="dxa"/>
              <w:end w:w="105" w:type="dxa"/>
            </w:tcMar>
          </w:tcPr>
          <w:p>
            <w:pPr>
              <w:spacing w:after="0"/>
            </w:pPr>
            <w:r/>
            <w:r>
              <w:rPr>
                <w:rFonts w:ascii="Arial" w:hAnsi="Arial" w:eastAsia="Arial"/>
                <w:b/>
                <w:i w:val="0"/>
                <w:color w:val="FFFFFF"/>
                <w:sz w:val="18"/>
              </w:rPr>
              <w:t>Day</w:t>
            </w:r>
          </w:p>
        </w:tc>
        <w:tc>
          <w:tcPr>
            <w:tcW w:type="dxa" w:w="2951"/>
            <w:shd w:fill="17365D"/>
            <w:tcBorders>
              <w:top w:val="single" w:sz="5" w:space="0" w:color="17365D"/>
              <w:left w:val="single" w:sz="5" w:space="0" w:color="17365D"/>
              <w:bottom w:val="single" w:sz="5" w:space="0" w:color="17365D"/>
              <w:right w:val="single" w:sz="5" w:space="0" w:color="17365D"/>
            </w:tcBorders>
            <w:tcMar>
              <w:top w:w="85" w:type="dxa"/>
              <w:start w:w="105" w:type="dxa"/>
              <w:bottom w:w="85" w:type="dxa"/>
              <w:end w:w="105" w:type="dxa"/>
            </w:tcMar>
          </w:tcPr>
          <w:p>
            <w:pPr>
              <w:spacing w:after="0"/>
            </w:pPr>
            <w:r/>
            <w:r>
              <w:rPr>
                <w:rFonts w:ascii="Arial" w:hAnsi="Arial" w:eastAsia="Arial"/>
                <w:b/>
                <w:i w:val="0"/>
                <w:color w:val="FFFFFF"/>
                <w:sz w:val="18"/>
              </w:rPr>
              <w:t>Focus</w:t>
            </w:r>
          </w:p>
        </w:tc>
        <w:tc>
          <w:tcPr>
            <w:tcW w:type="dxa" w:w="5040"/>
            <w:shd w:fill="17365D"/>
            <w:tcBorders>
              <w:top w:val="single" w:sz="5" w:space="0" w:color="17365D"/>
              <w:left w:val="single" w:sz="5" w:space="0" w:color="17365D"/>
              <w:bottom w:val="single" w:sz="5" w:space="0" w:color="17365D"/>
              <w:right w:val="single" w:sz="5" w:space="0" w:color="17365D"/>
            </w:tcBorders>
            <w:tcMar>
              <w:top w:w="85" w:type="dxa"/>
              <w:start w:w="105" w:type="dxa"/>
              <w:bottom w:w="85" w:type="dxa"/>
              <w:end w:w="105" w:type="dxa"/>
            </w:tcMar>
          </w:tcPr>
          <w:p>
            <w:pPr>
              <w:spacing w:after="0"/>
            </w:pPr>
            <w:r/>
            <w:r>
              <w:rPr>
                <w:rFonts w:ascii="Arial" w:hAnsi="Arial" w:eastAsia="Arial"/>
                <w:b/>
                <w:i w:val="0"/>
                <w:color w:val="FFFFFF"/>
                <w:sz w:val="18"/>
              </w:rPr>
              <w:t>What participants leave with</w:t>
            </w:r>
          </w:p>
        </w:tc>
      </w:tr>
      <w:tr>
        <w:tc>
          <w:tcPr>
            <w:tcW w:type="dxa" w:w="1512"/>
            <w:shd w:fill="FFFFFF"/>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8"/>
              </w:rPr>
              <w:t>Day 1</w:t>
            </w:r>
          </w:p>
        </w:tc>
        <w:tc>
          <w:tcPr>
            <w:tcW w:type="dxa" w:w="2951"/>
            <w:shd w:fill="FFFFFF"/>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8"/>
              </w:rPr>
              <w:t>Understand and identify</w:t>
            </w:r>
          </w:p>
        </w:tc>
        <w:tc>
          <w:tcPr>
            <w:tcW w:type="dxa" w:w="5040"/>
            <w:shd w:fill="FFFFFF"/>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8"/>
              </w:rPr>
              <w:t>A shared AI model, safe-use rules, a tested working pattern and an opportunity map.</w:t>
            </w:r>
          </w:p>
        </w:tc>
      </w:tr>
      <w:tr>
        <w:tc>
          <w:tcPr>
            <w:tcW w:type="dxa" w:w="1512"/>
            <w:shd w:fill="F3F5F7"/>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8"/>
              </w:rPr>
              <w:t>Day 2</w:t>
            </w:r>
          </w:p>
        </w:tc>
        <w:tc>
          <w:tcPr>
            <w:tcW w:type="dxa" w:w="2951"/>
            <w:shd w:fill="F3F5F7"/>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8"/>
              </w:rPr>
              <w:t>Apply to DIEZ products</w:t>
            </w:r>
          </w:p>
        </w:tc>
        <w:tc>
          <w:tcPr>
            <w:tcW w:type="dxa" w:w="5040"/>
            <w:shd w:fill="F3F5F7"/>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8"/>
              </w:rPr>
              <w:t>A data-readiness checklist, reviewed product artefacts and a prioritised use case.</w:t>
            </w:r>
          </w:p>
        </w:tc>
      </w:tr>
      <w:tr>
        <w:tc>
          <w:tcPr>
            <w:tcW w:type="dxa" w:w="1512"/>
            <w:shd w:fill="FFFFFF"/>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8"/>
              </w:rPr>
              <w:t>Day 3</w:t>
            </w:r>
          </w:p>
        </w:tc>
        <w:tc>
          <w:tcPr>
            <w:tcW w:type="dxa" w:w="2951"/>
            <w:shd w:fill="FFFFFF"/>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8"/>
              </w:rPr>
              <w:t>Verify and govern</w:t>
            </w:r>
          </w:p>
        </w:tc>
        <w:tc>
          <w:tcPr>
            <w:tcW w:type="dxa" w:w="5040"/>
            <w:shd w:fill="FFFFFF"/>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8"/>
              </w:rPr>
              <w:t>A safe-use checklist, product risk review, sign-off checklist, human-review workflow and escalation map.</w:t>
            </w:r>
          </w:p>
        </w:tc>
      </w:tr>
      <w:tr>
        <w:tc>
          <w:tcPr>
            <w:tcW w:type="dxa" w:w="1512"/>
            <w:shd w:fill="F3F5F7"/>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8"/>
              </w:rPr>
              <w:t>Day 4</w:t>
            </w:r>
          </w:p>
        </w:tc>
        <w:tc>
          <w:tcPr>
            <w:tcW w:type="dxa" w:w="2951"/>
            <w:shd w:fill="F3F5F7"/>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8"/>
              </w:rPr>
              <w:t>Implement and demonstrate</w:t>
            </w:r>
          </w:p>
        </w:tc>
        <w:tc>
          <w:tcPr>
            <w:tcW w:type="dxa" w:w="5040"/>
            <w:shd w:fill="F3F5F7"/>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8"/>
              </w:rPr>
              <w:t>A governed AI-assisted workflow, capstone assessment, post-assessment and 30-day application plan.</w:t>
            </w:r>
          </w:p>
        </w:tc>
      </w:tr>
    </w:tbl>
    <w:p>
      <w:pPr>
        <w:spacing w:after="20"/>
      </w:pPr>
    </w:p>
    <w:tbl>
      <w:tblPr>
        <w:tblW w:type="auto" w:w="0"/>
        <w:jc w:val="center"/>
        <w:tblLook w:firstColumn="1" w:firstRow="1" w:lastColumn="0" w:lastRow="0" w:noHBand="0" w:noVBand="1" w:val="04A0"/>
      </w:tblPr>
      <w:tblGrid>
        <w:gridCol w:w="10282"/>
      </w:tblGrid>
      <w:tr>
        <w:tc>
          <w:tcPr>
            <w:tcW w:type="dxa" w:w="10282"/>
            <w:shd w:fill="EAF5EF"/>
            <w:tcBorders>
              <w:top w:val="single" w:sz="6" w:space="0" w:color="0F6B78"/>
              <w:left w:val="single" w:sz="6" w:space="0" w:color="0F6B78"/>
              <w:bottom w:val="single" w:sz="6" w:space="0" w:color="0F6B78"/>
              <w:right w:val="single" w:sz="6" w:space="0" w:color="0F6B78"/>
            </w:tcBorders>
            <w:tcMar>
              <w:top w:w="125" w:type="dxa"/>
              <w:start w:w="150" w:type="dxa"/>
              <w:bottom w:w="125" w:type="dxa"/>
              <w:end w:w="150" w:type="dxa"/>
            </w:tcMar>
          </w:tcPr>
          <w:p>
            <w:pPr>
              <w:spacing w:after="60"/>
            </w:pPr>
            <w:r/>
            <w:r>
              <w:rPr>
                <w:rFonts w:ascii="Arial" w:hAnsi="Arial" w:eastAsia="Arial"/>
                <w:b/>
                <w:i w:val="0"/>
                <w:color w:val="17365D"/>
                <w:sz w:val="21"/>
              </w:rPr>
              <w:t>Important delivery conditions</w:t>
            </w:r>
          </w:p>
          <w:p>
            <w:pPr>
              <w:spacing w:after="0" w:line="252" w:lineRule="auto"/>
            </w:pPr>
            <w:r>
              <w:rPr>
                <w:rFonts w:ascii="Arial" w:hAnsi="Arial" w:eastAsia="Arial"/>
                <w:b w:val="0"/>
                <w:i w:val="0"/>
                <w:color w:val="243447"/>
                <w:sz w:val="19"/>
              </w:rPr>
              <w:t>Microsoft 365 Copilot is the approved assistant used in the labs. All examples use simulated DIEZ-style data: no real customer data, no financial values and no access to live DIEZ systems. Net session durations are shown below; clock times and breaks are set with DIEZ HR.</w:t>
            </w:r>
          </w:p>
        </w:tc>
      </w:tr>
    </w:tbl>
    <w:p>
      <w:pPr>
        <w:spacing w:after="20"/>
      </w:pPr>
    </w:p>
    <w:p>
      <w:pPr>
        <w:pStyle w:val="Heading1"/>
        <w:keepNext/>
        <w:spacing w:before="280" w:after="100"/>
      </w:pPr>
      <w:r>
        <w:rPr>
          <w:rFonts w:ascii="Arial" w:hAnsi="Arial" w:eastAsia="Arial"/>
          <w:b/>
          <w:i w:val="0"/>
          <w:color w:val="17365D"/>
          <w:sz w:val="30"/>
        </w:rPr>
        <w:t>2. What participants should be able to do</w:t>
      </w:r>
    </w:p>
    <w:p>
      <w:pPr>
        <w:pStyle w:val="ListBullet"/>
        <w:spacing w:after="40" w:line="250" w:lineRule="auto"/>
      </w:pPr>
      <w:r>
        <w:rPr>
          <w:rFonts w:ascii="Arial" w:hAnsi="Arial" w:eastAsia="Arial"/>
          <w:b w:val="0"/>
          <w:i w:val="0"/>
          <w:color w:val="243447"/>
          <w:sz w:val="19"/>
        </w:rPr>
        <w:t>Know which governance practices come with a product they are asked to sign off.</w:t>
      </w:r>
    </w:p>
    <w:p>
      <w:pPr>
        <w:pStyle w:val="ListBullet"/>
        <w:spacing w:after="40" w:line="250" w:lineRule="auto"/>
      </w:pPr>
      <w:r>
        <w:rPr>
          <w:rFonts w:ascii="Arial" w:hAnsi="Arial" w:eastAsia="Arial"/>
          <w:b w:val="0"/>
          <w:i w:val="0"/>
          <w:color w:val="243447"/>
          <w:sz w:val="19"/>
        </w:rPr>
        <w:t>Tell a responsible AI product or output from one that is not, considering privacy, security, bias, human oversight and verification.</w:t>
      </w:r>
    </w:p>
    <w:p>
      <w:pPr>
        <w:pStyle w:val="ListBullet"/>
        <w:spacing w:after="40" w:line="250" w:lineRule="auto"/>
      </w:pPr>
      <w:r>
        <w:rPr>
          <w:rFonts w:ascii="Arial" w:hAnsi="Arial" w:eastAsia="Arial"/>
          <w:b w:val="0"/>
          <w:i w:val="0"/>
          <w:color w:val="243447"/>
          <w:sz w:val="19"/>
        </w:rPr>
        <w:t>Triage a use case: safe to adopt; adopt only with a human in the loop; or not solvable by AI yet.</w:t>
      </w:r>
    </w:p>
    <w:p>
      <w:pPr>
        <w:pStyle w:val="ListBullet"/>
        <w:spacing w:after="40" w:line="250" w:lineRule="auto"/>
      </w:pPr>
      <w:r>
        <w:rPr>
          <w:rFonts w:ascii="Arial" w:hAnsi="Arial" w:eastAsia="Arial"/>
          <w:b w:val="0"/>
          <w:i w:val="0"/>
          <w:color w:val="243447"/>
          <w:sz w:val="19"/>
        </w:rPr>
        <w:t>Explain how the quality of the data they own drives the quality of AI built on it.</w:t>
      </w:r>
    </w:p>
    <w:p>
      <w:pPr>
        <w:pStyle w:val="ListBullet"/>
        <w:spacing w:after="40" w:line="250" w:lineRule="auto"/>
      </w:pPr>
      <w:r>
        <w:rPr>
          <w:rFonts w:ascii="Arial" w:hAnsi="Arial" w:eastAsia="Arial"/>
          <w:b w:val="0"/>
          <w:i w:val="0"/>
          <w:color w:val="243447"/>
          <w:sz w:val="19"/>
        </w:rPr>
        <w:t>Understand DIEZ’s seven live AI initiatives and frame new use cases from their own pain points.</w:t>
      </w:r>
    </w:p>
    <w:p>
      <w:pPr>
        <w:pStyle w:val="ListBullet"/>
        <w:spacing w:after="40" w:line="250" w:lineRule="auto"/>
      </w:pPr>
      <w:r>
        <w:rPr>
          <w:rFonts w:ascii="Arial" w:hAnsi="Arial" w:eastAsia="Arial"/>
          <w:b w:val="0"/>
          <w:i w:val="0"/>
          <w:color w:val="243447"/>
          <w:sz w:val="19"/>
        </w:rPr>
        <w:t>Know the danger of putting sensitive data into non-approved AI tools, and act accordingly.</w:t>
      </w:r>
    </w:p>
    <w:p>
      <w:pPr>
        <w:pStyle w:val="Heading1"/>
        <w:keepNext/>
        <w:spacing w:before="280" w:after="100"/>
      </w:pPr>
      <w:r>
        <w:rPr>
          <w:rFonts w:ascii="Arial" w:hAnsi="Arial" w:eastAsia="Arial"/>
          <w:b/>
          <w:i w:val="0"/>
          <w:color w:val="17365D"/>
          <w:sz w:val="30"/>
        </w:rPr>
        <w:t>3. The seven DIEZ products used in the programme</w:t>
      </w:r>
    </w:p>
    <w:tbl>
      <w:tblPr>
        <w:tblW w:type="dxa" w:w="9504"/>
        <w:jc w:val="center"/>
        <w:tblLayout w:type="fixed"/>
        <w:tblLook w:firstColumn="1" w:firstRow="1" w:lastColumn="0" w:lastRow="0" w:noHBand="0" w:noVBand="1" w:val="04A0"/>
      </w:tblPr>
      <w:tblGrid>
        <w:gridCol w:w="2232"/>
        <w:gridCol w:w="7272"/>
      </w:tblGrid>
      <w:tr>
        <w:tc>
          <w:tcPr>
            <w:tcW w:type="dxa" w:w="2232"/>
            <w:shd w:fill="17365D"/>
            <w:tcBorders>
              <w:top w:val="single" w:sz="5" w:space="0" w:color="17365D"/>
              <w:left w:val="single" w:sz="5" w:space="0" w:color="17365D"/>
              <w:bottom w:val="single" w:sz="5" w:space="0" w:color="17365D"/>
              <w:right w:val="single" w:sz="5" w:space="0" w:color="17365D"/>
            </w:tcBorders>
            <w:tcMar>
              <w:top w:w="85" w:type="dxa"/>
              <w:start w:w="105" w:type="dxa"/>
              <w:bottom w:w="85" w:type="dxa"/>
              <w:end w:w="105" w:type="dxa"/>
            </w:tcMar>
          </w:tcPr>
          <w:p>
            <w:pPr>
              <w:spacing w:after="0"/>
            </w:pPr>
            <w:r/>
            <w:r>
              <w:rPr>
                <w:rFonts w:ascii="Arial" w:hAnsi="Arial" w:eastAsia="Arial"/>
                <w:b/>
                <w:i w:val="0"/>
                <w:color w:val="FFFFFF"/>
                <w:sz w:val="17"/>
              </w:rPr>
              <w:t>Product</w:t>
            </w:r>
          </w:p>
        </w:tc>
        <w:tc>
          <w:tcPr>
            <w:tcW w:type="dxa" w:w="7272"/>
            <w:shd w:fill="17365D"/>
            <w:tcBorders>
              <w:top w:val="single" w:sz="5" w:space="0" w:color="17365D"/>
              <w:left w:val="single" w:sz="5" w:space="0" w:color="17365D"/>
              <w:bottom w:val="single" w:sz="5" w:space="0" w:color="17365D"/>
              <w:right w:val="single" w:sz="5" w:space="0" w:color="17365D"/>
            </w:tcBorders>
            <w:tcMar>
              <w:top w:w="85" w:type="dxa"/>
              <w:start w:w="105" w:type="dxa"/>
              <w:bottom w:w="85" w:type="dxa"/>
              <w:end w:w="105" w:type="dxa"/>
            </w:tcMar>
          </w:tcPr>
          <w:p>
            <w:pPr>
              <w:spacing w:after="0"/>
            </w:pPr>
            <w:r/>
            <w:r>
              <w:rPr>
                <w:rFonts w:ascii="Arial" w:hAnsi="Arial" w:eastAsia="Arial"/>
                <w:b/>
                <w:i w:val="0"/>
                <w:color w:val="FFFFFF"/>
                <w:sz w:val="17"/>
              </w:rPr>
              <w:t>Focus in the sessions</w:t>
            </w:r>
          </w:p>
        </w:tc>
      </w:tr>
      <w:tr>
        <w:tc>
          <w:tcPr>
            <w:tcW w:type="dxa" w:w="2232"/>
            <w:shd w:fill="FFFFFF"/>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7"/>
              </w:rPr>
              <w:t>Customer Segmentation</w:t>
            </w:r>
          </w:p>
        </w:tc>
        <w:tc>
          <w:tcPr>
            <w:tcW w:type="dxa" w:w="7272"/>
            <w:shd w:fill="FFFFFF"/>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7"/>
              </w:rPr>
              <w:t>Customer tiers shown in Salesforce; inconsistent customer definitions; missing, duplicated or stale drivers.</w:t>
            </w:r>
          </w:p>
        </w:tc>
      </w:tr>
      <w:tr>
        <w:tc>
          <w:tcPr>
            <w:tcW w:type="dxa" w:w="2232"/>
            <w:shd w:fill="F3F5F7"/>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7"/>
              </w:rPr>
              <w:t>Sentiment Analysis</w:t>
            </w:r>
          </w:p>
        </w:tc>
        <w:tc>
          <w:tcPr>
            <w:tcW w:type="dxa" w:w="7272"/>
            <w:shd w:fill="F3F5F7"/>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7"/>
              </w:rPr>
              <w:t>Positive, neutral or negative labels with confidence scores across Arabic and English customer-care text.</w:t>
            </w:r>
          </w:p>
        </w:tc>
      </w:tr>
      <w:tr>
        <w:tc>
          <w:tcPr>
            <w:tcW w:type="dxa" w:w="2232"/>
            <w:shd w:fill="FFFFFF"/>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7"/>
              </w:rPr>
              <w:t>Customer Churn Prediction</w:t>
            </w:r>
          </w:p>
        </w:tc>
        <w:tc>
          <w:tcPr>
            <w:tcW w:type="dxa" w:w="7272"/>
            <w:shd w:fill="FFFFFF"/>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7"/>
              </w:rPr>
              <w:t>Alerts intended at least three months ahead; probability versus certainty; human retention decisions.</w:t>
            </w:r>
          </w:p>
        </w:tc>
      </w:tr>
      <w:tr>
        <w:tc>
          <w:tcPr>
            <w:tcW w:type="dxa" w:w="2232"/>
            <w:shd w:fill="F3F5F7"/>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7"/>
              </w:rPr>
              <w:t>Content Moderation</w:t>
            </w:r>
          </w:p>
        </w:tc>
        <w:tc>
          <w:tcPr>
            <w:tcW w:type="dxa" w:w="7272"/>
            <w:shd w:fill="F3F5F7"/>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7"/>
              </w:rPr>
              <w:t>Text and image screening in the Dubai CommerCity community app; policy, borderline cases and escalation. Technology remains to be confirmed.</w:t>
            </w:r>
          </w:p>
        </w:tc>
      </w:tr>
      <w:tr>
        <w:tc>
          <w:tcPr>
            <w:tcW w:type="dxa" w:w="2232"/>
            <w:shd w:fill="FFFFFF"/>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7"/>
              </w:rPr>
              <w:t>Partner IQ</w:t>
            </w:r>
          </w:p>
        </w:tc>
        <w:tc>
          <w:tcPr>
            <w:tcW w:type="dxa" w:w="7272"/>
            <w:shd w:fill="FFFFFF"/>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7"/>
              </w:rPr>
              <w:t>Matching businesses within the same free zone; matching criteria, ranking fairness and explainability. Technical mechanism remains to be confirmed.</w:t>
            </w:r>
          </w:p>
        </w:tc>
      </w:tr>
      <w:tr>
        <w:tc>
          <w:tcPr>
            <w:tcW w:type="dxa" w:w="2232"/>
            <w:shd w:fill="F3F5F7"/>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7"/>
              </w:rPr>
              <w:t>Microsoft 365 Copilot</w:t>
            </w:r>
          </w:p>
        </w:tc>
        <w:tc>
          <w:tcPr>
            <w:tcW w:type="dxa" w:w="7272"/>
            <w:shd w:fill="F3F5F7"/>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7"/>
              </w:rPr>
              <w:t>Safe work in Word, Excel, PowerPoint and Outlook with approved information and verification.</w:t>
            </w:r>
          </w:p>
        </w:tc>
      </w:tr>
      <w:tr>
        <w:tc>
          <w:tcPr>
            <w:tcW w:type="dxa" w:w="2232"/>
            <w:shd w:fill="FFFFFF"/>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7"/>
              </w:rPr>
              <w:t>Document Intelligence</w:t>
            </w:r>
          </w:p>
        </w:tc>
        <w:tc>
          <w:tcPr>
            <w:tcW w:type="dxa" w:w="7272"/>
            <w:shd w:fill="FFFFFF"/>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7"/>
              </w:rPr>
              <w:t>OCR extraction from submitted documents, such as visa applications, before information reaches another government portal.</w:t>
            </w:r>
          </w:p>
        </w:tc>
      </w:tr>
    </w:tbl>
    <w:p>
      <w:pPr>
        <w:spacing w:after="20"/>
      </w:pPr>
    </w:p>
    <w:p>
      <w:pPr>
        <w:pStyle w:val="Heading1"/>
        <w:keepNext/>
        <w:pageBreakBefore/>
        <w:spacing w:before="280" w:after="100"/>
      </w:pPr>
      <w:r>
        <w:rPr>
          <w:rFonts w:ascii="Arial" w:hAnsi="Arial" w:eastAsia="Arial"/>
          <w:b/>
          <w:i w:val="0"/>
          <w:color w:val="17365D"/>
          <w:sz w:val="30"/>
        </w:rPr>
        <w:t>4. Day 1 — Understand and identify</w:t>
      </w:r>
    </w:p>
    <w:p>
      <w:pPr>
        <w:spacing w:after="100" w:before="0" w:line="259" w:lineRule="auto"/>
      </w:pPr>
      <w:r>
        <w:rPr>
          <w:rFonts w:ascii="Arial" w:hAnsi="Arial" w:eastAsia="Arial"/>
          <w:b w:val="0"/>
          <w:i w:val="0"/>
          <w:color w:val="243447"/>
          <w:sz w:val="20"/>
        </w:rPr>
        <w:t>Day purpose: Build a shared, plain-language model of AI through DIEZ’s own products, set safe-use rules and select worthwhile opportunities.</w:t>
      </w:r>
    </w:p>
    <w:tbl>
      <w:tblPr>
        <w:tblW w:type="dxa" w:w="10080"/>
        <w:jc w:val="center"/>
        <w:tblLayout w:type="fixed"/>
        <w:tblLook w:firstColumn="1" w:firstRow="1" w:lastColumn="0" w:lastRow="0" w:noHBand="0" w:noVBand="1" w:val="04A0"/>
      </w:tblPr>
      <w:tblGrid>
        <w:gridCol w:w="460"/>
        <w:gridCol w:w="691"/>
        <w:gridCol w:w="1699"/>
        <w:gridCol w:w="950"/>
        <w:gridCol w:w="1584"/>
        <w:gridCol w:w="3024"/>
        <w:gridCol w:w="1670"/>
      </w:tblGrid>
      <w:tr>
        <w:tc>
          <w:tcPr>
            <w:tcW w:type="dxa" w:w="460"/>
            <w:shd w:fill="17365D"/>
            <w:tcBorders>
              <w:top w:val="single" w:sz="5" w:space="0" w:color="17365D"/>
              <w:left w:val="single" w:sz="5" w:space="0" w:color="17365D"/>
              <w:bottom w:val="single" w:sz="5" w:space="0" w:color="17365D"/>
              <w:right w:val="single" w:sz="5" w:space="0" w:color="17365D"/>
            </w:tcBorders>
            <w:tcMar>
              <w:top w:w="85" w:type="dxa"/>
              <w:start w:w="55" w:type="dxa"/>
              <w:bottom w:w="85" w:type="dxa"/>
              <w:end w:w="55" w:type="dxa"/>
            </w:tcMar>
          </w:tcPr>
          <w:p>
            <w:pPr>
              <w:spacing w:after="0"/>
            </w:pPr>
            <w:r/>
            <w:r>
              <w:rPr>
                <w:rFonts w:ascii="Arial" w:hAnsi="Arial" w:eastAsia="Arial"/>
                <w:b/>
                <w:i w:val="0"/>
                <w:color w:val="FFFFFF"/>
                <w:sz w:val="14"/>
              </w:rPr>
              <w:t>No.</w:t>
            </w:r>
          </w:p>
        </w:tc>
        <w:tc>
          <w:tcPr>
            <w:tcW w:type="dxa" w:w="691"/>
            <w:shd w:fill="17365D"/>
            <w:tcBorders>
              <w:top w:val="single" w:sz="5" w:space="0" w:color="17365D"/>
              <w:left w:val="single" w:sz="5" w:space="0" w:color="17365D"/>
              <w:bottom w:val="single" w:sz="5" w:space="0" w:color="17365D"/>
              <w:right w:val="single" w:sz="5" w:space="0" w:color="17365D"/>
            </w:tcBorders>
            <w:tcMar>
              <w:top w:w="85" w:type="dxa"/>
              <w:start w:w="55" w:type="dxa"/>
              <w:bottom w:w="85" w:type="dxa"/>
              <w:end w:w="55" w:type="dxa"/>
            </w:tcMar>
          </w:tcPr>
          <w:p>
            <w:pPr>
              <w:spacing w:after="0"/>
            </w:pPr>
            <w:r/>
            <w:r>
              <w:rPr>
                <w:rFonts w:ascii="Arial" w:hAnsi="Arial" w:eastAsia="Arial"/>
                <w:b/>
                <w:i w:val="0"/>
                <w:color w:val="FFFFFF"/>
                <w:sz w:val="14"/>
              </w:rPr>
              <w:t>Time</w:t>
            </w:r>
          </w:p>
        </w:tc>
        <w:tc>
          <w:tcPr>
            <w:tcW w:type="dxa" w:w="1699"/>
            <w:shd w:fill="17365D"/>
            <w:tcBorders>
              <w:top w:val="single" w:sz="5" w:space="0" w:color="17365D"/>
              <w:left w:val="single" w:sz="5" w:space="0" w:color="17365D"/>
              <w:bottom w:val="single" w:sz="5" w:space="0" w:color="17365D"/>
              <w:right w:val="single" w:sz="5" w:space="0" w:color="17365D"/>
            </w:tcBorders>
            <w:tcMar>
              <w:top w:w="85" w:type="dxa"/>
              <w:start w:w="105" w:type="dxa"/>
              <w:bottom w:w="85" w:type="dxa"/>
              <w:end w:w="105" w:type="dxa"/>
            </w:tcMar>
          </w:tcPr>
          <w:p>
            <w:pPr>
              <w:spacing w:after="0"/>
            </w:pPr>
            <w:r/>
            <w:r>
              <w:rPr>
                <w:rFonts w:ascii="Arial" w:hAnsi="Arial" w:eastAsia="Arial"/>
                <w:b/>
                <w:i w:val="0"/>
                <w:color w:val="FFFFFF"/>
                <w:sz w:val="14"/>
              </w:rPr>
              <w:t>Session</w:t>
            </w:r>
          </w:p>
        </w:tc>
        <w:tc>
          <w:tcPr>
            <w:tcW w:type="dxa" w:w="950"/>
            <w:shd w:fill="17365D"/>
            <w:tcBorders>
              <w:top w:val="single" w:sz="5" w:space="0" w:color="17365D"/>
              <w:left w:val="single" w:sz="5" w:space="0" w:color="17365D"/>
              <w:bottom w:val="single" w:sz="5" w:space="0" w:color="17365D"/>
              <w:right w:val="single" w:sz="5" w:space="0" w:color="17365D"/>
            </w:tcBorders>
            <w:tcMar>
              <w:top w:w="85" w:type="dxa"/>
              <w:start w:w="105" w:type="dxa"/>
              <w:bottom w:w="85" w:type="dxa"/>
              <w:end w:w="105" w:type="dxa"/>
            </w:tcMar>
          </w:tcPr>
          <w:p>
            <w:pPr>
              <w:spacing w:after="0"/>
            </w:pPr>
            <w:r/>
            <w:r>
              <w:rPr>
                <w:rFonts w:ascii="Arial" w:hAnsi="Arial" w:eastAsia="Arial"/>
                <w:b/>
                <w:i w:val="0"/>
                <w:color w:val="FFFFFF"/>
                <w:sz w:val="14"/>
              </w:rPr>
              <w:t>Lead</w:t>
            </w:r>
          </w:p>
        </w:tc>
        <w:tc>
          <w:tcPr>
            <w:tcW w:type="dxa" w:w="1584"/>
            <w:shd w:fill="17365D"/>
            <w:tcBorders>
              <w:top w:val="single" w:sz="5" w:space="0" w:color="17365D"/>
              <w:left w:val="single" w:sz="5" w:space="0" w:color="17365D"/>
              <w:bottom w:val="single" w:sz="5" w:space="0" w:color="17365D"/>
              <w:right w:val="single" w:sz="5" w:space="0" w:color="17365D"/>
            </w:tcBorders>
            <w:tcMar>
              <w:top w:w="85" w:type="dxa"/>
              <w:start w:w="105" w:type="dxa"/>
              <w:bottom w:w="85" w:type="dxa"/>
              <w:end w:w="105" w:type="dxa"/>
            </w:tcMar>
          </w:tcPr>
          <w:p>
            <w:pPr>
              <w:spacing w:after="0"/>
            </w:pPr>
            <w:r/>
            <w:r>
              <w:rPr>
                <w:rFonts w:ascii="Arial" w:hAnsi="Arial" w:eastAsia="Arial"/>
                <w:b/>
                <w:i w:val="0"/>
                <w:color w:val="FFFFFF"/>
                <w:sz w:val="14"/>
              </w:rPr>
              <w:t>Purpose</w:t>
            </w:r>
          </w:p>
        </w:tc>
        <w:tc>
          <w:tcPr>
            <w:tcW w:type="dxa" w:w="3024"/>
            <w:shd w:fill="17365D"/>
            <w:tcBorders>
              <w:top w:val="single" w:sz="5" w:space="0" w:color="17365D"/>
              <w:left w:val="single" w:sz="5" w:space="0" w:color="17365D"/>
              <w:bottom w:val="single" w:sz="5" w:space="0" w:color="17365D"/>
              <w:right w:val="single" w:sz="5" w:space="0" w:color="17365D"/>
            </w:tcBorders>
            <w:tcMar>
              <w:top w:w="85" w:type="dxa"/>
              <w:start w:w="105" w:type="dxa"/>
              <w:bottom w:w="85" w:type="dxa"/>
              <w:end w:w="105" w:type="dxa"/>
            </w:tcMar>
          </w:tcPr>
          <w:p>
            <w:pPr>
              <w:spacing w:after="0"/>
            </w:pPr>
            <w:r/>
            <w:r>
              <w:rPr>
                <w:rFonts w:ascii="Arial" w:hAnsi="Arial" w:eastAsia="Arial"/>
                <w:b/>
                <w:i w:val="0"/>
                <w:color w:val="FFFFFF"/>
                <w:sz w:val="14"/>
              </w:rPr>
              <w:t>Participant activity</w:t>
            </w:r>
          </w:p>
        </w:tc>
        <w:tc>
          <w:tcPr>
            <w:tcW w:type="dxa" w:w="1670"/>
            <w:shd w:fill="17365D"/>
            <w:tcBorders>
              <w:top w:val="single" w:sz="5" w:space="0" w:color="17365D"/>
              <w:left w:val="single" w:sz="5" w:space="0" w:color="17365D"/>
              <w:bottom w:val="single" w:sz="5" w:space="0" w:color="17365D"/>
              <w:right w:val="single" w:sz="5" w:space="0" w:color="17365D"/>
            </w:tcBorders>
            <w:tcMar>
              <w:top w:w="85" w:type="dxa"/>
              <w:start w:w="105" w:type="dxa"/>
              <w:bottom w:w="85" w:type="dxa"/>
              <w:end w:w="105" w:type="dxa"/>
            </w:tcMar>
          </w:tcPr>
          <w:p>
            <w:pPr>
              <w:spacing w:after="0"/>
            </w:pPr>
            <w:r/>
            <w:r>
              <w:rPr>
                <w:rFonts w:ascii="Arial" w:hAnsi="Arial" w:eastAsia="Arial"/>
                <w:b/>
                <w:i w:val="0"/>
                <w:color w:val="FFFFFF"/>
                <w:sz w:val="14"/>
              </w:rPr>
              <w:t>Output</w:t>
            </w:r>
          </w:p>
        </w:tc>
      </w:tr>
      <w:tr>
        <w:tc>
          <w:tcPr>
            <w:tcW w:type="dxa" w:w="460"/>
            <w:shd w:fill="FFFFFF"/>
            <w:tcBorders>
              <w:top w:val="single" w:sz="4" w:space="0" w:color="D6DCE3"/>
              <w:left w:val="single" w:sz="4" w:space="0" w:color="D6DCE3"/>
              <w:bottom w:val="single" w:sz="4" w:space="0" w:color="D6DCE3"/>
              <w:right w:val="single" w:sz="4" w:space="0" w:color="D6DCE3"/>
            </w:tcBorders>
            <w:tcMar>
              <w:top w:w="85" w:type="dxa"/>
              <w:start w:w="55" w:type="dxa"/>
              <w:bottom w:w="85" w:type="dxa"/>
              <w:end w:w="55" w:type="dxa"/>
            </w:tcMar>
            <w:vAlign w:val="center"/>
          </w:tcPr>
          <w:p>
            <w:pPr>
              <w:spacing w:after="0" w:line="247" w:lineRule="auto"/>
            </w:pPr>
            <w:r/>
            <w:r>
              <w:rPr>
                <w:rFonts w:ascii="Arial" w:hAnsi="Arial" w:eastAsia="Arial"/>
                <w:b w:val="0"/>
                <w:i w:val="0"/>
                <w:color w:val="243447"/>
                <w:sz w:val="14"/>
              </w:rPr>
              <w:t>1</w:t>
            </w:r>
          </w:p>
        </w:tc>
        <w:tc>
          <w:tcPr>
            <w:tcW w:type="dxa" w:w="691"/>
            <w:shd w:fill="FFFFFF"/>
            <w:tcBorders>
              <w:top w:val="single" w:sz="4" w:space="0" w:color="D6DCE3"/>
              <w:left w:val="single" w:sz="4" w:space="0" w:color="D6DCE3"/>
              <w:bottom w:val="single" w:sz="4" w:space="0" w:color="D6DCE3"/>
              <w:right w:val="single" w:sz="4" w:space="0" w:color="D6DCE3"/>
            </w:tcBorders>
            <w:tcMar>
              <w:top w:w="85" w:type="dxa"/>
              <w:start w:w="55" w:type="dxa"/>
              <w:bottom w:w="85" w:type="dxa"/>
              <w:end w:w="55" w:type="dxa"/>
            </w:tcMar>
            <w:vAlign w:val="center"/>
          </w:tcPr>
          <w:p>
            <w:pPr>
              <w:spacing w:after="0" w:line="247" w:lineRule="auto"/>
            </w:pPr>
            <w:r/>
            <w:r>
              <w:rPr>
                <w:rFonts w:ascii="Arial" w:hAnsi="Arial" w:eastAsia="Arial"/>
                <w:b w:val="0"/>
                <w:i w:val="0"/>
                <w:color w:val="243447"/>
                <w:sz w:val="14"/>
              </w:rPr>
              <w:t>30 min</w:t>
            </w:r>
          </w:p>
        </w:tc>
        <w:tc>
          <w:tcPr>
            <w:tcW w:type="dxa" w:w="1699"/>
            <w:shd w:fill="FFFFFF"/>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Welcome, baseline read-out and learning contract</w:t>
            </w:r>
          </w:p>
        </w:tc>
        <w:tc>
          <w:tcPr>
            <w:tcW w:type="dxa" w:w="950"/>
            <w:shd w:fill="FFFFFF"/>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Softengi with Wellington</w:t>
            </w:r>
          </w:p>
        </w:tc>
        <w:tc>
          <w:tcPr>
            <w:tcW w:type="dxa" w:w="1584"/>
            <w:shd w:fill="FFFFFF"/>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Connect the programme to the cohort’s confidence, current use and concerns.</w:t>
            </w:r>
          </w:p>
        </w:tc>
        <w:tc>
          <w:tcPr>
            <w:tcW w:type="dxa" w:w="3024"/>
            <w:shd w:fill="FFFFFF"/>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Form cross-zone function teams; agree the rules: approved assistant only, simulated data only and verify before use; write personal success criteria.</w:t>
            </w:r>
          </w:p>
        </w:tc>
        <w:tc>
          <w:tcPr>
            <w:tcW w:type="dxa" w:w="1670"/>
            <w:shd w:fill="FFFFFF"/>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Success criteria, learning contract and evidence portfolio opened.</w:t>
            </w:r>
          </w:p>
        </w:tc>
      </w:tr>
      <w:tr>
        <w:tc>
          <w:tcPr>
            <w:tcW w:type="dxa" w:w="460"/>
            <w:shd w:fill="F3F5F7"/>
            <w:tcBorders>
              <w:top w:val="single" w:sz="4" w:space="0" w:color="D6DCE3"/>
              <w:left w:val="single" w:sz="4" w:space="0" w:color="D6DCE3"/>
              <w:bottom w:val="single" w:sz="4" w:space="0" w:color="D6DCE3"/>
              <w:right w:val="single" w:sz="4" w:space="0" w:color="D6DCE3"/>
            </w:tcBorders>
            <w:tcMar>
              <w:top w:w="85" w:type="dxa"/>
              <w:start w:w="55" w:type="dxa"/>
              <w:bottom w:w="85" w:type="dxa"/>
              <w:end w:w="55" w:type="dxa"/>
            </w:tcMar>
            <w:vAlign w:val="center"/>
          </w:tcPr>
          <w:p>
            <w:pPr>
              <w:spacing w:after="0" w:line="247" w:lineRule="auto"/>
            </w:pPr>
            <w:r/>
            <w:r>
              <w:rPr>
                <w:rFonts w:ascii="Arial" w:hAnsi="Arial" w:eastAsia="Arial"/>
                <w:b w:val="0"/>
                <w:i w:val="0"/>
                <w:color w:val="243447"/>
                <w:sz w:val="14"/>
              </w:rPr>
              <w:t>2</w:t>
            </w:r>
          </w:p>
        </w:tc>
        <w:tc>
          <w:tcPr>
            <w:tcW w:type="dxa" w:w="691"/>
            <w:shd w:fill="F3F5F7"/>
            <w:tcBorders>
              <w:top w:val="single" w:sz="4" w:space="0" w:color="D6DCE3"/>
              <w:left w:val="single" w:sz="4" w:space="0" w:color="D6DCE3"/>
              <w:bottom w:val="single" w:sz="4" w:space="0" w:color="D6DCE3"/>
              <w:right w:val="single" w:sz="4" w:space="0" w:color="D6DCE3"/>
            </w:tcBorders>
            <w:tcMar>
              <w:top w:w="85" w:type="dxa"/>
              <w:start w:w="55" w:type="dxa"/>
              <w:bottom w:w="85" w:type="dxa"/>
              <w:end w:w="55" w:type="dxa"/>
            </w:tcMar>
            <w:vAlign w:val="center"/>
          </w:tcPr>
          <w:p>
            <w:pPr>
              <w:spacing w:after="0" w:line="247" w:lineRule="auto"/>
            </w:pPr>
            <w:r/>
            <w:r>
              <w:rPr>
                <w:rFonts w:ascii="Arial" w:hAnsi="Arial" w:eastAsia="Arial"/>
                <w:b w:val="0"/>
                <w:i w:val="0"/>
                <w:color w:val="243447"/>
                <w:sz w:val="14"/>
              </w:rPr>
              <w:t>60 min</w:t>
            </w:r>
          </w:p>
        </w:tc>
        <w:tc>
          <w:tcPr>
            <w:tcW w:type="dxa" w:w="1699"/>
            <w:shd w:fill="F3F5F7"/>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AI through DIEZ’s seven products</w:t>
            </w:r>
          </w:p>
        </w:tc>
        <w:tc>
          <w:tcPr>
            <w:tcW w:type="dxa" w:w="950"/>
            <w:shd w:fill="F3F5F7"/>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Softengi</w:t>
            </w:r>
          </w:p>
        </w:tc>
        <w:tc>
          <w:tcPr>
            <w:tcW w:type="dxa" w:w="1584"/>
            <w:shd w:fill="F3F5F7"/>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Build a practical understanding of grouping, classifying, predicting, matching, extracting and generating.</w:t>
            </w:r>
          </w:p>
        </w:tc>
        <w:tc>
          <w:tcPr>
            <w:tcW w:type="dxa" w:w="3024"/>
            <w:shd w:fill="F3F5F7"/>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Map each product’s purpose, data, business owner and what a wrong output would look like; compare maps in a gallery walk.</w:t>
            </w:r>
          </w:p>
        </w:tc>
        <w:tc>
          <w:tcPr>
            <w:tcW w:type="dxa" w:w="1670"/>
            <w:shd w:fill="F3F5F7"/>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DIEZ product map.</w:t>
            </w:r>
          </w:p>
        </w:tc>
      </w:tr>
      <w:tr>
        <w:tc>
          <w:tcPr>
            <w:tcW w:type="dxa" w:w="460"/>
            <w:shd w:fill="FFFFFF"/>
            <w:tcBorders>
              <w:top w:val="single" w:sz="4" w:space="0" w:color="D6DCE3"/>
              <w:left w:val="single" w:sz="4" w:space="0" w:color="D6DCE3"/>
              <w:bottom w:val="single" w:sz="4" w:space="0" w:color="D6DCE3"/>
              <w:right w:val="single" w:sz="4" w:space="0" w:color="D6DCE3"/>
            </w:tcBorders>
            <w:tcMar>
              <w:top w:w="85" w:type="dxa"/>
              <w:start w:w="55" w:type="dxa"/>
              <w:bottom w:w="85" w:type="dxa"/>
              <w:end w:w="55" w:type="dxa"/>
            </w:tcMar>
            <w:vAlign w:val="center"/>
          </w:tcPr>
          <w:p>
            <w:pPr>
              <w:spacing w:after="0" w:line="247" w:lineRule="auto"/>
            </w:pPr>
            <w:r/>
            <w:r>
              <w:rPr>
                <w:rFonts w:ascii="Arial" w:hAnsi="Arial" w:eastAsia="Arial"/>
                <w:b w:val="0"/>
                <w:i w:val="0"/>
                <w:color w:val="243447"/>
                <w:sz w:val="14"/>
              </w:rPr>
              <w:t>3</w:t>
            </w:r>
          </w:p>
        </w:tc>
        <w:tc>
          <w:tcPr>
            <w:tcW w:type="dxa" w:w="691"/>
            <w:shd w:fill="FFFFFF"/>
            <w:tcBorders>
              <w:top w:val="single" w:sz="4" w:space="0" w:color="D6DCE3"/>
              <w:left w:val="single" w:sz="4" w:space="0" w:color="D6DCE3"/>
              <w:bottom w:val="single" w:sz="4" w:space="0" w:color="D6DCE3"/>
              <w:right w:val="single" w:sz="4" w:space="0" w:color="D6DCE3"/>
            </w:tcBorders>
            <w:tcMar>
              <w:top w:w="85" w:type="dxa"/>
              <w:start w:w="55" w:type="dxa"/>
              <w:bottom w:w="85" w:type="dxa"/>
              <w:end w:w="55" w:type="dxa"/>
            </w:tcMar>
            <w:vAlign w:val="center"/>
          </w:tcPr>
          <w:p>
            <w:pPr>
              <w:spacing w:after="0" w:line="247" w:lineRule="auto"/>
            </w:pPr>
            <w:r/>
            <w:r>
              <w:rPr>
                <w:rFonts w:ascii="Arial" w:hAnsi="Arial" w:eastAsia="Arial"/>
                <w:b w:val="0"/>
                <w:i w:val="0"/>
                <w:color w:val="243447"/>
                <w:sz w:val="14"/>
              </w:rPr>
              <w:t>45 min</w:t>
            </w:r>
          </w:p>
        </w:tc>
        <w:tc>
          <w:tcPr>
            <w:tcW w:type="dxa" w:w="1699"/>
            <w:shd w:fill="FFFFFF"/>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Safe use: approved tools, authorised data and what never to share</w:t>
            </w:r>
          </w:p>
        </w:tc>
        <w:tc>
          <w:tcPr>
            <w:tcW w:type="dxa" w:w="950"/>
            <w:shd w:fill="FFFFFF"/>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Softengi</w:t>
            </w:r>
          </w:p>
        </w:tc>
        <w:tc>
          <w:tcPr>
            <w:tcW w:type="dxa" w:w="1584"/>
            <w:shd w:fill="FFFFFF"/>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Help participants decide, in the moment, whether information may be placed in an AI tool.</w:t>
            </w:r>
          </w:p>
        </w:tc>
        <w:tc>
          <w:tcPr>
            <w:tcW w:type="dxa" w:w="3024"/>
            <w:shd w:fill="FFFFFF"/>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Sort realistic scenarios into allowed, allowed with conditions and not allowed; name the rule behind each decision.</w:t>
            </w:r>
          </w:p>
        </w:tc>
        <w:tc>
          <w:tcPr>
            <w:tcW w:type="dxa" w:w="1670"/>
            <w:shd w:fill="FFFFFF"/>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Draft safe-use decision guide.</w:t>
            </w:r>
          </w:p>
        </w:tc>
      </w:tr>
      <w:tr>
        <w:tc>
          <w:tcPr>
            <w:tcW w:type="dxa" w:w="460"/>
            <w:shd w:fill="F3F5F7"/>
            <w:tcBorders>
              <w:top w:val="single" w:sz="4" w:space="0" w:color="D6DCE3"/>
              <w:left w:val="single" w:sz="4" w:space="0" w:color="D6DCE3"/>
              <w:bottom w:val="single" w:sz="4" w:space="0" w:color="D6DCE3"/>
              <w:right w:val="single" w:sz="4" w:space="0" w:color="D6DCE3"/>
            </w:tcBorders>
            <w:tcMar>
              <w:top w:w="85" w:type="dxa"/>
              <w:start w:w="55" w:type="dxa"/>
              <w:bottom w:w="85" w:type="dxa"/>
              <w:end w:w="55" w:type="dxa"/>
            </w:tcMar>
            <w:vAlign w:val="center"/>
          </w:tcPr>
          <w:p>
            <w:pPr>
              <w:spacing w:after="0" w:line="247" w:lineRule="auto"/>
            </w:pPr>
            <w:r/>
            <w:r>
              <w:rPr>
                <w:rFonts w:ascii="Arial" w:hAnsi="Arial" w:eastAsia="Arial"/>
                <w:b w:val="0"/>
                <w:i w:val="0"/>
                <w:color w:val="243447"/>
                <w:sz w:val="14"/>
              </w:rPr>
              <w:t>4</w:t>
            </w:r>
          </w:p>
        </w:tc>
        <w:tc>
          <w:tcPr>
            <w:tcW w:type="dxa" w:w="691"/>
            <w:shd w:fill="F3F5F7"/>
            <w:tcBorders>
              <w:top w:val="single" w:sz="4" w:space="0" w:color="D6DCE3"/>
              <w:left w:val="single" w:sz="4" w:space="0" w:color="D6DCE3"/>
              <w:bottom w:val="single" w:sz="4" w:space="0" w:color="D6DCE3"/>
              <w:right w:val="single" w:sz="4" w:space="0" w:color="D6DCE3"/>
            </w:tcBorders>
            <w:tcMar>
              <w:top w:w="85" w:type="dxa"/>
              <w:start w:w="55" w:type="dxa"/>
              <w:bottom w:w="85" w:type="dxa"/>
              <w:end w:w="55" w:type="dxa"/>
            </w:tcMar>
            <w:vAlign w:val="center"/>
          </w:tcPr>
          <w:p>
            <w:pPr>
              <w:spacing w:after="0" w:line="247" w:lineRule="auto"/>
            </w:pPr>
            <w:r/>
            <w:r>
              <w:rPr>
                <w:rFonts w:ascii="Arial" w:hAnsi="Arial" w:eastAsia="Arial"/>
                <w:b w:val="0"/>
                <w:i w:val="0"/>
                <w:color w:val="243447"/>
                <w:sz w:val="14"/>
              </w:rPr>
              <w:t>45 min</w:t>
            </w:r>
          </w:p>
        </w:tc>
        <w:tc>
          <w:tcPr>
            <w:tcW w:type="dxa" w:w="1699"/>
            <w:shd w:fill="F3F5F7"/>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Demonstration: from context to verified output</w:t>
            </w:r>
          </w:p>
        </w:tc>
        <w:tc>
          <w:tcPr>
            <w:tcW w:type="dxa" w:w="950"/>
            <w:shd w:fill="F3F5F7"/>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Softengi</w:t>
            </w:r>
          </w:p>
        </w:tc>
        <w:tc>
          <w:tcPr>
            <w:tcW w:type="dxa" w:w="1584"/>
            <w:shd w:fill="F3F5F7"/>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Model the full working discipline from instruction through verification.</w:t>
            </w:r>
          </w:p>
        </w:tc>
        <w:tc>
          <w:tcPr>
            <w:tcW w:type="dxa" w:w="3024"/>
            <w:shd w:fill="F3F5F7"/>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Spot an unsupported statement, missing condition and invented deadline in a Copilot response; check each claim against the source.</w:t>
            </w:r>
          </w:p>
        </w:tc>
        <w:tc>
          <w:tcPr>
            <w:tcW w:type="dxa" w:w="1670"/>
            <w:shd w:fill="F3F5F7"/>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Output-verification checklist and observation notes.</w:t>
            </w:r>
          </w:p>
        </w:tc>
      </w:tr>
      <w:tr>
        <w:tc>
          <w:tcPr>
            <w:tcW w:type="dxa" w:w="460"/>
            <w:shd w:fill="FFFFFF"/>
            <w:tcBorders>
              <w:top w:val="single" w:sz="4" w:space="0" w:color="D6DCE3"/>
              <w:left w:val="single" w:sz="4" w:space="0" w:color="D6DCE3"/>
              <w:bottom w:val="single" w:sz="4" w:space="0" w:color="D6DCE3"/>
              <w:right w:val="single" w:sz="4" w:space="0" w:color="D6DCE3"/>
            </w:tcBorders>
            <w:tcMar>
              <w:top w:w="85" w:type="dxa"/>
              <w:start w:w="55" w:type="dxa"/>
              <w:bottom w:w="85" w:type="dxa"/>
              <w:end w:w="55" w:type="dxa"/>
            </w:tcMar>
            <w:vAlign w:val="center"/>
          </w:tcPr>
          <w:p>
            <w:pPr>
              <w:spacing w:after="0" w:line="247" w:lineRule="auto"/>
            </w:pPr>
            <w:r/>
            <w:r>
              <w:rPr>
                <w:rFonts w:ascii="Arial" w:hAnsi="Arial" w:eastAsia="Arial"/>
                <w:b w:val="0"/>
                <w:i w:val="0"/>
                <w:color w:val="243447"/>
                <w:sz w:val="14"/>
              </w:rPr>
              <w:t>5</w:t>
            </w:r>
          </w:p>
        </w:tc>
        <w:tc>
          <w:tcPr>
            <w:tcW w:type="dxa" w:w="691"/>
            <w:shd w:fill="FFFFFF"/>
            <w:tcBorders>
              <w:top w:val="single" w:sz="4" w:space="0" w:color="D6DCE3"/>
              <w:left w:val="single" w:sz="4" w:space="0" w:color="D6DCE3"/>
              <w:bottom w:val="single" w:sz="4" w:space="0" w:color="D6DCE3"/>
              <w:right w:val="single" w:sz="4" w:space="0" w:color="D6DCE3"/>
            </w:tcBorders>
            <w:tcMar>
              <w:top w:w="85" w:type="dxa"/>
              <w:start w:w="55" w:type="dxa"/>
              <w:bottom w:w="85" w:type="dxa"/>
              <w:end w:w="55" w:type="dxa"/>
            </w:tcMar>
            <w:vAlign w:val="center"/>
          </w:tcPr>
          <w:p>
            <w:pPr>
              <w:spacing w:after="0" w:line="247" w:lineRule="auto"/>
            </w:pPr>
            <w:r/>
            <w:r>
              <w:rPr>
                <w:rFonts w:ascii="Arial" w:hAnsi="Arial" w:eastAsia="Arial"/>
                <w:b w:val="0"/>
                <w:i w:val="0"/>
                <w:color w:val="243447"/>
                <w:sz w:val="14"/>
              </w:rPr>
              <w:t>75 min</w:t>
            </w:r>
          </w:p>
        </w:tc>
        <w:tc>
          <w:tcPr>
            <w:tcW w:type="dxa" w:w="1699"/>
            <w:shd w:fill="FFFFFF"/>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Lab: context and instruction on a stewardship task</w:t>
            </w:r>
          </w:p>
        </w:tc>
        <w:tc>
          <w:tcPr>
            <w:tcW w:type="dxa" w:w="950"/>
            <w:shd w:fill="FFFFFF"/>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Softengi</w:t>
            </w:r>
          </w:p>
        </w:tc>
        <w:tc>
          <w:tcPr>
            <w:tcW w:type="dxa" w:w="1584"/>
            <w:shd w:fill="FFFFFF"/>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Show how weak instructions produce weak outputs.</w:t>
            </w:r>
          </w:p>
        </w:tc>
        <w:tc>
          <w:tcPr>
            <w:tcW w:type="dxa" w:w="3024"/>
            <w:shd w:fill="FFFFFF"/>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Reconcile three conflicting definitions of a key customer; create a data-dictionary entry in Word and save the tested prompt pattern.</w:t>
            </w:r>
          </w:p>
        </w:tc>
        <w:tc>
          <w:tcPr>
            <w:tcW w:type="dxa" w:w="1670"/>
            <w:shd w:fill="FFFFFF"/>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AI working and prompt canvas, tested prompt pattern and draft data-dictionary entry.</w:t>
            </w:r>
          </w:p>
        </w:tc>
      </w:tr>
      <w:tr>
        <w:tc>
          <w:tcPr>
            <w:tcW w:type="dxa" w:w="460"/>
            <w:shd w:fill="F3F5F7"/>
            <w:tcBorders>
              <w:top w:val="single" w:sz="4" w:space="0" w:color="D6DCE3"/>
              <w:left w:val="single" w:sz="4" w:space="0" w:color="D6DCE3"/>
              <w:bottom w:val="single" w:sz="4" w:space="0" w:color="D6DCE3"/>
              <w:right w:val="single" w:sz="4" w:space="0" w:color="D6DCE3"/>
            </w:tcBorders>
            <w:tcMar>
              <w:top w:w="85" w:type="dxa"/>
              <w:start w:w="55" w:type="dxa"/>
              <w:bottom w:w="85" w:type="dxa"/>
              <w:end w:w="55" w:type="dxa"/>
            </w:tcMar>
            <w:vAlign w:val="center"/>
          </w:tcPr>
          <w:p>
            <w:pPr>
              <w:spacing w:after="0" w:line="247" w:lineRule="auto"/>
            </w:pPr>
            <w:r/>
            <w:r>
              <w:rPr>
                <w:rFonts w:ascii="Arial" w:hAnsi="Arial" w:eastAsia="Arial"/>
                <w:b w:val="0"/>
                <w:i w:val="0"/>
                <w:color w:val="243447"/>
                <w:sz w:val="14"/>
              </w:rPr>
              <w:t>6</w:t>
            </w:r>
          </w:p>
        </w:tc>
        <w:tc>
          <w:tcPr>
            <w:tcW w:type="dxa" w:w="691"/>
            <w:shd w:fill="F3F5F7"/>
            <w:tcBorders>
              <w:top w:val="single" w:sz="4" w:space="0" w:color="D6DCE3"/>
              <w:left w:val="single" w:sz="4" w:space="0" w:color="D6DCE3"/>
              <w:bottom w:val="single" w:sz="4" w:space="0" w:color="D6DCE3"/>
              <w:right w:val="single" w:sz="4" w:space="0" w:color="D6DCE3"/>
            </w:tcBorders>
            <w:tcMar>
              <w:top w:w="85" w:type="dxa"/>
              <w:start w:w="55" w:type="dxa"/>
              <w:bottom w:w="85" w:type="dxa"/>
              <w:end w:w="55" w:type="dxa"/>
            </w:tcMar>
            <w:vAlign w:val="center"/>
          </w:tcPr>
          <w:p>
            <w:pPr>
              <w:spacing w:after="0" w:line="247" w:lineRule="auto"/>
            </w:pPr>
            <w:r/>
            <w:r>
              <w:rPr>
                <w:rFonts w:ascii="Arial" w:hAnsi="Arial" w:eastAsia="Arial"/>
                <w:b w:val="0"/>
                <w:i w:val="0"/>
                <w:color w:val="243447"/>
                <w:sz w:val="14"/>
              </w:rPr>
              <w:t>60 min</w:t>
            </w:r>
          </w:p>
        </w:tc>
        <w:tc>
          <w:tcPr>
            <w:tcW w:type="dxa" w:w="1699"/>
            <w:shd w:fill="F3F5F7"/>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Opportunity clinic: safe to adopt, human in the loop or not yet</w:t>
            </w:r>
          </w:p>
        </w:tc>
        <w:tc>
          <w:tcPr>
            <w:tcW w:type="dxa" w:w="950"/>
            <w:shd w:fill="F3F5F7"/>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Softengi</w:t>
            </w:r>
          </w:p>
        </w:tc>
        <w:tc>
          <w:tcPr>
            <w:tcW w:type="dxa" w:w="1584"/>
            <w:shd w:fill="F3F5F7"/>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Help participants choose worthwhile opportunities honestly.</w:t>
            </w:r>
          </w:p>
        </w:tc>
        <w:tc>
          <w:tcPr>
            <w:tcW w:type="dxa" w:w="3024"/>
            <w:shd w:fill="F3F5F7"/>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Rate recurring tasks for value, data readiness and risk, then sort them into three adoption categories.</w:t>
            </w:r>
          </w:p>
        </w:tc>
        <w:tc>
          <w:tcPr>
            <w:tcW w:type="dxa" w:w="1670"/>
            <w:shd w:fill="F3F5F7"/>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AI Opportunity Map with triage column.</w:t>
            </w:r>
          </w:p>
        </w:tc>
      </w:tr>
    </w:tbl>
    <w:p>
      <w:pPr>
        <w:spacing w:after="20"/>
      </w:pPr>
    </w:p>
    <w:p>
      <w:r>
        <w:br w:type="page"/>
      </w:r>
    </w:p>
    <w:p>
      <w:pPr>
        <w:pStyle w:val="Heading1"/>
        <w:keepNext/>
        <w:spacing w:before="280" w:after="100"/>
      </w:pPr>
      <w:r>
        <w:rPr>
          <w:rFonts w:ascii="Arial" w:hAnsi="Arial" w:eastAsia="Arial"/>
          <w:b/>
          <w:i w:val="0"/>
          <w:color w:val="17365D"/>
          <w:sz w:val="30"/>
        </w:rPr>
        <w:t>5. Day 2 — Apply to DIEZ products</w:t>
      </w:r>
    </w:p>
    <w:p>
      <w:pPr>
        <w:spacing w:after="100" w:before="0" w:line="259" w:lineRule="auto"/>
      </w:pPr>
      <w:r>
        <w:rPr>
          <w:rFonts w:ascii="Arial" w:hAnsi="Arial" w:eastAsia="Arial"/>
          <w:b w:val="0"/>
          <w:i w:val="0"/>
          <w:color w:val="243447"/>
          <w:sz w:val="20"/>
        </w:rPr>
        <w:t>Day purpose: Practise AI-assisted stewardship work and assess data readiness across customer, matching and document workflows.</w:t>
      </w:r>
    </w:p>
    <w:tbl>
      <w:tblPr>
        <w:tblW w:type="dxa" w:w="10080"/>
        <w:jc w:val="center"/>
        <w:tblLayout w:type="fixed"/>
        <w:tblLook w:firstColumn="1" w:firstRow="1" w:lastColumn="0" w:lastRow="0" w:noHBand="0" w:noVBand="1" w:val="04A0"/>
      </w:tblPr>
      <w:tblGrid>
        <w:gridCol w:w="460"/>
        <w:gridCol w:w="691"/>
        <w:gridCol w:w="1699"/>
        <w:gridCol w:w="950"/>
        <w:gridCol w:w="1584"/>
        <w:gridCol w:w="3024"/>
        <w:gridCol w:w="1670"/>
      </w:tblGrid>
      <w:tr>
        <w:tc>
          <w:tcPr>
            <w:tcW w:type="dxa" w:w="460"/>
            <w:shd w:fill="17365D"/>
            <w:tcBorders>
              <w:top w:val="single" w:sz="5" w:space="0" w:color="17365D"/>
              <w:left w:val="single" w:sz="5" w:space="0" w:color="17365D"/>
              <w:bottom w:val="single" w:sz="5" w:space="0" w:color="17365D"/>
              <w:right w:val="single" w:sz="5" w:space="0" w:color="17365D"/>
            </w:tcBorders>
            <w:tcMar>
              <w:top w:w="85" w:type="dxa"/>
              <w:start w:w="55" w:type="dxa"/>
              <w:bottom w:w="85" w:type="dxa"/>
              <w:end w:w="55" w:type="dxa"/>
            </w:tcMar>
          </w:tcPr>
          <w:p>
            <w:pPr>
              <w:spacing w:after="0"/>
            </w:pPr>
            <w:r/>
            <w:r>
              <w:rPr>
                <w:rFonts w:ascii="Arial" w:hAnsi="Arial" w:eastAsia="Arial"/>
                <w:b/>
                <w:i w:val="0"/>
                <w:color w:val="FFFFFF"/>
                <w:sz w:val="14"/>
              </w:rPr>
              <w:t>No.</w:t>
            </w:r>
          </w:p>
        </w:tc>
        <w:tc>
          <w:tcPr>
            <w:tcW w:type="dxa" w:w="691"/>
            <w:shd w:fill="17365D"/>
            <w:tcBorders>
              <w:top w:val="single" w:sz="5" w:space="0" w:color="17365D"/>
              <w:left w:val="single" w:sz="5" w:space="0" w:color="17365D"/>
              <w:bottom w:val="single" w:sz="5" w:space="0" w:color="17365D"/>
              <w:right w:val="single" w:sz="5" w:space="0" w:color="17365D"/>
            </w:tcBorders>
            <w:tcMar>
              <w:top w:w="85" w:type="dxa"/>
              <w:start w:w="55" w:type="dxa"/>
              <w:bottom w:w="85" w:type="dxa"/>
              <w:end w:w="55" w:type="dxa"/>
            </w:tcMar>
          </w:tcPr>
          <w:p>
            <w:pPr>
              <w:spacing w:after="0"/>
            </w:pPr>
            <w:r/>
            <w:r>
              <w:rPr>
                <w:rFonts w:ascii="Arial" w:hAnsi="Arial" w:eastAsia="Arial"/>
                <w:b/>
                <w:i w:val="0"/>
                <w:color w:val="FFFFFF"/>
                <w:sz w:val="14"/>
              </w:rPr>
              <w:t>Time</w:t>
            </w:r>
          </w:p>
        </w:tc>
        <w:tc>
          <w:tcPr>
            <w:tcW w:type="dxa" w:w="1699"/>
            <w:shd w:fill="17365D"/>
            <w:tcBorders>
              <w:top w:val="single" w:sz="5" w:space="0" w:color="17365D"/>
              <w:left w:val="single" w:sz="5" w:space="0" w:color="17365D"/>
              <w:bottom w:val="single" w:sz="5" w:space="0" w:color="17365D"/>
              <w:right w:val="single" w:sz="5" w:space="0" w:color="17365D"/>
            </w:tcBorders>
            <w:tcMar>
              <w:top w:w="85" w:type="dxa"/>
              <w:start w:w="105" w:type="dxa"/>
              <w:bottom w:w="85" w:type="dxa"/>
              <w:end w:w="105" w:type="dxa"/>
            </w:tcMar>
          </w:tcPr>
          <w:p>
            <w:pPr>
              <w:spacing w:after="0"/>
            </w:pPr>
            <w:r/>
            <w:r>
              <w:rPr>
                <w:rFonts w:ascii="Arial" w:hAnsi="Arial" w:eastAsia="Arial"/>
                <w:b/>
                <w:i w:val="0"/>
                <w:color w:val="FFFFFF"/>
                <w:sz w:val="14"/>
              </w:rPr>
              <w:t>Session</w:t>
            </w:r>
          </w:p>
        </w:tc>
        <w:tc>
          <w:tcPr>
            <w:tcW w:type="dxa" w:w="950"/>
            <w:shd w:fill="17365D"/>
            <w:tcBorders>
              <w:top w:val="single" w:sz="5" w:space="0" w:color="17365D"/>
              <w:left w:val="single" w:sz="5" w:space="0" w:color="17365D"/>
              <w:bottom w:val="single" w:sz="5" w:space="0" w:color="17365D"/>
              <w:right w:val="single" w:sz="5" w:space="0" w:color="17365D"/>
            </w:tcBorders>
            <w:tcMar>
              <w:top w:w="85" w:type="dxa"/>
              <w:start w:w="105" w:type="dxa"/>
              <w:bottom w:w="85" w:type="dxa"/>
              <w:end w:w="105" w:type="dxa"/>
            </w:tcMar>
          </w:tcPr>
          <w:p>
            <w:pPr>
              <w:spacing w:after="0"/>
            </w:pPr>
            <w:r/>
            <w:r>
              <w:rPr>
                <w:rFonts w:ascii="Arial" w:hAnsi="Arial" w:eastAsia="Arial"/>
                <w:b/>
                <w:i w:val="0"/>
                <w:color w:val="FFFFFF"/>
                <w:sz w:val="14"/>
              </w:rPr>
              <w:t>Lead</w:t>
            </w:r>
          </w:p>
        </w:tc>
        <w:tc>
          <w:tcPr>
            <w:tcW w:type="dxa" w:w="1584"/>
            <w:shd w:fill="17365D"/>
            <w:tcBorders>
              <w:top w:val="single" w:sz="5" w:space="0" w:color="17365D"/>
              <w:left w:val="single" w:sz="5" w:space="0" w:color="17365D"/>
              <w:bottom w:val="single" w:sz="5" w:space="0" w:color="17365D"/>
              <w:right w:val="single" w:sz="5" w:space="0" w:color="17365D"/>
            </w:tcBorders>
            <w:tcMar>
              <w:top w:w="85" w:type="dxa"/>
              <w:start w:w="105" w:type="dxa"/>
              <w:bottom w:w="85" w:type="dxa"/>
              <w:end w:w="105" w:type="dxa"/>
            </w:tcMar>
          </w:tcPr>
          <w:p>
            <w:pPr>
              <w:spacing w:after="0"/>
            </w:pPr>
            <w:r/>
            <w:r>
              <w:rPr>
                <w:rFonts w:ascii="Arial" w:hAnsi="Arial" w:eastAsia="Arial"/>
                <w:b/>
                <w:i w:val="0"/>
                <w:color w:val="FFFFFF"/>
                <w:sz w:val="14"/>
              </w:rPr>
              <w:t>Purpose</w:t>
            </w:r>
          </w:p>
        </w:tc>
        <w:tc>
          <w:tcPr>
            <w:tcW w:type="dxa" w:w="3024"/>
            <w:shd w:fill="17365D"/>
            <w:tcBorders>
              <w:top w:val="single" w:sz="5" w:space="0" w:color="17365D"/>
              <w:left w:val="single" w:sz="5" w:space="0" w:color="17365D"/>
              <w:bottom w:val="single" w:sz="5" w:space="0" w:color="17365D"/>
              <w:right w:val="single" w:sz="5" w:space="0" w:color="17365D"/>
            </w:tcBorders>
            <w:tcMar>
              <w:top w:w="85" w:type="dxa"/>
              <w:start w:w="105" w:type="dxa"/>
              <w:bottom w:w="85" w:type="dxa"/>
              <w:end w:w="105" w:type="dxa"/>
            </w:tcMar>
          </w:tcPr>
          <w:p>
            <w:pPr>
              <w:spacing w:after="0"/>
            </w:pPr>
            <w:r/>
            <w:r>
              <w:rPr>
                <w:rFonts w:ascii="Arial" w:hAnsi="Arial" w:eastAsia="Arial"/>
                <w:b/>
                <w:i w:val="0"/>
                <w:color w:val="FFFFFF"/>
                <w:sz w:val="14"/>
              </w:rPr>
              <w:t>Participant activity</w:t>
            </w:r>
          </w:p>
        </w:tc>
        <w:tc>
          <w:tcPr>
            <w:tcW w:type="dxa" w:w="1670"/>
            <w:shd w:fill="17365D"/>
            <w:tcBorders>
              <w:top w:val="single" w:sz="5" w:space="0" w:color="17365D"/>
              <w:left w:val="single" w:sz="5" w:space="0" w:color="17365D"/>
              <w:bottom w:val="single" w:sz="5" w:space="0" w:color="17365D"/>
              <w:right w:val="single" w:sz="5" w:space="0" w:color="17365D"/>
            </w:tcBorders>
            <w:tcMar>
              <w:top w:w="85" w:type="dxa"/>
              <w:start w:w="105" w:type="dxa"/>
              <w:bottom w:w="85" w:type="dxa"/>
              <w:end w:w="105" w:type="dxa"/>
            </w:tcMar>
          </w:tcPr>
          <w:p>
            <w:pPr>
              <w:spacing w:after="0"/>
            </w:pPr>
            <w:r/>
            <w:r>
              <w:rPr>
                <w:rFonts w:ascii="Arial" w:hAnsi="Arial" w:eastAsia="Arial"/>
                <w:b/>
                <w:i w:val="0"/>
                <w:color w:val="FFFFFF"/>
                <w:sz w:val="14"/>
              </w:rPr>
              <w:t>Output</w:t>
            </w:r>
          </w:p>
        </w:tc>
      </w:tr>
      <w:tr>
        <w:tc>
          <w:tcPr>
            <w:tcW w:type="dxa" w:w="460"/>
            <w:shd w:fill="FFFFFF"/>
            <w:tcBorders>
              <w:top w:val="single" w:sz="4" w:space="0" w:color="D6DCE3"/>
              <w:left w:val="single" w:sz="4" w:space="0" w:color="D6DCE3"/>
              <w:bottom w:val="single" w:sz="4" w:space="0" w:color="D6DCE3"/>
              <w:right w:val="single" w:sz="4" w:space="0" w:color="D6DCE3"/>
            </w:tcBorders>
            <w:tcMar>
              <w:top w:w="85" w:type="dxa"/>
              <w:start w:w="55" w:type="dxa"/>
              <w:bottom w:w="85" w:type="dxa"/>
              <w:end w:w="55" w:type="dxa"/>
            </w:tcMar>
            <w:vAlign w:val="center"/>
          </w:tcPr>
          <w:p>
            <w:pPr>
              <w:spacing w:after="0" w:line="247" w:lineRule="auto"/>
            </w:pPr>
            <w:r/>
            <w:r>
              <w:rPr>
                <w:rFonts w:ascii="Arial" w:hAnsi="Arial" w:eastAsia="Arial"/>
                <w:b w:val="0"/>
                <w:i w:val="0"/>
                <w:color w:val="243447"/>
                <w:sz w:val="14"/>
              </w:rPr>
              <w:t>1</w:t>
            </w:r>
          </w:p>
        </w:tc>
        <w:tc>
          <w:tcPr>
            <w:tcW w:type="dxa" w:w="691"/>
            <w:shd w:fill="FFFFFF"/>
            <w:tcBorders>
              <w:top w:val="single" w:sz="4" w:space="0" w:color="D6DCE3"/>
              <w:left w:val="single" w:sz="4" w:space="0" w:color="D6DCE3"/>
              <w:bottom w:val="single" w:sz="4" w:space="0" w:color="D6DCE3"/>
              <w:right w:val="single" w:sz="4" w:space="0" w:color="D6DCE3"/>
            </w:tcBorders>
            <w:tcMar>
              <w:top w:w="85" w:type="dxa"/>
              <w:start w:w="55" w:type="dxa"/>
              <w:bottom w:w="85" w:type="dxa"/>
              <w:end w:w="55" w:type="dxa"/>
            </w:tcMar>
            <w:vAlign w:val="center"/>
          </w:tcPr>
          <w:p>
            <w:pPr>
              <w:spacing w:after="0" w:line="247" w:lineRule="auto"/>
            </w:pPr>
            <w:r/>
            <w:r>
              <w:rPr>
                <w:rFonts w:ascii="Arial" w:hAnsi="Arial" w:eastAsia="Arial"/>
                <w:b w:val="0"/>
                <w:i w:val="0"/>
                <w:color w:val="243447"/>
                <w:sz w:val="14"/>
              </w:rPr>
              <w:t>20 min</w:t>
            </w:r>
          </w:p>
        </w:tc>
        <w:tc>
          <w:tcPr>
            <w:tcW w:type="dxa" w:w="1699"/>
            <w:shd w:fill="FFFFFF"/>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Recap and challenge: a plausible but unsupported output</w:t>
            </w:r>
          </w:p>
        </w:tc>
        <w:tc>
          <w:tcPr>
            <w:tcW w:type="dxa" w:w="950"/>
            <w:shd w:fill="FFFFFF"/>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Softengi</w:t>
            </w:r>
          </w:p>
        </w:tc>
        <w:tc>
          <w:tcPr>
            <w:tcW w:type="dxa" w:w="1584"/>
            <w:shd w:fill="FFFFFF"/>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Re-activate the verification habit.</w:t>
            </w:r>
          </w:p>
        </w:tc>
        <w:tc>
          <w:tcPr>
            <w:tcW w:type="dxa" w:w="3024"/>
            <w:shd w:fill="FFFFFF"/>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Find the unsupported statement in a customer-feedback summary and correct it with evidence.</w:t>
            </w:r>
          </w:p>
        </w:tc>
        <w:tc>
          <w:tcPr>
            <w:tcW w:type="dxa" w:w="1670"/>
            <w:shd w:fill="FFFFFF"/>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Corrected output note.</w:t>
            </w:r>
          </w:p>
        </w:tc>
      </w:tr>
      <w:tr>
        <w:tc>
          <w:tcPr>
            <w:tcW w:type="dxa" w:w="460"/>
            <w:shd w:fill="F3F5F7"/>
            <w:tcBorders>
              <w:top w:val="single" w:sz="4" w:space="0" w:color="D6DCE3"/>
              <w:left w:val="single" w:sz="4" w:space="0" w:color="D6DCE3"/>
              <w:bottom w:val="single" w:sz="4" w:space="0" w:color="D6DCE3"/>
              <w:right w:val="single" w:sz="4" w:space="0" w:color="D6DCE3"/>
            </w:tcBorders>
            <w:tcMar>
              <w:top w:w="85" w:type="dxa"/>
              <w:start w:w="55" w:type="dxa"/>
              <w:bottom w:w="85" w:type="dxa"/>
              <w:end w:w="55" w:type="dxa"/>
            </w:tcMar>
            <w:vAlign w:val="center"/>
          </w:tcPr>
          <w:p>
            <w:pPr>
              <w:spacing w:after="0" w:line="247" w:lineRule="auto"/>
            </w:pPr>
            <w:r/>
            <w:r>
              <w:rPr>
                <w:rFonts w:ascii="Arial" w:hAnsi="Arial" w:eastAsia="Arial"/>
                <w:b w:val="0"/>
                <w:i w:val="0"/>
                <w:color w:val="243447"/>
                <w:sz w:val="14"/>
              </w:rPr>
              <w:t>2</w:t>
            </w:r>
          </w:p>
        </w:tc>
        <w:tc>
          <w:tcPr>
            <w:tcW w:type="dxa" w:w="691"/>
            <w:shd w:fill="F3F5F7"/>
            <w:tcBorders>
              <w:top w:val="single" w:sz="4" w:space="0" w:color="D6DCE3"/>
              <w:left w:val="single" w:sz="4" w:space="0" w:color="D6DCE3"/>
              <w:bottom w:val="single" w:sz="4" w:space="0" w:color="D6DCE3"/>
              <w:right w:val="single" w:sz="4" w:space="0" w:color="D6DCE3"/>
            </w:tcBorders>
            <w:tcMar>
              <w:top w:w="85" w:type="dxa"/>
              <w:start w:w="55" w:type="dxa"/>
              <w:bottom w:w="85" w:type="dxa"/>
              <w:end w:w="55" w:type="dxa"/>
            </w:tcMar>
            <w:vAlign w:val="center"/>
          </w:tcPr>
          <w:p>
            <w:pPr>
              <w:spacing w:after="0" w:line="247" w:lineRule="auto"/>
            </w:pPr>
            <w:r/>
            <w:r>
              <w:rPr>
                <w:rFonts w:ascii="Arial" w:hAnsi="Arial" w:eastAsia="Arial"/>
                <w:b w:val="0"/>
                <w:i w:val="0"/>
                <w:color w:val="243447"/>
                <w:sz w:val="14"/>
              </w:rPr>
              <w:t>60 min</w:t>
            </w:r>
          </w:p>
        </w:tc>
        <w:tc>
          <w:tcPr>
            <w:tcW w:type="dxa" w:w="1699"/>
            <w:shd w:fill="F3F5F7"/>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Garbage in, garbage out: data readiness for the products you own</w:t>
            </w:r>
          </w:p>
        </w:tc>
        <w:tc>
          <w:tcPr>
            <w:tcW w:type="dxa" w:w="950"/>
            <w:shd w:fill="F3F5F7"/>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Softengi</w:t>
            </w:r>
          </w:p>
        </w:tc>
        <w:tc>
          <w:tcPr>
            <w:tcW w:type="dxa" w:w="1584"/>
            <w:shd w:fill="F3F5F7"/>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Show how the quality of owned data sets the ceiling for AI quality.</w:t>
            </w:r>
          </w:p>
        </w:tc>
        <w:tc>
          <w:tcPr>
            <w:tcW w:type="dxa" w:w="3024"/>
            <w:shd w:fill="F3F5F7"/>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Assess one dataset for documentation, governance, access, completeness, consistency, currency and representation; compare differences across zones.</w:t>
            </w:r>
          </w:p>
        </w:tc>
        <w:tc>
          <w:tcPr>
            <w:tcW w:type="dxa" w:w="1670"/>
            <w:shd w:fill="F3F5F7"/>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AI and Data Readiness Checklist.</w:t>
            </w:r>
          </w:p>
        </w:tc>
      </w:tr>
      <w:tr>
        <w:tc>
          <w:tcPr>
            <w:tcW w:type="dxa" w:w="460"/>
            <w:shd w:fill="FFFFFF"/>
            <w:tcBorders>
              <w:top w:val="single" w:sz="4" w:space="0" w:color="D6DCE3"/>
              <w:left w:val="single" w:sz="4" w:space="0" w:color="D6DCE3"/>
              <w:bottom w:val="single" w:sz="4" w:space="0" w:color="D6DCE3"/>
              <w:right w:val="single" w:sz="4" w:space="0" w:color="D6DCE3"/>
            </w:tcBorders>
            <w:tcMar>
              <w:top w:w="85" w:type="dxa"/>
              <w:start w:w="55" w:type="dxa"/>
              <w:bottom w:w="85" w:type="dxa"/>
              <w:end w:w="55" w:type="dxa"/>
            </w:tcMar>
            <w:vAlign w:val="center"/>
          </w:tcPr>
          <w:p>
            <w:pPr>
              <w:spacing w:after="0" w:line="247" w:lineRule="auto"/>
            </w:pPr>
            <w:r/>
            <w:r>
              <w:rPr>
                <w:rFonts w:ascii="Arial" w:hAnsi="Arial" w:eastAsia="Arial"/>
                <w:b w:val="0"/>
                <w:i w:val="0"/>
                <w:color w:val="243447"/>
                <w:sz w:val="14"/>
              </w:rPr>
              <w:t>3</w:t>
            </w:r>
          </w:p>
        </w:tc>
        <w:tc>
          <w:tcPr>
            <w:tcW w:type="dxa" w:w="691"/>
            <w:shd w:fill="FFFFFF"/>
            <w:tcBorders>
              <w:top w:val="single" w:sz="4" w:space="0" w:color="D6DCE3"/>
              <w:left w:val="single" w:sz="4" w:space="0" w:color="D6DCE3"/>
              <w:bottom w:val="single" w:sz="4" w:space="0" w:color="D6DCE3"/>
              <w:right w:val="single" w:sz="4" w:space="0" w:color="D6DCE3"/>
            </w:tcBorders>
            <w:tcMar>
              <w:top w:w="85" w:type="dxa"/>
              <w:start w:w="55" w:type="dxa"/>
              <w:bottom w:w="85" w:type="dxa"/>
              <w:end w:w="55" w:type="dxa"/>
            </w:tcMar>
            <w:vAlign w:val="center"/>
          </w:tcPr>
          <w:p>
            <w:pPr>
              <w:spacing w:after="0" w:line="247" w:lineRule="auto"/>
            </w:pPr>
            <w:r/>
            <w:r>
              <w:rPr>
                <w:rFonts w:ascii="Arial" w:hAnsi="Arial" w:eastAsia="Arial"/>
                <w:b w:val="0"/>
                <w:i w:val="0"/>
                <w:color w:val="243447"/>
                <w:sz w:val="14"/>
              </w:rPr>
              <w:t>60 min</w:t>
            </w:r>
          </w:p>
        </w:tc>
        <w:tc>
          <w:tcPr>
            <w:tcW w:type="dxa" w:w="1699"/>
            <w:shd w:fill="FFFFFF"/>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Lab A: Customer Segmentation</w:t>
            </w:r>
          </w:p>
        </w:tc>
        <w:tc>
          <w:tcPr>
            <w:tcW w:type="dxa" w:w="950"/>
            <w:shd w:fill="FFFFFF"/>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Softengi</w:t>
            </w:r>
          </w:p>
        </w:tc>
        <w:tc>
          <w:tcPr>
            <w:tcW w:type="dxa" w:w="1584"/>
            <w:shd w:fill="FFFFFF"/>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Test whether tiering can be trusted when definitions and drivers are inconsistent.</w:t>
            </w:r>
          </w:p>
        </w:tc>
        <w:tc>
          <w:tcPr>
            <w:tcW w:type="dxa" w:w="3024"/>
            <w:shd w:fill="FFFFFF"/>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Profile 300 simulated companies in Excel; find missing drivers, duplicates and stale records; reconcile definitions; challenge two tier assignments.</w:t>
            </w:r>
          </w:p>
        </w:tc>
        <w:tc>
          <w:tcPr>
            <w:tcW w:type="dxa" w:w="1670"/>
            <w:shd w:fill="FFFFFF"/>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Segment review and data-readiness notes.</w:t>
            </w:r>
          </w:p>
        </w:tc>
      </w:tr>
      <w:tr>
        <w:tc>
          <w:tcPr>
            <w:tcW w:type="dxa" w:w="460"/>
            <w:shd w:fill="F3F5F7"/>
            <w:tcBorders>
              <w:top w:val="single" w:sz="4" w:space="0" w:color="D6DCE3"/>
              <w:left w:val="single" w:sz="4" w:space="0" w:color="D6DCE3"/>
              <w:bottom w:val="single" w:sz="4" w:space="0" w:color="D6DCE3"/>
              <w:right w:val="single" w:sz="4" w:space="0" w:color="D6DCE3"/>
            </w:tcBorders>
            <w:tcMar>
              <w:top w:w="85" w:type="dxa"/>
              <w:start w:w="55" w:type="dxa"/>
              <w:bottom w:w="85" w:type="dxa"/>
              <w:end w:w="55" w:type="dxa"/>
            </w:tcMar>
            <w:vAlign w:val="center"/>
          </w:tcPr>
          <w:p>
            <w:pPr>
              <w:spacing w:after="0" w:line="247" w:lineRule="auto"/>
            </w:pPr>
            <w:r/>
            <w:r>
              <w:rPr>
                <w:rFonts w:ascii="Arial" w:hAnsi="Arial" w:eastAsia="Arial"/>
                <w:b w:val="0"/>
                <w:i w:val="0"/>
                <w:color w:val="243447"/>
                <w:sz w:val="14"/>
              </w:rPr>
              <w:t>4</w:t>
            </w:r>
          </w:p>
        </w:tc>
        <w:tc>
          <w:tcPr>
            <w:tcW w:type="dxa" w:w="691"/>
            <w:shd w:fill="F3F5F7"/>
            <w:tcBorders>
              <w:top w:val="single" w:sz="4" w:space="0" w:color="D6DCE3"/>
              <w:left w:val="single" w:sz="4" w:space="0" w:color="D6DCE3"/>
              <w:bottom w:val="single" w:sz="4" w:space="0" w:color="D6DCE3"/>
              <w:right w:val="single" w:sz="4" w:space="0" w:color="D6DCE3"/>
            </w:tcBorders>
            <w:tcMar>
              <w:top w:w="85" w:type="dxa"/>
              <w:start w:w="55" w:type="dxa"/>
              <w:bottom w:w="85" w:type="dxa"/>
              <w:end w:w="55" w:type="dxa"/>
            </w:tcMar>
            <w:vAlign w:val="center"/>
          </w:tcPr>
          <w:p>
            <w:pPr>
              <w:spacing w:after="0" w:line="247" w:lineRule="auto"/>
            </w:pPr>
            <w:r/>
            <w:r>
              <w:rPr>
                <w:rFonts w:ascii="Arial" w:hAnsi="Arial" w:eastAsia="Arial"/>
                <w:b w:val="0"/>
                <w:i w:val="0"/>
                <w:color w:val="243447"/>
                <w:sz w:val="14"/>
              </w:rPr>
              <w:t>75 min</w:t>
            </w:r>
          </w:p>
        </w:tc>
        <w:tc>
          <w:tcPr>
            <w:tcW w:type="dxa" w:w="1699"/>
            <w:shd w:fill="F3F5F7"/>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Lab B: Customer Care — Sentiment Analysis and Churn Prediction</w:t>
            </w:r>
          </w:p>
        </w:tc>
        <w:tc>
          <w:tcPr>
            <w:tcW w:type="dxa" w:w="950"/>
            <w:shd w:fill="F3F5F7"/>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Softengi</w:t>
            </w:r>
          </w:p>
        </w:tc>
        <w:tc>
          <w:tcPr>
            <w:tcW w:type="dxa" w:w="1584"/>
            <w:shd w:fill="F3F5F7"/>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Work with the two products Customer Care relies on for customer insight and intervention.</w:t>
            </w:r>
          </w:p>
        </w:tc>
        <w:tc>
          <w:tcPr>
            <w:tcW w:type="dxa" w:w="3024"/>
            <w:shd w:fill="F3F5F7"/>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Label Arabic and English tickets; set a review threshold; decide what to do with churn alerts; find the alert caused by a data error; verify a leadership-visit brief.</w:t>
            </w:r>
          </w:p>
        </w:tc>
        <w:tc>
          <w:tcPr>
            <w:tcW w:type="dxa" w:w="1670"/>
            <w:shd w:fill="F3F5F7"/>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Sentiment validation log and churn intervention control.</w:t>
            </w:r>
          </w:p>
        </w:tc>
      </w:tr>
      <w:tr>
        <w:tc>
          <w:tcPr>
            <w:tcW w:type="dxa" w:w="460"/>
            <w:shd w:fill="FFFFFF"/>
            <w:tcBorders>
              <w:top w:val="single" w:sz="4" w:space="0" w:color="D6DCE3"/>
              <w:left w:val="single" w:sz="4" w:space="0" w:color="D6DCE3"/>
              <w:bottom w:val="single" w:sz="4" w:space="0" w:color="D6DCE3"/>
              <w:right w:val="single" w:sz="4" w:space="0" w:color="D6DCE3"/>
            </w:tcBorders>
            <w:tcMar>
              <w:top w:w="85" w:type="dxa"/>
              <w:start w:w="55" w:type="dxa"/>
              <w:bottom w:w="85" w:type="dxa"/>
              <w:end w:w="55" w:type="dxa"/>
            </w:tcMar>
            <w:vAlign w:val="center"/>
          </w:tcPr>
          <w:p>
            <w:pPr>
              <w:spacing w:after="0" w:line="247" w:lineRule="auto"/>
            </w:pPr>
            <w:r/>
            <w:r>
              <w:rPr>
                <w:rFonts w:ascii="Arial" w:hAnsi="Arial" w:eastAsia="Arial"/>
                <w:b w:val="0"/>
                <w:i w:val="0"/>
                <w:color w:val="243447"/>
                <w:sz w:val="14"/>
              </w:rPr>
              <w:t>5</w:t>
            </w:r>
          </w:p>
        </w:tc>
        <w:tc>
          <w:tcPr>
            <w:tcW w:type="dxa" w:w="691"/>
            <w:shd w:fill="FFFFFF"/>
            <w:tcBorders>
              <w:top w:val="single" w:sz="4" w:space="0" w:color="D6DCE3"/>
              <w:left w:val="single" w:sz="4" w:space="0" w:color="D6DCE3"/>
              <w:bottom w:val="single" w:sz="4" w:space="0" w:color="D6DCE3"/>
              <w:right w:val="single" w:sz="4" w:space="0" w:color="D6DCE3"/>
            </w:tcBorders>
            <w:tcMar>
              <w:top w:w="85" w:type="dxa"/>
              <w:start w:w="55" w:type="dxa"/>
              <w:bottom w:w="85" w:type="dxa"/>
              <w:end w:w="55" w:type="dxa"/>
            </w:tcMar>
            <w:vAlign w:val="center"/>
          </w:tcPr>
          <w:p>
            <w:pPr>
              <w:spacing w:after="0" w:line="247" w:lineRule="auto"/>
            </w:pPr>
            <w:r/>
            <w:r>
              <w:rPr>
                <w:rFonts w:ascii="Arial" w:hAnsi="Arial" w:eastAsia="Arial"/>
                <w:b w:val="0"/>
                <w:i w:val="0"/>
                <w:color w:val="243447"/>
                <w:sz w:val="14"/>
              </w:rPr>
              <w:t>75 min</w:t>
            </w:r>
          </w:p>
        </w:tc>
        <w:tc>
          <w:tcPr>
            <w:tcW w:type="dxa" w:w="1699"/>
            <w:shd w:fill="FFFFFF"/>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Lab C: Document Intelligence and Partner IQ</w:t>
            </w:r>
          </w:p>
        </w:tc>
        <w:tc>
          <w:tcPr>
            <w:tcW w:type="dxa" w:w="950"/>
            <w:shd w:fill="FFFFFF"/>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Softengi</w:t>
            </w:r>
          </w:p>
        </w:tc>
        <w:tc>
          <w:tcPr>
            <w:tcW w:type="dxa" w:w="1584"/>
            <w:shd w:fill="FFFFFF"/>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Check extracted information before it reaches another system and question how partner matches are ranked.</w:t>
            </w:r>
          </w:p>
        </w:tc>
        <w:tc>
          <w:tcPr>
            <w:tcW w:type="dxa" w:w="3024"/>
            <w:shd w:fill="FFFFFF"/>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Validate OCR fields; write stop-and-check rules; review partner rankings; identify profile fields that affect fair matching.</w:t>
            </w:r>
          </w:p>
        </w:tc>
        <w:tc>
          <w:tcPr>
            <w:tcW w:type="dxa" w:w="1670"/>
            <w:shd w:fill="FFFFFF"/>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Extraction QA record, exception workflow and matching-criteria review.</w:t>
            </w:r>
          </w:p>
        </w:tc>
      </w:tr>
      <w:tr>
        <w:tc>
          <w:tcPr>
            <w:tcW w:type="dxa" w:w="460"/>
            <w:shd w:fill="F3F5F7"/>
            <w:tcBorders>
              <w:top w:val="single" w:sz="4" w:space="0" w:color="D6DCE3"/>
              <w:left w:val="single" w:sz="4" w:space="0" w:color="D6DCE3"/>
              <w:bottom w:val="single" w:sz="4" w:space="0" w:color="D6DCE3"/>
              <w:right w:val="single" w:sz="4" w:space="0" w:color="D6DCE3"/>
            </w:tcBorders>
            <w:tcMar>
              <w:top w:w="85" w:type="dxa"/>
              <w:start w:w="55" w:type="dxa"/>
              <w:bottom w:w="85" w:type="dxa"/>
              <w:end w:w="55" w:type="dxa"/>
            </w:tcMar>
            <w:vAlign w:val="center"/>
          </w:tcPr>
          <w:p>
            <w:pPr>
              <w:spacing w:after="0" w:line="247" w:lineRule="auto"/>
            </w:pPr>
            <w:r/>
            <w:r>
              <w:rPr>
                <w:rFonts w:ascii="Arial" w:hAnsi="Arial" w:eastAsia="Arial"/>
                <w:b w:val="0"/>
                <w:i w:val="0"/>
                <w:color w:val="243447"/>
                <w:sz w:val="14"/>
              </w:rPr>
              <w:t>6</w:t>
            </w:r>
          </w:p>
        </w:tc>
        <w:tc>
          <w:tcPr>
            <w:tcW w:type="dxa" w:w="691"/>
            <w:shd w:fill="F3F5F7"/>
            <w:tcBorders>
              <w:top w:val="single" w:sz="4" w:space="0" w:color="D6DCE3"/>
              <w:left w:val="single" w:sz="4" w:space="0" w:color="D6DCE3"/>
              <w:bottom w:val="single" w:sz="4" w:space="0" w:color="D6DCE3"/>
              <w:right w:val="single" w:sz="4" w:space="0" w:color="D6DCE3"/>
            </w:tcBorders>
            <w:tcMar>
              <w:top w:w="85" w:type="dxa"/>
              <w:start w:w="55" w:type="dxa"/>
              <w:bottom w:w="85" w:type="dxa"/>
              <w:end w:w="55" w:type="dxa"/>
            </w:tcMar>
            <w:vAlign w:val="center"/>
          </w:tcPr>
          <w:p>
            <w:pPr>
              <w:spacing w:after="0" w:line="247" w:lineRule="auto"/>
            </w:pPr>
            <w:r/>
            <w:r>
              <w:rPr>
                <w:rFonts w:ascii="Arial" w:hAnsi="Arial" w:eastAsia="Arial"/>
                <w:b w:val="0"/>
                <w:i w:val="0"/>
                <w:color w:val="243447"/>
                <w:sz w:val="14"/>
              </w:rPr>
              <w:t>45 min</w:t>
            </w:r>
          </w:p>
        </w:tc>
        <w:tc>
          <w:tcPr>
            <w:tcW w:type="dxa" w:w="1699"/>
            <w:shd w:fill="F3F5F7"/>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Use-case prioritisation for the capstone</w:t>
            </w:r>
          </w:p>
        </w:tc>
        <w:tc>
          <w:tcPr>
            <w:tcW w:type="dxa" w:w="950"/>
            <w:shd w:fill="F3F5F7"/>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Softengi</w:t>
            </w:r>
          </w:p>
        </w:tc>
        <w:tc>
          <w:tcPr>
            <w:tcW w:type="dxa" w:w="1584"/>
            <w:shd w:fill="F3F5F7"/>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Choose the use case each team will carry forward.</w:t>
            </w:r>
          </w:p>
        </w:tc>
        <w:tc>
          <w:tcPr>
            <w:tcW w:type="dxa" w:w="3024"/>
            <w:shd w:fill="F3F5F7"/>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Compare candidates on purpose, data readiness, risk and value; select an improvement to an existing product or a new use case.</w:t>
            </w:r>
          </w:p>
        </w:tc>
        <w:tc>
          <w:tcPr>
            <w:tcW w:type="dxa" w:w="1670"/>
            <w:shd w:fill="F3F5F7"/>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Prioritised DIEZ use case.</w:t>
            </w:r>
          </w:p>
        </w:tc>
      </w:tr>
    </w:tbl>
    <w:p>
      <w:pPr>
        <w:spacing w:after="20"/>
      </w:pPr>
    </w:p>
    <w:p>
      <w:r>
        <w:br w:type="page"/>
      </w:r>
    </w:p>
    <w:p>
      <w:pPr>
        <w:pStyle w:val="Heading1"/>
        <w:keepNext/>
        <w:spacing w:before="280" w:after="100"/>
      </w:pPr>
      <w:r>
        <w:rPr>
          <w:rFonts w:ascii="Arial" w:hAnsi="Arial" w:eastAsia="Arial"/>
          <w:b/>
          <w:i w:val="0"/>
          <w:color w:val="17365D"/>
          <w:sz w:val="30"/>
        </w:rPr>
        <w:t>6. Day 3 — Verify and govern</w:t>
      </w:r>
    </w:p>
    <w:p>
      <w:pPr>
        <w:spacing w:after="100" w:before="0" w:line="259" w:lineRule="auto"/>
      </w:pPr>
      <w:r>
        <w:rPr>
          <w:rFonts w:ascii="Arial" w:hAnsi="Arial" w:eastAsia="Arial"/>
          <w:b w:val="0"/>
          <w:i w:val="0"/>
          <w:color w:val="243447"/>
          <w:sz w:val="20"/>
        </w:rPr>
        <w:t>Day purpose: Make responsible-AI controls explicit inside DIEZ’s own frameworks and prepare stewards for product sign-off.</w:t>
      </w:r>
    </w:p>
    <w:tbl>
      <w:tblPr>
        <w:tblW w:type="dxa" w:w="10080"/>
        <w:jc w:val="center"/>
        <w:tblLayout w:type="fixed"/>
        <w:tblLook w:firstColumn="1" w:firstRow="1" w:lastColumn="0" w:lastRow="0" w:noHBand="0" w:noVBand="1" w:val="04A0"/>
      </w:tblPr>
      <w:tblGrid>
        <w:gridCol w:w="460"/>
        <w:gridCol w:w="691"/>
        <w:gridCol w:w="1699"/>
        <w:gridCol w:w="950"/>
        <w:gridCol w:w="1584"/>
        <w:gridCol w:w="3024"/>
        <w:gridCol w:w="1670"/>
      </w:tblGrid>
      <w:tr>
        <w:tc>
          <w:tcPr>
            <w:tcW w:type="dxa" w:w="460"/>
            <w:shd w:fill="17365D"/>
            <w:tcBorders>
              <w:top w:val="single" w:sz="5" w:space="0" w:color="17365D"/>
              <w:left w:val="single" w:sz="5" w:space="0" w:color="17365D"/>
              <w:bottom w:val="single" w:sz="5" w:space="0" w:color="17365D"/>
              <w:right w:val="single" w:sz="5" w:space="0" w:color="17365D"/>
            </w:tcBorders>
            <w:tcMar>
              <w:top w:w="85" w:type="dxa"/>
              <w:start w:w="55" w:type="dxa"/>
              <w:bottom w:w="85" w:type="dxa"/>
              <w:end w:w="55" w:type="dxa"/>
            </w:tcMar>
          </w:tcPr>
          <w:p>
            <w:pPr>
              <w:spacing w:after="0"/>
            </w:pPr>
            <w:r/>
            <w:r>
              <w:rPr>
                <w:rFonts w:ascii="Arial" w:hAnsi="Arial" w:eastAsia="Arial"/>
                <w:b/>
                <w:i w:val="0"/>
                <w:color w:val="FFFFFF"/>
                <w:sz w:val="14"/>
              </w:rPr>
              <w:t>No.</w:t>
            </w:r>
          </w:p>
        </w:tc>
        <w:tc>
          <w:tcPr>
            <w:tcW w:type="dxa" w:w="691"/>
            <w:shd w:fill="17365D"/>
            <w:tcBorders>
              <w:top w:val="single" w:sz="5" w:space="0" w:color="17365D"/>
              <w:left w:val="single" w:sz="5" w:space="0" w:color="17365D"/>
              <w:bottom w:val="single" w:sz="5" w:space="0" w:color="17365D"/>
              <w:right w:val="single" w:sz="5" w:space="0" w:color="17365D"/>
            </w:tcBorders>
            <w:tcMar>
              <w:top w:w="85" w:type="dxa"/>
              <w:start w:w="55" w:type="dxa"/>
              <w:bottom w:w="85" w:type="dxa"/>
              <w:end w:w="55" w:type="dxa"/>
            </w:tcMar>
          </w:tcPr>
          <w:p>
            <w:pPr>
              <w:spacing w:after="0"/>
            </w:pPr>
            <w:r/>
            <w:r>
              <w:rPr>
                <w:rFonts w:ascii="Arial" w:hAnsi="Arial" w:eastAsia="Arial"/>
                <w:b/>
                <w:i w:val="0"/>
                <w:color w:val="FFFFFF"/>
                <w:sz w:val="14"/>
              </w:rPr>
              <w:t>Time</w:t>
            </w:r>
          </w:p>
        </w:tc>
        <w:tc>
          <w:tcPr>
            <w:tcW w:type="dxa" w:w="1699"/>
            <w:shd w:fill="17365D"/>
            <w:tcBorders>
              <w:top w:val="single" w:sz="5" w:space="0" w:color="17365D"/>
              <w:left w:val="single" w:sz="5" w:space="0" w:color="17365D"/>
              <w:bottom w:val="single" w:sz="5" w:space="0" w:color="17365D"/>
              <w:right w:val="single" w:sz="5" w:space="0" w:color="17365D"/>
            </w:tcBorders>
            <w:tcMar>
              <w:top w:w="85" w:type="dxa"/>
              <w:start w:w="105" w:type="dxa"/>
              <w:bottom w:w="85" w:type="dxa"/>
              <w:end w:w="105" w:type="dxa"/>
            </w:tcMar>
          </w:tcPr>
          <w:p>
            <w:pPr>
              <w:spacing w:after="0"/>
            </w:pPr>
            <w:r/>
            <w:r>
              <w:rPr>
                <w:rFonts w:ascii="Arial" w:hAnsi="Arial" w:eastAsia="Arial"/>
                <w:b/>
                <w:i w:val="0"/>
                <w:color w:val="FFFFFF"/>
                <w:sz w:val="14"/>
              </w:rPr>
              <w:t>Session</w:t>
            </w:r>
          </w:p>
        </w:tc>
        <w:tc>
          <w:tcPr>
            <w:tcW w:type="dxa" w:w="950"/>
            <w:shd w:fill="17365D"/>
            <w:tcBorders>
              <w:top w:val="single" w:sz="5" w:space="0" w:color="17365D"/>
              <w:left w:val="single" w:sz="5" w:space="0" w:color="17365D"/>
              <w:bottom w:val="single" w:sz="5" w:space="0" w:color="17365D"/>
              <w:right w:val="single" w:sz="5" w:space="0" w:color="17365D"/>
            </w:tcBorders>
            <w:tcMar>
              <w:top w:w="85" w:type="dxa"/>
              <w:start w:w="105" w:type="dxa"/>
              <w:bottom w:w="85" w:type="dxa"/>
              <w:end w:w="105" w:type="dxa"/>
            </w:tcMar>
          </w:tcPr>
          <w:p>
            <w:pPr>
              <w:spacing w:after="0"/>
            </w:pPr>
            <w:r/>
            <w:r>
              <w:rPr>
                <w:rFonts w:ascii="Arial" w:hAnsi="Arial" w:eastAsia="Arial"/>
                <w:b/>
                <w:i w:val="0"/>
                <w:color w:val="FFFFFF"/>
                <w:sz w:val="14"/>
              </w:rPr>
              <w:t>Lead</w:t>
            </w:r>
          </w:p>
        </w:tc>
        <w:tc>
          <w:tcPr>
            <w:tcW w:type="dxa" w:w="1584"/>
            <w:shd w:fill="17365D"/>
            <w:tcBorders>
              <w:top w:val="single" w:sz="5" w:space="0" w:color="17365D"/>
              <w:left w:val="single" w:sz="5" w:space="0" w:color="17365D"/>
              <w:bottom w:val="single" w:sz="5" w:space="0" w:color="17365D"/>
              <w:right w:val="single" w:sz="5" w:space="0" w:color="17365D"/>
            </w:tcBorders>
            <w:tcMar>
              <w:top w:w="85" w:type="dxa"/>
              <w:start w:w="105" w:type="dxa"/>
              <w:bottom w:w="85" w:type="dxa"/>
              <w:end w:w="105" w:type="dxa"/>
            </w:tcMar>
          </w:tcPr>
          <w:p>
            <w:pPr>
              <w:spacing w:after="0"/>
            </w:pPr>
            <w:r/>
            <w:r>
              <w:rPr>
                <w:rFonts w:ascii="Arial" w:hAnsi="Arial" w:eastAsia="Arial"/>
                <w:b/>
                <w:i w:val="0"/>
                <w:color w:val="FFFFFF"/>
                <w:sz w:val="14"/>
              </w:rPr>
              <w:t>Purpose</w:t>
            </w:r>
          </w:p>
        </w:tc>
        <w:tc>
          <w:tcPr>
            <w:tcW w:type="dxa" w:w="3024"/>
            <w:shd w:fill="17365D"/>
            <w:tcBorders>
              <w:top w:val="single" w:sz="5" w:space="0" w:color="17365D"/>
              <w:left w:val="single" w:sz="5" w:space="0" w:color="17365D"/>
              <w:bottom w:val="single" w:sz="5" w:space="0" w:color="17365D"/>
              <w:right w:val="single" w:sz="5" w:space="0" w:color="17365D"/>
            </w:tcBorders>
            <w:tcMar>
              <w:top w:w="85" w:type="dxa"/>
              <w:start w:w="105" w:type="dxa"/>
              <w:bottom w:w="85" w:type="dxa"/>
              <w:end w:w="105" w:type="dxa"/>
            </w:tcMar>
          </w:tcPr>
          <w:p>
            <w:pPr>
              <w:spacing w:after="0"/>
            </w:pPr>
            <w:r/>
            <w:r>
              <w:rPr>
                <w:rFonts w:ascii="Arial" w:hAnsi="Arial" w:eastAsia="Arial"/>
                <w:b/>
                <w:i w:val="0"/>
                <w:color w:val="FFFFFF"/>
                <w:sz w:val="14"/>
              </w:rPr>
              <w:t>Participant activity</w:t>
            </w:r>
          </w:p>
        </w:tc>
        <w:tc>
          <w:tcPr>
            <w:tcW w:type="dxa" w:w="1670"/>
            <w:shd w:fill="17365D"/>
            <w:tcBorders>
              <w:top w:val="single" w:sz="5" w:space="0" w:color="17365D"/>
              <w:left w:val="single" w:sz="5" w:space="0" w:color="17365D"/>
              <w:bottom w:val="single" w:sz="5" w:space="0" w:color="17365D"/>
              <w:right w:val="single" w:sz="5" w:space="0" w:color="17365D"/>
            </w:tcBorders>
            <w:tcMar>
              <w:top w:w="85" w:type="dxa"/>
              <w:start w:w="105" w:type="dxa"/>
              <w:bottom w:w="85" w:type="dxa"/>
              <w:end w:w="105" w:type="dxa"/>
            </w:tcMar>
          </w:tcPr>
          <w:p>
            <w:pPr>
              <w:spacing w:after="0"/>
            </w:pPr>
            <w:r/>
            <w:r>
              <w:rPr>
                <w:rFonts w:ascii="Arial" w:hAnsi="Arial" w:eastAsia="Arial"/>
                <w:b/>
                <w:i w:val="0"/>
                <w:color w:val="FFFFFF"/>
                <w:sz w:val="14"/>
              </w:rPr>
              <w:t>Output</w:t>
            </w:r>
          </w:p>
        </w:tc>
      </w:tr>
      <w:tr>
        <w:tc>
          <w:tcPr>
            <w:tcW w:type="dxa" w:w="460"/>
            <w:shd w:fill="FFFFFF"/>
            <w:tcBorders>
              <w:top w:val="single" w:sz="4" w:space="0" w:color="D6DCE3"/>
              <w:left w:val="single" w:sz="4" w:space="0" w:color="D6DCE3"/>
              <w:bottom w:val="single" w:sz="4" w:space="0" w:color="D6DCE3"/>
              <w:right w:val="single" w:sz="4" w:space="0" w:color="D6DCE3"/>
            </w:tcBorders>
            <w:tcMar>
              <w:top w:w="85" w:type="dxa"/>
              <w:start w:w="55" w:type="dxa"/>
              <w:bottom w:w="85" w:type="dxa"/>
              <w:end w:w="55" w:type="dxa"/>
            </w:tcMar>
            <w:vAlign w:val="center"/>
          </w:tcPr>
          <w:p>
            <w:pPr>
              <w:spacing w:after="0" w:line="247" w:lineRule="auto"/>
            </w:pPr>
            <w:r/>
            <w:r>
              <w:rPr>
                <w:rFonts w:ascii="Arial" w:hAnsi="Arial" w:eastAsia="Arial"/>
                <w:b w:val="0"/>
                <w:i w:val="0"/>
                <w:color w:val="243447"/>
                <w:sz w:val="14"/>
              </w:rPr>
              <w:t>1</w:t>
            </w:r>
          </w:p>
        </w:tc>
        <w:tc>
          <w:tcPr>
            <w:tcW w:type="dxa" w:w="691"/>
            <w:shd w:fill="FFFFFF"/>
            <w:tcBorders>
              <w:top w:val="single" w:sz="4" w:space="0" w:color="D6DCE3"/>
              <w:left w:val="single" w:sz="4" w:space="0" w:color="D6DCE3"/>
              <w:bottom w:val="single" w:sz="4" w:space="0" w:color="D6DCE3"/>
              <w:right w:val="single" w:sz="4" w:space="0" w:color="D6DCE3"/>
            </w:tcBorders>
            <w:tcMar>
              <w:top w:w="85" w:type="dxa"/>
              <w:start w:w="55" w:type="dxa"/>
              <w:bottom w:w="85" w:type="dxa"/>
              <w:end w:w="55" w:type="dxa"/>
            </w:tcMar>
            <w:vAlign w:val="center"/>
          </w:tcPr>
          <w:p>
            <w:pPr>
              <w:spacing w:after="0" w:line="247" w:lineRule="auto"/>
            </w:pPr>
            <w:r/>
            <w:r>
              <w:rPr>
                <w:rFonts w:ascii="Arial" w:hAnsi="Arial" w:eastAsia="Arial"/>
                <w:b w:val="0"/>
                <w:i w:val="0"/>
                <w:color w:val="243447"/>
                <w:sz w:val="14"/>
              </w:rPr>
              <w:t>20 min</w:t>
            </w:r>
          </w:p>
        </w:tc>
        <w:tc>
          <w:tcPr>
            <w:tcW w:type="dxa" w:w="1699"/>
            <w:shd w:fill="FFFFFF"/>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Recap: what makes an output trustworthy?</w:t>
            </w:r>
          </w:p>
        </w:tc>
        <w:tc>
          <w:tcPr>
            <w:tcW w:type="dxa" w:w="950"/>
            <w:shd w:fill="FFFFFF"/>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Softengi</w:t>
            </w:r>
          </w:p>
        </w:tc>
        <w:tc>
          <w:tcPr>
            <w:tcW w:type="dxa" w:w="1584"/>
            <w:shd w:fill="FFFFFF"/>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Review the previous day’s evidence and acceptance decisions.</w:t>
            </w:r>
          </w:p>
        </w:tc>
        <w:tc>
          <w:tcPr>
            <w:tcW w:type="dxa" w:w="3024"/>
            <w:shd w:fill="FFFFFF"/>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Swap one product artefact with another team and check the evidence behind the decision.</w:t>
            </w:r>
          </w:p>
        </w:tc>
        <w:tc>
          <w:tcPr>
            <w:tcW w:type="dxa" w:w="1670"/>
            <w:shd w:fill="FFFFFF"/>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Peer-review record.</w:t>
            </w:r>
          </w:p>
        </w:tc>
      </w:tr>
      <w:tr>
        <w:tc>
          <w:tcPr>
            <w:tcW w:type="dxa" w:w="460"/>
            <w:shd w:fill="F3F5F7"/>
            <w:tcBorders>
              <w:top w:val="single" w:sz="4" w:space="0" w:color="D6DCE3"/>
              <w:left w:val="single" w:sz="4" w:space="0" w:color="D6DCE3"/>
              <w:bottom w:val="single" w:sz="4" w:space="0" w:color="D6DCE3"/>
              <w:right w:val="single" w:sz="4" w:space="0" w:color="D6DCE3"/>
            </w:tcBorders>
            <w:tcMar>
              <w:top w:w="85" w:type="dxa"/>
              <w:start w:w="55" w:type="dxa"/>
              <w:bottom w:w="85" w:type="dxa"/>
              <w:end w:w="55" w:type="dxa"/>
            </w:tcMar>
            <w:vAlign w:val="center"/>
          </w:tcPr>
          <w:p>
            <w:pPr>
              <w:spacing w:after="0" w:line="247" w:lineRule="auto"/>
            </w:pPr>
            <w:r/>
            <w:r>
              <w:rPr>
                <w:rFonts w:ascii="Arial" w:hAnsi="Arial" w:eastAsia="Arial"/>
                <w:b w:val="0"/>
                <w:i w:val="0"/>
                <w:color w:val="243447"/>
                <w:sz w:val="14"/>
              </w:rPr>
              <w:t>2</w:t>
            </w:r>
          </w:p>
        </w:tc>
        <w:tc>
          <w:tcPr>
            <w:tcW w:type="dxa" w:w="691"/>
            <w:shd w:fill="F3F5F7"/>
            <w:tcBorders>
              <w:top w:val="single" w:sz="4" w:space="0" w:color="D6DCE3"/>
              <w:left w:val="single" w:sz="4" w:space="0" w:color="D6DCE3"/>
              <w:bottom w:val="single" w:sz="4" w:space="0" w:color="D6DCE3"/>
              <w:right w:val="single" w:sz="4" w:space="0" w:color="D6DCE3"/>
            </w:tcBorders>
            <w:tcMar>
              <w:top w:w="85" w:type="dxa"/>
              <w:start w:w="55" w:type="dxa"/>
              <w:bottom w:w="85" w:type="dxa"/>
              <w:end w:w="55" w:type="dxa"/>
            </w:tcMar>
            <w:vAlign w:val="center"/>
          </w:tcPr>
          <w:p>
            <w:pPr>
              <w:spacing w:after="0" w:line="247" w:lineRule="auto"/>
            </w:pPr>
            <w:r/>
            <w:r>
              <w:rPr>
                <w:rFonts w:ascii="Arial" w:hAnsi="Arial" w:eastAsia="Arial"/>
                <w:b w:val="0"/>
                <w:i w:val="0"/>
                <w:color w:val="243447"/>
                <w:sz w:val="14"/>
              </w:rPr>
              <w:t>60 min</w:t>
            </w:r>
          </w:p>
        </w:tc>
        <w:tc>
          <w:tcPr>
            <w:tcW w:type="dxa" w:w="1699"/>
            <w:shd w:fill="F3F5F7"/>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Responsible AI inside DIEZ’s frameworks</w:t>
            </w:r>
          </w:p>
        </w:tc>
        <w:tc>
          <w:tcPr>
            <w:tcW w:type="dxa" w:w="950"/>
            <w:shd w:fill="F3F5F7"/>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Softengi</w:t>
            </w:r>
          </w:p>
        </w:tc>
        <w:tc>
          <w:tcPr>
            <w:tcW w:type="dxa" w:w="1584"/>
            <w:shd w:fill="F3F5F7"/>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Connect practical risks to DIEZ’s data- and AI-governance responsibilities.</w:t>
            </w:r>
          </w:p>
        </w:tc>
        <w:tc>
          <w:tcPr>
            <w:tcW w:type="dxa" w:w="3024"/>
            <w:shd w:fill="F3F5F7"/>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Apply privacy, confidentiality, security, bias, explainability, intellectual property, over-reliance and evidence-retention questions to a case.</w:t>
            </w:r>
          </w:p>
        </w:tc>
        <w:tc>
          <w:tcPr>
            <w:tcW w:type="dxa" w:w="1670"/>
            <w:shd w:fill="F3F5F7"/>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Risk prompt card.</w:t>
            </w:r>
          </w:p>
        </w:tc>
      </w:tr>
      <w:tr>
        <w:tc>
          <w:tcPr>
            <w:tcW w:type="dxa" w:w="460"/>
            <w:shd w:fill="FFFFFF"/>
            <w:tcBorders>
              <w:top w:val="single" w:sz="4" w:space="0" w:color="D6DCE3"/>
              <w:left w:val="single" w:sz="4" w:space="0" w:color="D6DCE3"/>
              <w:bottom w:val="single" w:sz="4" w:space="0" w:color="D6DCE3"/>
              <w:right w:val="single" w:sz="4" w:space="0" w:color="D6DCE3"/>
            </w:tcBorders>
            <w:tcMar>
              <w:top w:w="85" w:type="dxa"/>
              <w:start w:w="55" w:type="dxa"/>
              <w:bottom w:w="85" w:type="dxa"/>
              <w:end w:w="55" w:type="dxa"/>
            </w:tcMar>
            <w:vAlign w:val="center"/>
          </w:tcPr>
          <w:p>
            <w:pPr>
              <w:spacing w:after="0" w:line="247" w:lineRule="auto"/>
            </w:pPr>
            <w:r/>
            <w:r>
              <w:rPr>
                <w:rFonts w:ascii="Arial" w:hAnsi="Arial" w:eastAsia="Arial"/>
                <w:b w:val="0"/>
                <w:i w:val="0"/>
                <w:color w:val="243447"/>
                <w:sz w:val="14"/>
              </w:rPr>
              <w:t>3</w:t>
            </w:r>
          </w:p>
        </w:tc>
        <w:tc>
          <w:tcPr>
            <w:tcW w:type="dxa" w:w="691"/>
            <w:shd w:fill="FFFFFF"/>
            <w:tcBorders>
              <w:top w:val="single" w:sz="4" w:space="0" w:color="D6DCE3"/>
              <w:left w:val="single" w:sz="4" w:space="0" w:color="D6DCE3"/>
              <w:bottom w:val="single" w:sz="4" w:space="0" w:color="D6DCE3"/>
              <w:right w:val="single" w:sz="4" w:space="0" w:color="D6DCE3"/>
            </w:tcBorders>
            <w:tcMar>
              <w:top w:w="85" w:type="dxa"/>
              <w:start w:w="55" w:type="dxa"/>
              <w:bottom w:w="85" w:type="dxa"/>
              <w:end w:w="55" w:type="dxa"/>
            </w:tcMar>
            <w:vAlign w:val="center"/>
          </w:tcPr>
          <w:p>
            <w:pPr>
              <w:spacing w:after="0" w:line="247" w:lineRule="auto"/>
            </w:pPr>
            <w:r/>
            <w:r>
              <w:rPr>
                <w:rFonts w:ascii="Arial" w:hAnsi="Arial" w:eastAsia="Arial"/>
                <w:b w:val="0"/>
                <w:i w:val="0"/>
                <w:color w:val="243447"/>
                <w:sz w:val="14"/>
              </w:rPr>
              <w:t>75 min</w:t>
            </w:r>
          </w:p>
        </w:tc>
        <w:tc>
          <w:tcPr>
            <w:tcW w:type="dxa" w:w="1699"/>
            <w:shd w:fill="FFFFFF"/>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Sign-off simulation: Digital asks you to sign off this product</w:t>
            </w:r>
          </w:p>
        </w:tc>
        <w:tc>
          <w:tcPr>
            <w:tcW w:type="dxa" w:w="950"/>
            <w:shd w:fill="FFFFFF"/>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Softengi</w:t>
            </w:r>
          </w:p>
        </w:tc>
        <w:tc>
          <w:tcPr>
            <w:tcW w:type="dxa" w:w="1584"/>
            <w:shd w:fill="FFFFFF"/>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Prepare participants for the point at which a business owner or steward must accept an AI-enabled product.</w:t>
            </w:r>
          </w:p>
        </w:tc>
        <w:tc>
          <w:tcPr>
            <w:tcW w:type="dxa" w:w="3024"/>
            <w:shd w:fill="FFFFFF"/>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Question a release pack about purpose, data, testing, error rate, limitations, human review and monitoring; decide sign off, sign off with conditions or not yet.</w:t>
            </w:r>
          </w:p>
        </w:tc>
        <w:tc>
          <w:tcPr>
            <w:tcW w:type="dxa" w:w="1670"/>
            <w:shd w:fill="FFFFFF"/>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Initiative risk review and sign-off checklist.</w:t>
            </w:r>
          </w:p>
        </w:tc>
      </w:tr>
      <w:tr>
        <w:tc>
          <w:tcPr>
            <w:tcW w:type="dxa" w:w="460"/>
            <w:shd w:fill="F3F5F7"/>
            <w:tcBorders>
              <w:top w:val="single" w:sz="4" w:space="0" w:color="D6DCE3"/>
              <w:left w:val="single" w:sz="4" w:space="0" w:color="D6DCE3"/>
              <w:bottom w:val="single" w:sz="4" w:space="0" w:color="D6DCE3"/>
              <w:right w:val="single" w:sz="4" w:space="0" w:color="D6DCE3"/>
            </w:tcBorders>
            <w:tcMar>
              <w:top w:w="85" w:type="dxa"/>
              <w:start w:w="55" w:type="dxa"/>
              <w:bottom w:w="85" w:type="dxa"/>
              <w:end w:w="55" w:type="dxa"/>
            </w:tcMar>
            <w:vAlign w:val="center"/>
          </w:tcPr>
          <w:p>
            <w:pPr>
              <w:spacing w:after="0" w:line="247" w:lineRule="auto"/>
            </w:pPr>
            <w:r/>
            <w:r>
              <w:rPr>
                <w:rFonts w:ascii="Arial" w:hAnsi="Arial" w:eastAsia="Arial"/>
                <w:b w:val="0"/>
                <w:i w:val="0"/>
                <w:color w:val="243447"/>
                <w:sz w:val="14"/>
              </w:rPr>
              <w:t>4</w:t>
            </w:r>
          </w:p>
        </w:tc>
        <w:tc>
          <w:tcPr>
            <w:tcW w:type="dxa" w:w="691"/>
            <w:shd w:fill="F3F5F7"/>
            <w:tcBorders>
              <w:top w:val="single" w:sz="4" w:space="0" w:color="D6DCE3"/>
              <w:left w:val="single" w:sz="4" w:space="0" w:color="D6DCE3"/>
              <w:bottom w:val="single" w:sz="4" w:space="0" w:color="D6DCE3"/>
              <w:right w:val="single" w:sz="4" w:space="0" w:color="D6DCE3"/>
            </w:tcBorders>
            <w:tcMar>
              <w:top w:w="85" w:type="dxa"/>
              <w:start w:w="55" w:type="dxa"/>
              <w:bottom w:w="85" w:type="dxa"/>
              <w:end w:w="55" w:type="dxa"/>
            </w:tcMar>
            <w:vAlign w:val="center"/>
          </w:tcPr>
          <w:p>
            <w:pPr>
              <w:spacing w:after="0" w:line="247" w:lineRule="auto"/>
            </w:pPr>
            <w:r/>
            <w:r>
              <w:rPr>
                <w:rFonts w:ascii="Arial" w:hAnsi="Arial" w:eastAsia="Arial"/>
                <w:b w:val="0"/>
                <w:i w:val="0"/>
                <w:color w:val="243447"/>
                <w:sz w:val="14"/>
              </w:rPr>
              <w:t>60 min</w:t>
            </w:r>
          </w:p>
        </w:tc>
        <w:tc>
          <w:tcPr>
            <w:tcW w:type="dxa" w:w="1699"/>
            <w:shd w:fill="F3F5F7"/>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Lab: Content Moderation</w:t>
            </w:r>
          </w:p>
        </w:tc>
        <w:tc>
          <w:tcPr>
            <w:tcW w:type="dxa" w:w="950"/>
            <w:shd w:fill="F3F5F7"/>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Softengi</w:t>
            </w:r>
          </w:p>
        </w:tc>
        <w:tc>
          <w:tcPr>
            <w:tcW w:type="dxa" w:w="1584"/>
            <w:shd w:fill="F3F5F7"/>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Translate community policy into moderation decisions and identify where people must intervene.</w:t>
            </w:r>
          </w:p>
        </w:tc>
        <w:tc>
          <w:tcPr>
            <w:tcW w:type="dxa" w:w="3024"/>
            <w:shd w:fill="F3F5F7"/>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Review borderline posts, false positives and false negatives; set the review approach for sensitive cases and design escalation.</w:t>
            </w:r>
          </w:p>
        </w:tc>
        <w:tc>
          <w:tcPr>
            <w:tcW w:type="dxa" w:w="1670"/>
            <w:shd w:fill="F3F5F7"/>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Content-moderation risk review and escalation path.</w:t>
            </w:r>
          </w:p>
        </w:tc>
      </w:tr>
      <w:tr>
        <w:tc>
          <w:tcPr>
            <w:tcW w:type="dxa" w:w="460"/>
            <w:shd w:fill="FFFFFF"/>
            <w:tcBorders>
              <w:top w:val="single" w:sz="4" w:space="0" w:color="D6DCE3"/>
              <w:left w:val="single" w:sz="4" w:space="0" w:color="D6DCE3"/>
              <w:bottom w:val="single" w:sz="4" w:space="0" w:color="D6DCE3"/>
              <w:right w:val="single" w:sz="4" w:space="0" w:color="D6DCE3"/>
            </w:tcBorders>
            <w:tcMar>
              <w:top w:w="85" w:type="dxa"/>
              <w:start w:w="55" w:type="dxa"/>
              <w:bottom w:w="85" w:type="dxa"/>
              <w:end w:w="55" w:type="dxa"/>
            </w:tcMar>
            <w:vAlign w:val="center"/>
          </w:tcPr>
          <w:p>
            <w:pPr>
              <w:spacing w:after="0" w:line="247" w:lineRule="auto"/>
            </w:pPr>
            <w:r/>
            <w:r>
              <w:rPr>
                <w:rFonts w:ascii="Arial" w:hAnsi="Arial" w:eastAsia="Arial"/>
                <w:b w:val="0"/>
                <w:i w:val="0"/>
                <w:color w:val="243447"/>
                <w:sz w:val="14"/>
              </w:rPr>
              <w:t>5</w:t>
            </w:r>
          </w:p>
        </w:tc>
        <w:tc>
          <w:tcPr>
            <w:tcW w:type="dxa" w:w="691"/>
            <w:shd w:fill="FFFFFF"/>
            <w:tcBorders>
              <w:top w:val="single" w:sz="4" w:space="0" w:color="D6DCE3"/>
              <w:left w:val="single" w:sz="4" w:space="0" w:color="D6DCE3"/>
              <w:bottom w:val="single" w:sz="4" w:space="0" w:color="D6DCE3"/>
              <w:right w:val="single" w:sz="4" w:space="0" w:color="D6DCE3"/>
            </w:tcBorders>
            <w:tcMar>
              <w:top w:w="85" w:type="dxa"/>
              <w:start w:w="55" w:type="dxa"/>
              <w:bottom w:w="85" w:type="dxa"/>
              <w:end w:w="55" w:type="dxa"/>
            </w:tcMar>
            <w:vAlign w:val="center"/>
          </w:tcPr>
          <w:p>
            <w:pPr>
              <w:spacing w:after="0" w:line="247" w:lineRule="auto"/>
            </w:pPr>
            <w:r/>
            <w:r>
              <w:rPr>
                <w:rFonts w:ascii="Arial" w:hAnsi="Arial" w:eastAsia="Arial"/>
                <w:b w:val="0"/>
                <w:i w:val="0"/>
                <w:color w:val="243447"/>
                <w:sz w:val="14"/>
              </w:rPr>
              <w:t>45 min</w:t>
            </w:r>
          </w:p>
        </w:tc>
        <w:tc>
          <w:tcPr>
            <w:tcW w:type="dxa" w:w="1699"/>
            <w:shd w:fill="FFFFFF"/>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Copilot control patterns</w:t>
            </w:r>
          </w:p>
        </w:tc>
        <w:tc>
          <w:tcPr>
            <w:tcW w:type="dxa" w:w="950"/>
            <w:shd w:fill="FFFFFF"/>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Softengi</w:t>
            </w:r>
          </w:p>
        </w:tc>
        <w:tc>
          <w:tcPr>
            <w:tcW w:type="dxa" w:w="1584"/>
            <w:shd w:fill="FFFFFF"/>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Settle the everyday rules for using the approved assistant safely.</w:t>
            </w:r>
          </w:p>
        </w:tc>
        <w:tc>
          <w:tcPr>
            <w:tcW w:type="dxa" w:w="3024"/>
            <w:shd w:fill="FFFFFF"/>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Work through cases involving confidential data, unknown document status, missing sources and tasks that should not be delegated.</w:t>
            </w:r>
          </w:p>
        </w:tc>
        <w:tc>
          <w:tcPr>
            <w:tcW w:type="dxa" w:w="1670"/>
            <w:shd w:fill="FFFFFF"/>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AI Safe Use Checklist.</w:t>
            </w:r>
          </w:p>
        </w:tc>
      </w:tr>
      <w:tr>
        <w:tc>
          <w:tcPr>
            <w:tcW w:type="dxa" w:w="460"/>
            <w:shd w:fill="F3F5F7"/>
            <w:tcBorders>
              <w:top w:val="single" w:sz="4" w:space="0" w:color="D6DCE3"/>
              <w:left w:val="single" w:sz="4" w:space="0" w:color="D6DCE3"/>
              <w:bottom w:val="single" w:sz="4" w:space="0" w:color="D6DCE3"/>
              <w:right w:val="single" w:sz="4" w:space="0" w:color="D6DCE3"/>
            </w:tcBorders>
            <w:tcMar>
              <w:top w:w="85" w:type="dxa"/>
              <w:start w:w="55" w:type="dxa"/>
              <w:bottom w:w="85" w:type="dxa"/>
              <w:end w:w="55" w:type="dxa"/>
            </w:tcMar>
            <w:vAlign w:val="center"/>
          </w:tcPr>
          <w:p>
            <w:pPr>
              <w:spacing w:after="0" w:line="247" w:lineRule="auto"/>
            </w:pPr>
            <w:r/>
            <w:r>
              <w:rPr>
                <w:rFonts w:ascii="Arial" w:hAnsi="Arial" w:eastAsia="Arial"/>
                <w:b w:val="0"/>
                <w:i w:val="0"/>
                <w:color w:val="243447"/>
                <w:sz w:val="14"/>
              </w:rPr>
              <w:t>6</w:t>
            </w:r>
          </w:p>
        </w:tc>
        <w:tc>
          <w:tcPr>
            <w:tcW w:type="dxa" w:w="691"/>
            <w:shd w:fill="F3F5F7"/>
            <w:tcBorders>
              <w:top w:val="single" w:sz="4" w:space="0" w:color="D6DCE3"/>
              <w:left w:val="single" w:sz="4" w:space="0" w:color="D6DCE3"/>
              <w:bottom w:val="single" w:sz="4" w:space="0" w:color="D6DCE3"/>
              <w:right w:val="single" w:sz="4" w:space="0" w:color="D6DCE3"/>
            </w:tcBorders>
            <w:tcMar>
              <w:top w:w="85" w:type="dxa"/>
              <w:start w:w="55" w:type="dxa"/>
              <w:bottom w:w="85" w:type="dxa"/>
              <w:end w:w="55" w:type="dxa"/>
            </w:tcMar>
            <w:vAlign w:val="center"/>
          </w:tcPr>
          <w:p>
            <w:pPr>
              <w:spacing w:after="0" w:line="247" w:lineRule="auto"/>
            </w:pPr>
            <w:r/>
            <w:r>
              <w:rPr>
                <w:rFonts w:ascii="Arial" w:hAnsi="Arial" w:eastAsia="Arial"/>
                <w:b w:val="0"/>
                <w:i w:val="0"/>
                <w:color w:val="243447"/>
                <w:sz w:val="14"/>
              </w:rPr>
              <w:t>60 min</w:t>
            </w:r>
          </w:p>
        </w:tc>
        <w:tc>
          <w:tcPr>
            <w:tcW w:type="dxa" w:w="1699"/>
            <w:shd w:fill="F3F5F7"/>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Human review, decision rights and escalation</w:t>
            </w:r>
          </w:p>
        </w:tc>
        <w:tc>
          <w:tcPr>
            <w:tcW w:type="dxa" w:w="950"/>
            <w:shd w:fill="F3F5F7"/>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Softengi</w:t>
            </w:r>
          </w:p>
        </w:tc>
        <w:tc>
          <w:tcPr>
            <w:tcW w:type="dxa" w:w="1584"/>
            <w:shd w:fill="F3F5F7"/>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Make the human role explicit at every point in the workflow.</w:t>
            </w:r>
          </w:p>
        </w:tc>
        <w:tc>
          <w:tcPr>
            <w:tcW w:type="dxa" w:w="3024"/>
            <w:shd w:fill="F3F5F7"/>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Map who checks what, when work stops, what evidence is kept and how concerns move from steward to business leadership and Digital.</w:t>
            </w:r>
          </w:p>
        </w:tc>
        <w:tc>
          <w:tcPr>
            <w:tcW w:type="dxa" w:w="1670"/>
            <w:shd w:fill="F3F5F7"/>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Human review workflow, escalation map and governed workflow outline.</w:t>
            </w:r>
          </w:p>
        </w:tc>
      </w:tr>
    </w:tbl>
    <w:p>
      <w:pPr>
        <w:spacing w:after="20"/>
      </w:pPr>
    </w:p>
    <w:p>
      <w:r>
        <w:br w:type="page"/>
      </w:r>
    </w:p>
    <w:p>
      <w:pPr>
        <w:pStyle w:val="Heading1"/>
        <w:keepNext/>
        <w:spacing w:before="280" w:after="100"/>
      </w:pPr>
      <w:r>
        <w:rPr>
          <w:rFonts w:ascii="Arial" w:hAnsi="Arial" w:eastAsia="Arial"/>
          <w:b/>
          <w:i w:val="0"/>
          <w:color w:val="17365D"/>
          <w:sz w:val="30"/>
        </w:rPr>
        <w:t>7. Day 4 — Implement and demonstrate</w:t>
      </w:r>
    </w:p>
    <w:p>
      <w:pPr>
        <w:spacing w:after="100" w:before="0" w:line="259" w:lineRule="auto"/>
      </w:pPr>
      <w:r>
        <w:rPr>
          <w:rFonts w:ascii="Arial" w:hAnsi="Arial" w:eastAsia="Arial"/>
          <w:b w:val="0"/>
          <w:i w:val="0"/>
          <w:color w:val="243447"/>
          <w:sz w:val="20"/>
        </w:rPr>
        <w:t>Day purpose: Integrate the learning into a governed workflow, demonstrate it and plan workplace application.</w:t>
      </w:r>
    </w:p>
    <w:tbl>
      <w:tblPr>
        <w:tblW w:type="dxa" w:w="10080"/>
        <w:jc w:val="center"/>
        <w:tblLayout w:type="fixed"/>
        <w:tblLook w:firstColumn="1" w:firstRow="1" w:lastColumn="0" w:lastRow="0" w:noHBand="0" w:noVBand="1" w:val="04A0"/>
      </w:tblPr>
      <w:tblGrid>
        <w:gridCol w:w="460"/>
        <w:gridCol w:w="691"/>
        <w:gridCol w:w="1699"/>
        <w:gridCol w:w="950"/>
        <w:gridCol w:w="1584"/>
        <w:gridCol w:w="3024"/>
        <w:gridCol w:w="1670"/>
      </w:tblGrid>
      <w:tr>
        <w:tc>
          <w:tcPr>
            <w:tcW w:type="dxa" w:w="460"/>
            <w:shd w:fill="17365D"/>
            <w:tcBorders>
              <w:top w:val="single" w:sz="5" w:space="0" w:color="17365D"/>
              <w:left w:val="single" w:sz="5" w:space="0" w:color="17365D"/>
              <w:bottom w:val="single" w:sz="5" w:space="0" w:color="17365D"/>
              <w:right w:val="single" w:sz="5" w:space="0" w:color="17365D"/>
            </w:tcBorders>
            <w:tcMar>
              <w:top w:w="85" w:type="dxa"/>
              <w:start w:w="55" w:type="dxa"/>
              <w:bottom w:w="85" w:type="dxa"/>
              <w:end w:w="55" w:type="dxa"/>
            </w:tcMar>
          </w:tcPr>
          <w:p>
            <w:pPr>
              <w:spacing w:after="0"/>
            </w:pPr>
            <w:r/>
            <w:r>
              <w:rPr>
                <w:rFonts w:ascii="Arial" w:hAnsi="Arial" w:eastAsia="Arial"/>
                <w:b/>
                <w:i w:val="0"/>
                <w:color w:val="FFFFFF"/>
                <w:sz w:val="14"/>
              </w:rPr>
              <w:t>No.</w:t>
            </w:r>
          </w:p>
        </w:tc>
        <w:tc>
          <w:tcPr>
            <w:tcW w:type="dxa" w:w="691"/>
            <w:shd w:fill="17365D"/>
            <w:tcBorders>
              <w:top w:val="single" w:sz="5" w:space="0" w:color="17365D"/>
              <w:left w:val="single" w:sz="5" w:space="0" w:color="17365D"/>
              <w:bottom w:val="single" w:sz="5" w:space="0" w:color="17365D"/>
              <w:right w:val="single" w:sz="5" w:space="0" w:color="17365D"/>
            </w:tcBorders>
            <w:tcMar>
              <w:top w:w="85" w:type="dxa"/>
              <w:start w:w="55" w:type="dxa"/>
              <w:bottom w:w="85" w:type="dxa"/>
              <w:end w:w="55" w:type="dxa"/>
            </w:tcMar>
          </w:tcPr>
          <w:p>
            <w:pPr>
              <w:spacing w:after="0"/>
            </w:pPr>
            <w:r/>
            <w:r>
              <w:rPr>
                <w:rFonts w:ascii="Arial" w:hAnsi="Arial" w:eastAsia="Arial"/>
                <w:b/>
                <w:i w:val="0"/>
                <w:color w:val="FFFFFF"/>
                <w:sz w:val="14"/>
              </w:rPr>
              <w:t>Time</w:t>
            </w:r>
          </w:p>
        </w:tc>
        <w:tc>
          <w:tcPr>
            <w:tcW w:type="dxa" w:w="1699"/>
            <w:shd w:fill="17365D"/>
            <w:tcBorders>
              <w:top w:val="single" w:sz="5" w:space="0" w:color="17365D"/>
              <w:left w:val="single" w:sz="5" w:space="0" w:color="17365D"/>
              <w:bottom w:val="single" w:sz="5" w:space="0" w:color="17365D"/>
              <w:right w:val="single" w:sz="5" w:space="0" w:color="17365D"/>
            </w:tcBorders>
            <w:tcMar>
              <w:top w:w="85" w:type="dxa"/>
              <w:start w:w="105" w:type="dxa"/>
              <w:bottom w:w="85" w:type="dxa"/>
              <w:end w:w="105" w:type="dxa"/>
            </w:tcMar>
          </w:tcPr>
          <w:p>
            <w:pPr>
              <w:spacing w:after="0"/>
            </w:pPr>
            <w:r/>
            <w:r>
              <w:rPr>
                <w:rFonts w:ascii="Arial" w:hAnsi="Arial" w:eastAsia="Arial"/>
                <w:b/>
                <w:i w:val="0"/>
                <w:color w:val="FFFFFF"/>
                <w:sz w:val="14"/>
              </w:rPr>
              <w:t>Session</w:t>
            </w:r>
          </w:p>
        </w:tc>
        <w:tc>
          <w:tcPr>
            <w:tcW w:type="dxa" w:w="950"/>
            <w:shd w:fill="17365D"/>
            <w:tcBorders>
              <w:top w:val="single" w:sz="5" w:space="0" w:color="17365D"/>
              <w:left w:val="single" w:sz="5" w:space="0" w:color="17365D"/>
              <w:bottom w:val="single" w:sz="5" w:space="0" w:color="17365D"/>
              <w:right w:val="single" w:sz="5" w:space="0" w:color="17365D"/>
            </w:tcBorders>
            <w:tcMar>
              <w:top w:w="85" w:type="dxa"/>
              <w:start w:w="105" w:type="dxa"/>
              <w:bottom w:w="85" w:type="dxa"/>
              <w:end w:w="105" w:type="dxa"/>
            </w:tcMar>
          </w:tcPr>
          <w:p>
            <w:pPr>
              <w:spacing w:after="0"/>
            </w:pPr>
            <w:r/>
            <w:r>
              <w:rPr>
                <w:rFonts w:ascii="Arial" w:hAnsi="Arial" w:eastAsia="Arial"/>
                <w:b/>
                <w:i w:val="0"/>
                <w:color w:val="FFFFFF"/>
                <w:sz w:val="14"/>
              </w:rPr>
              <w:t>Lead</w:t>
            </w:r>
          </w:p>
        </w:tc>
        <w:tc>
          <w:tcPr>
            <w:tcW w:type="dxa" w:w="1584"/>
            <w:shd w:fill="17365D"/>
            <w:tcBorders>
              <w:top w:val="single" w:sz="5" w:space="0" w:color="17365D"/>
              <w:left w:val="single" w:sz="5" w:space="0" w:color="17365D"/>
              <w:bottom w:val="single" w:sz="5" w:space="0" w:color="17365D"/>
              <w:right w:val="single" w:sz="5" w:space="0" w:color="17365D"/>
            </w:tcBorders>
            <w:tcMar>
              <w:top w:w="85" w:type="dxa"/>
              <w:start w:w="105" w:type="dxa"/>
              <w:bottom w:w="85" w:type="dxa"/>
              <w:end w:w="105" w:type="dxa"/>
            </w:tcMar>
          </w:tcPr>
          <w:p>
            <w:pPr>
              <w:spacing w:after="0"/>
            </w:pPr>
            <w:r/>
            <w:r>
              <w:rPr>
                <w:rFonts w:ascii="Arial" w:hAnsi="Arial" w:eastAsia="Arial"/>
                <w:b/>
                <w:i w:val="0"/>
                <w:color w:val="FFFFFF"/>
                <w:sz w:val="14"/>
              </w:rPr>
              <w:t>Purpose</w:t>
            </w:r>
          </w:p>
        </w:tc>
        <w:tc>
          <w:tcPr>
            <w:tcW w:type="dxa" w:w="3024"/>
            <w:shd w:fill="17365D"/>
            <w:tcBorders>
              <w:top w:val="single" w:sz="5" w:space="0" w:color="17365D"/>
              <w:left w:val="single" w:sz="5" w:space="0" w:color="17365D"/>
              <w:bottom w:val="single" w:sz="5" w:space="0" w:color="17365D"/>
              <w:right w:val="single" w:sz="5" w:space="0" w:color="17365D"/>
            </w:tcBorders>
            <w:tcMar>
              <w:top w:w="85" w:type="dxa"/>
              <w:start w:w="105" w:type="dxa"/>
              <w:bottom w:w="85" w:type="dxa"/>
              <w:end w:w="105" w:type="dxa"/>
            </w:tcMar>
          </w:tcPr>
          <w:p>
            <w:pPr>
              <w:spacing w:after="0"/>
            </w:pPr>
            <w:r/>
            <w:r>
              <w:rPr>
                <w:rFonts w:ascii="Arial" w:hAnsi="Arial" w:eastAsia="Arial"/>
                <w:b/>
                <w:i w:val="0"/>
                <w:color w:val="FFFFFF"/>
                <w:sz w:val="14"/>
              </w:rPr>
              <w:t>Participant activity</w:t>
            </w:r>
          </w:p>
        </w:tc>
        <w:tc>
          <w:tcPr>
            <w:tcW w:type="dxa" w:w="1670"/>
            <w:shd w:fill="17365D"/>
            <w:tcBorders>
              <w:top w:val="single" w:sz="5" w:space="0" w:color="17365D"/>
              <w:left w:val="single" w:sz="5" w:space="0" w:color="17365D"/>
              <w:bottom w:val="single" w:sz="5" w:space="0" w:color="17365D"/>
              <w:right w:val="single" w:sz="5" w:space="0" w:color="17365D"/>
            </w:tcBorders>
            <w:tcMar>
              <w:top w:w="85" w:type="dxa"/>
              <w:start w:w="105" w:type="dxa"/>
              <w:bottom w:w="85" w:type="dxa"/>
              <w:end w:w="105" w:type="dxa"/>
            </w:tcMar>
          </w:tcPr>
          <w:p>
            <w:pPr>
              <w:spacing w:after="0"/>
            </w:pPr>
            <w:r/>
            <w:r>
              <w:rPr>
                <w:rFonts w:ascii="Arial" w:hAnsi="Arial" w:eastAsia="Arial"/>
                <w:b/>
                <w:i w:val="0"/>
                <w:color w:val="FFFFFF"/>
                <w:sz w:val="14"/>
              </w:rPr>
              <w:t>Output</w:t>
            </w:r>
          </w:p>
        </w:tc>
      </w:tr>
      <w:tr>
        <w:tc>
          <w:tcPr>
            <w:tcW w:type="dxa" w:w="460"/>
            <w:shd w:fill="FFFFFF"/>
            <w:tcBorders>
              <w:top w:val="single" w:sz="4" w:space="0" w:color="D6DCE3"/>
              <w:left w:val="single" w:sz="4" w:space="0" w:color="D6DCE3"/>
              <w:bottom w:val="single" w:sz="4" w:space="0" w:color="D6DCE3"/>
              <w:right w:val="single" w:sz="4" w:space="0" w:color="D6DCE3"/>
            </w:tcBorders>
            <w:tcMar>
              <w:top w:w="85" w:type="dxa"/>
              <w:start w:w="55" w:type="dxa"/>
              <w:bottom w:w="85" w:type="dxa"/>
              <w:end w:w="55" w:type="dxa"/>
            </w:tcMar>
            <w:vAlign w:val="center"/>
          </w:tcPr>
          <w:p>
            <w:pPr>
              <w:spacing w:after="0" w:line="247" w:lineRule="auto"/>
            </w:pPr>
            <w:r/>
            <w:r>
              <w:rPr>
                <w:rFonts w:ascii="Arial" w:hAnsi="Arial" w:eastAsia="Arial"/>
                <w:b w:val="0"/>
                <w:i w:val="0"/>
                <w:color w:val="243447"/>
                <w:sz w:val="14"/>
              </w:rPr>
              <w:t>1</w:t>
            </w:r>
          </w:p>
        </w:tc>
        <w:tc>
          <w:tcPr>
            <w:tcW w:type="dxa" w:w="691"/>
            <w:shd w:fill="FFFFFF"/>
            <w:tcBorders>
              <w:top w:val="single" w:sz="4" w:space="0" w:color="D6DCE3"/>
              <w:left w:val="single" w:sz="4" w:space="0" w:color="D6DCE3"/>
              <w:bottom w:val="single" w:sz="4" w:space="0" w:color="D6DCE3"/>
              <w:right w:val="single" w:sz="4" w:space="0" w:color="D6DCE3"/>
            </w:tcBorders>
            <w:tcMar>
              <w:top w:w="85" w:type="dxa"/>
              <w:start w:w="55" w:type="dxa"/>
              <w:bottom w:w="85" w:type="dxa"/>
              <w:end w:w="55" w:type="dxa"/>
            </w:tcMar>
            <w:vAlign w:val="center"/>
          </w:tcPr>
          <w:p>
            <w:pPr>
              <w:spacing w:after="0" w:line="247" w:lineRule="auto"/>
            </w:pPr>
            <w:r/>
            <w:r>
              <w:rPr>
                <w:rFonts w:ascii="Arial" w:hAnsi="Arial" w:eastAsia="Arial"/>
                <w:b w:val="0"/>
                <w:i w:val="0"/>
                <w:color w:val="243447"/>
                <w:sz w:val="14"/>
              </w:rPr>
              <w:t>30 min</w:t>
            </w:r>
          </w:p>
        </w:tc>
        <w:tc>
          <w:tcPr>
            <w:tcW w:type="dxa" w:w="1699"/>
            <w:shd w:fill="FFFFFF"/>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Capstone briefing and assessment criteria</w:t>
            </w:r>
          </w:p>
        </w:tc>
        <w:tc>
          <w:tcPr>
            <w:tcW w:type="dxa" w:w="950"/>
            <w:shd w:fill="FFFFFF"/>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Softengi and CMI</w:t>
            </w:r>
          </w:p>
        </w:tc>
        <w:tc>
          <w:tcPr>
            <w:tcW w:type="dxa" w:w="1584"/>
            <w:shd w:fill="FFFFFF"/>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Set the capstone task, rubric and presentation format.</w:t>
            </w:r>
          </w:p>
        </w:tc>
        <w:tc>
          <w:tcPr>
            <w:tcW w:type="dxa" w:w="3024"/>
            <w:shd w:fill="FFFFFF"/>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Review the evidence expectations and agree the peer-review protocol.</w:t>
            </w:r>
          </w:p>
        </w:tc>
        <w:tc>
          <w:tcPr>
            <w:tcW w:type="dxa" w:w="1670"/>
            <w:shd w:fill="FFFFFF"/>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Capstone plan.</w:t>
            </w:r>
          </w:p>
        </w:tc>
      </w:tr>
      <w:tr>
        <w:tc>
          <w:tcPr>
            <w:tcW w:type="dxa" w:w="460"/>
            <w:shd w:fill="F3F5F7"/>
            <w:tcBorders>
              <w:top w:val="single" w:sz="4" w:space="0" w:color="D6DCE3"/>
              <w:left w:val="single" w:sz="4" w:space="0" w:color="D6DCE3"/>
              <w:bottom w:val="single" w:sz="4" w:space="0" w:color="D6DCE3"/>
              <w:right w:val="single" w:sz="4" w:space="0" w:color="D6DCE3"/>
            </w:tcBorders>
            <w:tcMar>
              <w:top w:w="85" w:type="dxa"/>
              <w:start w:w="55" w:type="dxa"/>
              <w:bottom w:w="85" w:type="dxa"/>
              <w:end w:w="55" w:type="dxa"/>
            </w:tcMar>
            <w:vAlign w:val="center"/>
          </w:tcPr>
          <w:p>
            <w:pPr>
              <w:spacing w:after="0" w:line="247" w:lineRule="auto"/>
            </w:pPr>
            <w:r/>
            <w:r>
              <w:rPr>
                <w:rFonts w:ascii="Arial" w:hAnsi="Arial" w:eastAsia="Arial"/>
                <w:b w:val="0"/>
                <w:i w:val="0"/>
                <w:color w:val="243447"/>
                <w:sz w:val="14"/>
              </w:rPr>
              <w:t>2</w:t>
            </w:r>
          </w:p>
        </w:tc>
        <w:tc>
          <w:tcPr>
            <w:tcW w:type="dxa" w:w="691"/>
            <w:shd w:fill="F3F5F7"/>
            <w:tcBorders>
              <w:top w:val="single" w:sz="4" w:space="0" w:color="D6DCE3"/>
              <w:left w:val="single" w:sz="4" w:space="0" w:color="D6DCE3"/>
              <w:bottom w:val="single" w:sz="4" w:space="0" w:color="D6DCE3"/>
              <w:right w:val="single" w:sz="4" w:space="0" w:color="D6DCE3"/>
            </w:tcBorders>
            <w:tcMar>
              <w:top w:w="85" w:type="dxa"/>
              <w:start w:w="55" w:type="dxa"/>
              <w:bottom w:w="85" w:type="dxa"/>
              <w:end w:w="55" w:type="dxa"/>
            </w:tcMar>
            <w:vAlign w:val="center"/>
          </w:tcPr>
          <w:p>
            <w:pPr>
              <w:spacing w:after="0" w:line="247" w:lineRule="auto"/>
            </w:pPr>
            <w:r/>
            <w:r>
              <w:rPr>
                <w:rFonts w:ascii="Arial" w:hAnsi="Arial" w:eastAsia="Arial"/>
                <w:b w:val="0"/>
                <w:i w:val="0"/>
                <w:color w:val="243447"/>
                <w:sz w:val="14"/>
              </w:rPr>
              <w:t>90 min</w:t>
            </w:r>
          </w:p>
        </w:tc>
        <w:tc>
          <w:tcPr>
            <w:tcW w:type="dxa" w:w="1699"/>
            <w:shd w:fill="F3F5F7"/>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Workflow design studio</w:t>
            </w:r>
          </w:p>
        </w:tc>
        <w:tc>
          <w:tcPr>
            <w:tcW w:type="dxa" w:w="950"/>
            <w:shd w:fill="F3F5F7"/>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Softengi</w:t>
            </w:r>
          </w:p>
        </w:tc>
        <w:tc>
          <w:tcPr>
            <w:tcW w:type="dxa" w:w="1584"/>
            <w:shd w:fill="F3F5F7"/>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Build an end-to-end governed workflow.</w:t>
            </w:r>
          </w:p>
        </w:tc>
        <w:tc>
          <w:tcPr>
            <w:tcW w:type="dxa" w:w="3024"/>
            <w:shd w:fill="F3F5F7"/>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Assemble the team’s Day 1–3 artefacts into: input → AI assistance → human review → decision → evidence → action → monitoring.</w:t>
            </w:r>
          </w:p>
        </w:tc>
        <w:tc>
          <w:tcPr>
            <w:tcW w:type="dxa" w:w="1670"/>
            <w:shd w:fill="F3F5F7"/>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Draft governed workflow.</w:t>
            </w:r>
          </w:p>
        </w:tc>
      </w:tr>
      <w:tr>
        <w:tc>
          <w:tcPr>
            <w:tcW w:type="dxa" w:w="460"/>
            <w:shd w:fill="FFFFFF"/>
            <w:tcBorders>
              <w:top w:val="single" w:sz="4" w:space="0" w:color="D6DCE3"/>
              <w:left w:val="single" w:sz="4" w:space="0" w:color="D6DCE3"/>
              <w:bottom w:val="single" w:sz="4" w:space="0" w:color="D6DCE3"/>
              <w:right w:val="single" w:sz="4" w:space="0" w:color="D6DCE3"/>
            </w:tcBorders>
            <w:tcMar>
              <w:top w:w="85" w:type="dxa"/>
              <w:start w:w="55" w:type="dxa"/>
              <w:bottom w:w="85" w:type="dxa"/>
              <w:end w:w="55" w:type="dxa"/>
            </w:tcMar>
            <w:vAlign w:val="center"/>
          </w:tcPr>
          <w:p>
            <w:pPr>
              <w:spacing w:after="0" w:line="247" w:lineRule="auto"/>
            </w:pPr>
            <w:r/>
            <w:r>
              <w:rPr>
                <w:rFonts w:ascii="Arial" w:hAnsi="Arial" w:eastAsia="Arial"/>
                <w:b w:val="0"/>
                <w:i w:val="0"/>
                <w:color w:val="243447"/>
                <w:sz w:val="14"/>
              </w:rPr>
              <w:t>3</w:t>
            </w:r>
          </w:p>
        </w:tc>
        <w:tc>
          <w:tcPr>
            <w:tcW w:type="dxa" w:w="691"/>
            <w:shd w:fill="FFFFFF"/>
            <w:tcBorders>
              <w:top w:val="single" w:sz="4" w:space="0" w:color="D6DCE3"/>
              <w:left w:val="single" w:sz="4" w:space="0" w:color="D6DCE3"/>
              <w:bottom w:val="single" w:sz="4" w:space="0" w:color="D6DCE3"/>
              <w:right w:val="single" w:sz="4" w:space="0" w:color="D6DCE3"/>
            </w:tcBorders>
            <w:tcMar>
              <w:top w:w="85" w:type="dxa"/>
              <w:start w:w="55" w:type="dxa"/>
              <w:bottom w:w="85" w:type="dxa"/>
              <w:end w:w="55" w:type="dxa"/>
            </w:tcMar>
            <w:vAlign w:val="center"/>
          </w:tcPr>
          <w:p>
            <w:pPr>
              <w:spacing w:after="0" w:line="247" w:lineRule="auto"/>
            </w:pPr>
            <w:r/>
            <w:r>
              <w:rPr>
                <w:rFonts w:ascii="Arial" w:hAnsi="Arial" w:eastAsia="Arial"/>
                <w:b w:val="0"/>
                <w:i w:val="0"/>
                <w:color w:val="243447"/>
                <w:sz w:val="14"/>
              </w:rPr>
              <w:t>Set by CMI</w:t>
            </w:r>
          </w:p>
        </w:tc>
        <w:tc>
          <w:tcPr>
            <w:tcW w:type="dxa" w:w="1699"/>
            <w:shd w:fill="FFFFFF"/>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Implementation, adoption and change</w:t>
            </w:r>
          </w:p>
        </w:tc>
        <w:tc>
          <w:tcPr>
            <w:tcW w:type="dxa" w:w="950"/>
            <w:shd w:fill="FFFFFF"/>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CMI through Wellington</w:t>
            </w:r>
          </w:p>
        </w:tc>
        <w:tc>
          <w:tcPr>
            <w:tcW w:type="dxa" w:w="1584"/>
            <w:shd w:fill="FFFFFF"/>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Connect the workflow to management capability, adoption and change.</w:t>
            </w:r>
          </w:p>
        </w:tc>
        <w:tc>
          <w:tcPr>
            <w:tcW w:type="dxa" w:w="3024"/>
            <w:shd w:fill="FFFFFF"/>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Use the draft workflow as the working case for the management and implementation content.</w:t>
            </w:r>
          </w:p>
        </w:tc>
        <w:tc>
          <w:tcPr>
            <w:tcW w:type="dxa" w:w="1670"/>
            <w:shd w:fill="FFFFFF"/>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Implementation canvas, if confirmed by CMI.</w:t>
            </w:r>
          </w:p>
        </w:tc>
      </w:tr>
      <w:tr>
        <w:tc>
          <w:tcPr>
            <w:tcW w:type="dxa" w:w="460"/>
            <w:shd w:fill="F3F5F7"/>
            <w:tcBorders>
              <w:top w:val="single" w:sz="4" w:space="0" w:color="D6DCE3"/>
              <w:left w:val="single" w:sz="4" w:space="0" w:color="D6DCE3"/>
              <w:bottom w:val="single" w:sz="4" w:space="0" w:color="D6DCE3"/>
              <w:right w:val="single" w:sz="4" w:space="0" w:color="D6DCE3"/>
            </w:tcBorders>
            <w:tcMar>
              <w:top w:w="85" w:type="dxa"/>
              <w:start w:w="55" w:type="dxa"/>
              <w:bottom w:w="85" w:type="dxa"/>
              <w:end w:w="55" w:type="dxa"/>
            </w:tcMar>
            <w:vAlign w:val="center"/>
          </w:tcPr>
          <w:p>
            <w:pPr>
              <w:spacing w:after="0" w:line="247" w:lineRule="auto"/>
            </w:pPr>
            <w:r/>
            <w:r>
              <w:rPr>
                <w:rFonts w:ascii="Arial" w:hAnsi="Arial" w:eastAsia="Arial"/>
                <w:b w:val="0"/>
                <w:i w:val="0"/>
                <w:color w:val="243447"/>
                <w:sz w:val="14"/>
              </w:rPr>
              <w:t>4</w:t>
            </w:r>
          </w:p>
        </w:tc>
        <w:tc>
          <w:tcPr>
            <w:tcW w:type="dxa" w:w="691"/>
            <w:shd w:fill="F3F5F7"/>
            <w:tcBorders>
              <w:top w:val="single" w:sz="4" w:space="0" w:color="D6DCE3"/>
              <w:left w:val="single" w:sz="4" w:space="0" w:color="D6DCE3"/>
              <w:bottom w:val="single" w:sz="4" w:space="0" w:color="D6DCE3"/>
              <w:right w:val="single" w:sz="4" w:space="0" w:color="D6DCE3"/>
            </w:tcBorders>
            <w:tcMar>
              <w:top w:w="85" w:type="dxa"/>
              <w:start w:w="55" w:type="dxa"/>
              <w:bottom w:w="85" w:type="dxa"/>
              <w:end w:w="55" w:type="dxa"/>
            </w:tcMar>
            <w:vAlign w:val="center"/>
          </w:tcPr>
          <w:p>
            <w:pPr>
              <w:spacing w:after="0" w:line="247" w:lineRule="auto"/>
            </w:pPr>
            <w:r/>
            <w:r>
              <w:rPr>
                <w:rFonts w:ascii="Arial" w:hAnsi="Arial" w:eastAsia="Arial"/>
                <w:b w:val="0"/>
                <w:i w:val="0"/>
                <w:color w:val="243447"/>
                <w:sz w:val="14"/>
              </w:rPr>
              <w:t>60 min</w:t>
            </w:r>
          </w:p>
        </w:tc>
        <w:tc>
          <w:tcPr>
            <w:tcW w:type="dxa" w:w="1699"/>
            <w:shd w:fill="F3F5F7"/>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Peer review and refinement</w:t>
            </w:r>
          </w:p>
        </w:tc>
        <w:tc>
          <w:tcPr>
            <w:tcW w:type="dxa" w:w="950"/>
            <w:shd w:fill="F3F5F7"/>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Softengi and CMI</w:t>
            </w:r>
          </w:p>
        </w:tc>
        <w:tc>
          <w:tcPr>
            <w:tcW w:type="dxa" w:w="1584"/>
            <w:shd w:fill="F3F5F7"/>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Challenge and improve each capstone.</w:t>
            </w:r>
          </w:p>
        </w:tc>
        <w:tc>
          <w:tcPr>
            <w:tcW w:type="dxa" w:w="3024"/>
            <w:shd w:fill="F3F5F7"/>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Review another team’s problem framing, data readiness, controls and value; revise the workflow and presentation.</w:t>
            </w:r>
          </w:p>
        </w:tc>
        <w:tc>
          <w:tcPr>
            <w:tcW w:type="dxa" w:w="1670"/>
            <w:shd w:fill="F3F5F7"/>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Peer-feedback record.</w:t>
            </w:r>
          </w:p>
        </w:tc>
      </w:tr>
      <w:tr>
        <w:tc>
          <w:tcPr>
            <w:tcW w:type="dxa" w:w="460"/>
            <w:shd w:fill="FFFFFF"/>
            <w:tcBorders>
              <w:top w:val="single" w:sz="4" w:space="0" w:color="D6DCE3"/>
              <w:left w:val="single" w:sz="4" w:space="0" w:color="D6DCE3"/>
              <w:bottom w:val="single" w:sz="4" w:space="0" w:color="D6DCE3"/>
              <w:right w:val="single" w:sz="4" w:space="0" w:color="D6DCE3"/>
            </w:tcBorders>
            <w:tcMar>
              <w:top w:w="85" w:type="dxa"/>
              <w:start w:w="55" w:type="dxa"/>
              <w:bottom w:w="85" w:type="dxa"/>
              <w:end w:w="55" w:type="dxa"/>
            </w:tcMar>
            <w:vAlign w:val="center"/>
          </w:tcPr>
          <w:p>
            <w:pPr>
              <w:spacing w:after="0" w:line="247" w:lineRule="auto"/>
            </w:pPr>
            <w:r/>
            <w:r>
              <w:rPr>
                <w:rFonts w:ascii="Arial" w:hAnsi="Arial" w:eastAsia="Arial"/>
                <w:b w:val="0"/>
                <w:i w:val="0"/>
                <w:color w:val="243447"/>
                <w:sz w:val="14"/>
              </w:rPr>
              <w:t>5</w:t>
            </w:r>
          </w:p>
        </w:tc>
        <w:tc>
          <w:tcPr>
            <w:tcW w:type="dxa" w:w="691"/>
            <w:shd w:fill="FFFFFF"/>
            <w:tcBorders>
              <w:top w:val="single" w:sz="4" w:space="0" w:color="D6DCE3"/>
              <w:left w:val="single" w:sz="4" w:space="0" w:color="D6DCE3"/>
              <w:bottom w:val="single" w:sz="4" w:space="0" w:color="D6DCE3"/>
              <w:right w:val="single" w:sz="4" w:space="0" w:color="D6DCE3"/>
            </w:tcBorders>
            <w:tcMar>
              <w:top w:w="85" w:type="dxa"/>
              <w:start w:w="55" w:type="dxa"/>
              <w:bottom w:w="85" w:type="dxa"/>
              <w:end w:w="55" w:type="dxa"/>
            </w:tcMar>
            <w:vAlign w:val="center"/>
          </w:tcPr>
          <w:p>
            <w:pPr>
              <w:spacing w:after="0" w:line="247" w:lineRule="auto"/>
            </w:pPr>
            <w:r/>
            <w:r>
              <w:rPr>
                <w:rFonts w:ascii="Arial" w:hAnsi="Arial" w:eastAsia="Arial"/>
                <w:b w:val="0"/>
                <w:i w:val="0"/>
                <w:color w:val="243447"/>
                <w:sz w:val="14"/>
              </w:rPr>
              <w:t>45 min</w:t>
            </w:r>
          </w:p>
        </w:tc>
        <w:tc>
          <w:tcPr>
            <w:tcW w:type="dxa" w:w="1699"/>
            <w:shd w:fill="FFFFFF"/>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Capstone demonstrations</w:t>
            </w:r>
          </w:p>
        </w:tc>
        <w:tc>
          <w:tcPr>
            <w:tcW w:type="dxa" w:w="950"/>
            <w:shd w:fill="FFFFFF"/>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Softengi and CMI panel</w:t>
            </w:r>
          </w:p>
        </w:tc>
        <w:tc>
          <w:tcPr>
            <w:tcW w:type="dxa" w:w="1584"/>
            <w:shd w:fill="FFFFFF"/>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Present the governed workflow and explain the responsible-use decisions.</w:t>
            </w:r>
          </w:p>
        </w:tc>
        <w:tc>
          <w:tcPr>
            <w:tcW w:type="dxa" w:w="3024"/>
            <w:shd w:fill="FFFFFF"/>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Present the workflow and answer panel questions; the panel scores against the rubric.</w:t>
            </w:r>
          </w:p>
        </w:tc>
        <w:tc>
          <w:tcPr>
            <w:tcW w:type="dxa" w:w="1670"/>
            <w:shd w:fill="FFFFFF"/>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Assessed capstone.</w:t>
            </w:r>
          </w:p>
        </w:tc>
      </w:tr>
      <w:tr>
        <w:tc>
          <w:tcPr>
            <w:tcW w:type="dxa" w:w="460"/>
            <w:shd w:fill="F3F5F7"/>
            <w:tcBorders>
              <w:top w:val="single" w:sz="4" w:space="0" w:color="D6DCE3"/>
              <w:left w:val="single" w:sz="4" w:space="0" w:color="D6DCE3"/>
              <w:bottom w:val="single" w:sz="4" w:space="0" w:color="D6DCE3"/>
              <w:right w:val="single" w:sz="4" w:space="0" w:color="D6DCE3"/>
            </w:tcBorders>
            <w:tcMar>
              <w:top w:w="85" w:type="dxa"/>
              <w:start w:w="55" w:type="dxa"/>
              <w:bottom w:w="85" w:type="dxa"/>
              <w:end w:w="55" w:type="dxa"/>
            </w:tcMar>
            <w:vAlign w:val="center"/>
          </w:tcPr>
          <w:p>
            <w:pPr>
              <w:spacing w:after="0" w:line="247" w:lineRule="auto"/>
            </w:pPr>
            <w:r/>
            <w:r>
              <w:rPr>
                <w:rFonts w:ascii="Arial" w:hAnsi="Arial" w:eastAsia="Arial"/>
                <w:b w:val="0"/>
                <w:i w:val="0"/>
                <w:color w:val="243447"/>
                <w:sz w:val="14"/>
              </w:rPr>
              <w:t>6</w:t>
            </w:r>
          </w:p>
        </w:tc>
        <w:tc>
          <w:tcPr>
            <w:tcW w:type="dxa" w:w="691"/>
            <w:shd w:fill="F3F5F7"/>
            <w:tcBorders>
              <w:top w:val="single" w:sz="4" w:space="0" w:color="D6DCE3"/>
              <w:left w:val="single" w:sz="4" w:space="0" w:color="D6DCE3"/>
              <w:bottom w:val="single" w:sz="4" w:space="0" w:color="D6DCE3"/>
              <w:right w:val="single" w:sz="4" w:space="0" w:color="D6DCE3"/>
            </w:tcBorders>
            <w:tcMar>
              <w:top w:w="85" w:type="dxa"/>
              <w:start w:w="55" w:type="dxa"/>
              <w:bottom w:w="85" w:type="dxa"/>
              <w:end w:w="55" w:type="dxa"/>
            </w:tcMar>
            <w:vAlign w:val="center"/>
          </w:tcPr>
          <w:p>
            <w:pPr>
              <w:spacing w:after="0" w:line="247" w:lineRule="auto"/>
            </w:pPr>
            <w:r/>
            <w:r>
              <w:rPr>
                <w:rFonts w:ascii="Arial" w:hAnsi="Arial" w:eastAsia="Arial"/>
                <w:b w:val="0"/>
                <w:i w:val="0"/>
                <w:color w:val="243447"/>
                <w:sz w:val="14"/>
              </w:rPr>
              <w:t>Set by CMI</w:t>
            </w:r>
          </w:p>
        </w:tc>
        <w:tc>
          <w:tcPr>
            <w:tcW w:type="dxa" w:w="1699"/>
            <w:shd w:fill="F3F5F7"/>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Post-assessment, CMI evidence and 30-day application plan</w:t>
            </w:r>
          </w:p>
        </w:tc>
        <w:tc>
          <w:tcPr>
            <w:tcW w:type="dxa" w:w="950"/>
            <w:shd w:fill="F3F5F7"/>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Wellington and CMI</w:t>
            </w:r>
          </w:p>
        </w:tc>
        <w:tc>
          <w:tcPr>
            <w:tcW w:type="dxa" w:w="1584"/>
            <w:shd w:fill="F3F5F7"/>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Measure progress and plan the move from classroom to work.</w:t>
            </w:r>
          </w:p>
        </w:tc>
        <w:tc>
          <w:tcPr>
            <w:tcW w:type="dxa" w:w="3024"/>
            <w:shd w:fill="F3F5F7"/>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Complete the scenario-based post-assessment and commit to a practical workplace application plan.</w:t>
            </w:r>
          </w:p>
        </w:tc>
        <w:tc>
          <w:tcPr>
            <w:tcW w:type="dxa" w:w="1670"/>
            <w:shd w:fill="F3F5F7"/>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4"/>
              </w:rPr>
              <w:t>Post-assessment, CMI evidence portfolio and 30-day application plan.</w:t>
            </w:r>
          </w:p>
        </w:tc>
      </w:tr>
    </w:tbl>
    <w:p>
      <w:pPr>
        <w:spacing w:after="20"/>
      </w:pPr>
    </w:p>
    <w:p>
      <w:r>
        <w:br w:type="page"/>
      </w:r>
    </w:p>
    <w:p>
      <w:pPr>
        <w:pStyle w:val="Heading1"/>
        <w:keepNext/>
        <w:spacing w:before="280" w:after="100"/>
      </w:pPr>
      <w:r>
        <w:rPr>
          <w:rFonts w:ascii="Arial" w:hAnsi="Arial" w:eastAsia="Arial"/>
          <w:b/>
          <w:i w:val="0"/>
          <w:color w:val="17365D"/>
          <w:sz w:val="30"/>
        </w:rPr>
        <w:t>8. Materials and evidence participants work with</w:t>
      </w:r>
    </w:p>
    <w:p>
      <w:pPr>
        <w:spacing w:after="100" w:before="0" w:line="259" w:lineRule="auto"/>
      </w:pPr>
      <w:r>
        <w:rPr>
          <w:rFonts w:ascii="Arial" w:hAnsi="Arial" w:eastAsia="Arial"/>
          <w:b w:val="0"/>
          <w:i w:val="0"/>
          <w:color w:val="243447"/>
          <w:sz w:val="20"/>
        </w:rPr>
        <w:t>All materials are fictitious and DIEZ-style. They contain no real customer data and no financial values. Arabic content is reviewed by Arabic-speaking faculty.</w:t>
      </w:r>
    </w:p>
    <w:tbl>
      <w:tblPr>
        <w:tblW w:type="dxa" w:w="9864"/>
        <w:jc w:val="center"/>
        <w:tblLayout w:type="fixed"/>
        <w:tblLook w:firstColumn="1" w:firstRow="1" w:lastColumn="0" w:lastRow="0" w:noHBand="0" w:noVBand="1" w:val="04A0"/>
      </w:tblPr>
      <w:tblGrid>
        <w:gridCol w:w="1800"/>
        <w:gridCol w:w="4824"/>
        <w:gridCol w:w="3240"/>
      </w:tblGrid>
      <w:tr>
        <w:tc>
          <w:tcPr>
            <w:tcW w:type="dxa" w:w="1800"/>
            <w:shd w:fill="17365D"/>
            <w:tcBorders>
              <w:top w:val="single" w:sz="5" w:space="0" w:color="17365D"/>
              <w:left w:val="single" w:sz="5" w:space="0" w:color="17365D"/>
              <w:bottom w:val="single" w:sz="5" w:space="0" w:color="17365D"/>
              <w:right w:val="single" w:sz="5" w:space="0" w:color="17365D"/>
            </w:tcBorders>
            <w:tcMar>
              <w:top w:w="85" w:type="dxa"/>
              <w:start w:w="105" w:type="dxa"/>
              <w:bottom w:w="85" w:type="dxa"/>
              <w:end w:w="105" w:type="dxa"/>
            </w:tcMar>
          </w:tcPr>
          <w:p>
            <w:pPr>
              <w:spacing w:after="0"/>
            </w:pPr>
            <w:r/>
            <w:r>
              <w:rPr>
                <w:rFonts w:ascii="Arial" w:hAnsi="Arial" w:eastAsia="Arial"/>
                <w:b/>
                <w:i w:val="0"/>
                <w:color w:val="FFFFFF"/>
                <w:sz w:val="16"/>
              </w:rPr>
              <w:t>Material</w:t>
            </w:r>
          </w:p>
        </w:tc>
        <w:tc>
          <w:tcPr>
            <w:tcW w:type="dxa" w:w="4824"/>
            <w:shd w:fill="17365D"/>
            <w:tcBorders>
              <w:top w:val="single" w:sz="5" w:space="0" w:color="17365D"/>
              <w:left w:val="single" w:sz="5" w:space="0" w:color="17365D"/>
              <w:bottom w:val="single" w:sz="5" w:space="0" w:color="17365D"/>
              <w:right w:val="single" w:sz="5" w:space="0" w:color="17365D"/>
            </w:tcBorders>
            <w:tcMar>
              <w:top w:w="85" w:type="dxa"/>
              <w:start w:w="105" w:type="dxa"/>
              <w:bottom w:w="85" w:type="dxa"/>
              <w:end w:w="105" w:type="dxa"/>
            </w:tcMar>
          </w:tcPr>
          <w:p>
            <w:pPr>
              <w:spacing w:after="0"/>
            </w:pPr>
            <w:r/>
            <w:r>
              <w:rPr>
                <w:rFonts w:ascii="Arial" w:hAnsi="Arial" w:eastAsia="Arial"/>
                <w:b/>
                <w:i w:val="0"/>
                <w:color w:val="FFFFFF"/>
                <w:sz w:val="16"/>
              </w:rPr>
              <w:t>What it contains</w:t>
            </w:r>
          </w:p>
        </w:tc>
        <w:tc>
          <w:tcPr>
            <w:tcW w:type="dxa" w:w="3240"/>
            <w:shd w:fill="17365D"/>
            <w:tcBorders>
              <w:top w:val="single" w:sz="5" w:space="0" w:color="17365D"/>
              <w:left w:val="single" w:sz="5" w:space="0" w:color="17365D"/>
              <w:bottom w:val="single" w:sz="5" w:space="0" w:color="17365D"/>
              <w:right w:val="single" w:sz="5" w:space="0" w:color="17365D"/>
            </w:tcBorders>
            <w:tcMar>
              <w:top w:w="85" w:type="dxa"/>
              <w:start w:w="105" w:type="dxa"/>
              <w:bottom w:w="85" w:type="dxa"/>
              <w:end w:w="105" w:type="dxa"/>
            </w:tcMar>
          </w:tcPr>
          <w:p>
            <w:pPr>
              <w:spacing w:after="0"/>
            </w:pPr>
            <w:r/>
            <w:r>
              <w:rPr>
                <w:rFonts w:ascii="Arial" w:hAnsi="Arial" w:eastAsia="Arial"/>
                <w:b/>
                <w:i w:val="0"/>
                <w:color w:val="FFFFFF"/>
                <w:sz w:val="16"/>
              </w:rPr>
              <w:t>What participants look for</w:t>
            </w:r>
          </w:p>
        </w:tc>
      </w:tr>
      <w:tr>
        <w:tc>
          <w:tcPr>
            <w:tcW w:type="dxa" w:w="1800"/>
            <w:shd w:fill="FFFFFF"/>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6"/>
              </w:rPr>
              <w:t>Customer list</w:t>
            </w:r>
          </w:p>
        </w:tc>
        <w:tc>
          <w:tcPr>
            <w:tcW w:type="dxa" w:w="4824"/>
            <w:shd w:fill="FFFFFF"/>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6"/>
              </w:rPr>
              <w:t>About 300 simulated companies across DAFZ, DSO and Dubai CommerCity.</w:t>
            </w:r>
          </w:p>
        </w:tc>
        <w:tc>
          <w:tcPr>
            <w:tcW w:type="dxa" w:w="3240"/>
            <w:shd w:fill="FFFFFF"/>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6"/>
              </w:rPr>
              <w:t>Missing drivers, duplicates, conflicting definitions and stale records.</w:t>
            </w:r>
          </w:p>
        </w:tc>
      </w:tr>
      <w:tr>
        <w:tc>
          <w:tcPr>
            <w:tcW w:type="dxa" w:w="1800"/>
            <w:shd w:fill="F3F5F7"/>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6"/>
              </w:rPr>
              <w:t>Customer tickets</w:t>
            </w:r>
          </w:p>
        </w:tc>
        <w:tc>
          <w:tcPr>
            <w:tcW w:type="dxa" w:w="4824"/>
            <w:shd w:fill="F3F5F7"/>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6"/>
              </w:rPr>
              <w:t>About 200 simulated Arabic and English enquiries and complaints with model label and confidence.</w:t>
            </w:r>
          </w:p>
        </w:tc>
        <w:tc>
          <w:tcPr>
            <w:tcW w:type="dxa" w:w="3240"/>
            <w:shd w:fill="F3F5F7"/>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6"/>
              </w:rPr>
              <w:t>Mixed language, sarcasm, low-confidence and mislabelled cases.</w:t>
            </w:r>
          </w:p>
        </w:tc>
      </w:tr>
      <w:tr>
        <w:tc>
          <w:tcPr>
            <w:tcW w:type="dxa" w:w="1800"/>
            <w:shd w:fill="FFFFFF"/>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6"/>
              </w:rPr>
              <w:t>Churn alert list</w:t>
            </w:r>
          </w:p>
        </w:tc>
        <w:tc>
          <w:tcPr>
            <w:tcW w:type="dxa" w:w="4824"/>
            <w:shd w:fill="FFFFFF"/>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6"/>
              </w:rPr>
              <w:t>Simulated customers with lease history, ticket counts and churn probability.</w:t>
            </w:r>
          </w:p>
        </w:tc>
        <w:tc>
          <w:tcPr>
            <w:tcW w:type="dxa" w:w="3240"/>
            <w:shd w:fill="FFFFFF"/>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6"/>
              </w:rPr>
              <w:t>Missing history, data-error alerts and borderline probabilities.</w:t>
            </w:r>
          </w:p>
        </w:tc>
      </w:tr>
      <w:tr>
        <w:tc>
          <w:tcPr>
            <w:tcW w:type="dxa" w:w="1800"/>
            <w:shd w:fill="F3F5F7"/>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6"/>
              </w:rPr>
              <w:t>Community posts</w:t>
            </w:r>
          </w:p>
        </w:tc>
        <w:tc>
          <w:tcPr>
            <w:tcW w:type="dxa" w:w="4824"/>
            <w:shd w:fill="F3F5F7"/>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6"/>
              </w:rPr>
              <w:t>Simulated text posts with moderation decisions and a policy excerpt.</w:t>
            </w:r>
          </w:p>
        </w:tc>
        <w:tc>
          <w:tcPr>
            <w:tcW w:type="dxa" w:w="3240"/>
            <w:shd w:fill="F3F5F7"/>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6"/>
              </w:rPr>
              <w:t>False positives, false negatives and exception cases.</w:t>
            </w:r>
          </w:p>
        </w:tc>
      </w:tr>
      <w:tr>
        <w:tc>
          <w:tcPr>
            <w:tcW w:type="dxa" w:w="1800"/>
            <w:shd w:fill="FFFFFF"/>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6"/>
              </w:rPr>
              <w:t>Partner matches</w:t>
            </w:r>
          </w:p>
        </w:tc>
        <w:tc>
          <w:tcPr>
            <w:tcW w:type="dxa" w:w="4824"/>
            <w:shd w:fill="FFFFFF"/>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6"/>
              </w:rPr>
              <w:t>Simulated recommendation list with company-profile fields.</w:t>
            </w:r>
          </w:p>
        </w:tc>
        <w:tc>
          <w:tcPr>
            <w:tcW w:type="dxa" w:w="3240"/>
            <w:shd w:fill="FFFFFF"/>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6"/>
              </w:rPr>
              <w:t>Ranking skew towards large members and incomplete profiles.</w:t>
            </w:r>
          </w:p>
        </w:tc>
      </w:tr>
      <w:tr>
        <w:tc>
          <w:tcPr>
            <w:tcW w:type="dxa" w:w="1800"/>
            <w:shd w:fill="F3F5F7"/>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6"/>
              </w:rPr>
              <w:t>Application forms</w:t>
            </w:r>
          </w:p>
        </w:tc>
        <w:tc>
          <w:tcPr>
            <w:tcW w:type="dxa" w:w="4824"/>
            <w:shd w:fill="F3F5F7"/>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6"/>
              </w:rPr>
              <w:t>Simulated forms and an extracted-fields table.</w:t>
            </w:r>
          </w:p>
        </w:tc>
        <w:tc>
          <w:tcPr>
            <w:tcW w:type="dxa" w:w="3240"/>
            <w:shd w:fill="F3F5F7"/>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6"/>
              </w:rPr>
              <w:t>Misread fields, missing pages and mismatched names.</w:t>
            </w:r>
          </w:p>
        </w:tc>
      </w:tr>
      <w:tr>
        <w:tc>
          <w:tcPr>
            <w:tcW w:type="dxa" w:w="1800"/>
            <w:shd w:fill="FFFFFF"/>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6"/>
              </w:rPr>
              <w:t>Scenario pack</w:t>
            </w:r>
          </w:p>
        </w:tc>
        <w:tc>
          <w:tcPr>
            <w:tcW w:type="dxa" w:w="4824"/>
            <w:shd w:fill="FFFFFF"/>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6"/>
              </w:rPr>
              <w:t>Scenario cards, a policy document, an enquiry, departmental definitions, release packs and simulated mail.</w:t>
            </w:r>
          </w:p>
        </w:tc>
        <w:tc>
          <w:tcPr>
            <w:tcW w:type="dxa" w:w="3240"/>
            <w:shd w:fill="FFFFFF"/>
            <w:tcBorders>
              <w:top w:val="single" w:sz="4" w:space="0" w:color="D6DCE3"/>
              <w:left w:val="single" w:sz="4" w:space="0" w:color="D6DCE3"/>
              <w:bottom w:val="single" w:sz="4" w:space="0" w:color="D6DCE3"/>
              <w:right w:val="single" w:sz="4" w:space="0" w:color="D6DCE3"/>
            </w:tcBorders>
            <w:tcMar>
              <w:top w:w="85" w:type="dxa"/>
              <w:start w:w="105" w:type="dxa"/>
              <w:bottom w:w="85" w:type="dxa"/>
              <w:end w:w="105" w:type="dxa"/>
            </w:tcMar>
            <w:vAlign w:val="center"/>
          </w:tcPr>
          <w:p>
            <w:pPr>
              <w:spacing w:after="0" w:line="247" w:lineRule="auto"/>
            </w:pPr>
            <w:r/>
            <w:r>
              <w:rPr>
                <w:rFonts w:ascii="Arial" w:hAnsi="Arial" w:eastAsia="Arial"/>
                <w:b w:val="0"/>
                <w:i w:val="0"/>
                <w:color w:val="243447"/>
                <w:sz w:val="16"/>
              </w:rPr>
              <w:t>Safe-use choices, unsupported claims, sign-off evidence and escalation.</w:t>
            </w:r>
          </w:p>
        </w:tc>
      </w:tr>
    </w:tbl>
    <w:p>
      <w:pPr>
        <w:spacing w:after="20"/>
      </w:pPr>
    </w:p>
    <w:p>
      <w:pPr>
        <w:pStyle w:val="Heading1"/>
        <w:keepNext/>
        <w:spacing w:before="280" w:after="100"/>
      </w:pPr>
      <w:r>
        <w:rPr>
          <w:rFonts w:ascii="Arial" w:hAnsi="Arial" w:eastAsia="Arial"/>
          <w:b/>
          <w:i w:val="0"/>
          <w:color w:val="17365D"/>
          <w:sz w:val="30"/>
        </w:rPr>
        <w:t>9. What DIEZ will need to confirm</w:t>
      </w:r>
    </w:p>
    <w:p>
      <w:pPr>
        <w:spacing w:after="100" w:before="0" w:line="259" w:lineRule="auto"/>
      </w:pPr>
      <w:r>
        <w:rPr>
          <w:rFonts w:ascii="Arial" w:hAnsi="Arial" w:eastAsia="Arial"/>
          <w:b w:val="0"/>
          <w:i w:val="0"/>
          <w:color w:val="243447"/>
          <w:sz w:val="20"/>
        </w:rPr>
        <w:t>The programme can be prepared using the working assumptions below, but the client-facing materials should be updated when DIEZ provides its own wording or current product information.</w:t>
      </w:r>
    </w:p>
    <w:p>
      <w:pPr>
        <w:pStyle w:val="ListBullet"/>
        <w:spacing w:after="40" w:line="250" w:lineRule="auto"/>
      </w:pPr>
      <w:r>
        <w:rPr>
          <w:rFonts w:ascii="Arial" w:hAnsi="Arial" w:eastAsia="Arial"/>
          <w:b w:val="0"/>
          <w:i w:val="0"/>
          <w:color w:val="243447"/>
          <w:sz w:val="19"/>
        </w:rPr>
        <w:t>Participant list, including zone, function and product owned; approximately 20 participants per cohort is assumed.</w:t>
      </w:r>
    </w:p>
    <w:p>
      <w:pPr>
        <w:pStyle w:val="ListBullet"/>
        <w:spacing w:after="40" w:line="250" w:lineRule="auto"/>
      </w:pPr>
      <w:r>
        <w:rPr>
          <w:rFonts w:ascii="Arial" w:hAnsi="Arial" w:eastAsia="Arial"/>
          <w:b w:val="0"/>
          <w:i w:val="0"/>
          <w:color w:val="243447"/>
          <w:sz w:val="19"/>
        </w:rPr>
        <w:t>DIEZ data-governance and AI-governance framework extracts, including role definitions, data classifications, quality dimensions and acceptable-use guidance. This information is required before Softengi begins developing the course content.</w:t>
      </w:r>
    </w:p>
    <w:p>
      <w:pPr>
        <w:pStyle w:val="ListBullet"/>
        <w:spacing w:after="40" w:line="250" w:lineRule="auto"/>
      </w:pPr>
      <w:r>
        <w:rPr>
          <w:rFonts w:ascii="Arial" w:hAnsi="Arial" w:eastAsia="Arial"/>
          <w:b w:val="0"/>
          <w:i w:val="0"/>
          <w:color w:val="243447"/>
          <w:sz w:val="19"/>
        </w:rPr>
        <w:t>Screenshots or user-guide pages for each initiative, including the owners currently not stated.</w:t>
      </w:r>
    </w:p>
    <w:p>
      <w:pPr>
        <w:pStyle w:val="ListBullet"/>
        <w:spacing w:after="40" w:line="250" w:lineRule="auto"/>
      </w:pPr>
      <w:r>
        <w:rPr>
          <w:rFonts w:ascii="Arial" w:hAnsi="Arial" w:eastAsia="Arial"/>
          <w:b w:val="0"/>
          <w:i w:val="0"/>
          <w:color w:val="243447"/>
          <w:sz w:val="19"/>
        </w:rPr>
        <w:t>Representative, appropriately anonymised extracts from relevant real datasets, or sufficiently detailed data profiles where extracts cannot be shared, so that the synthetic course datasets can closely reflect DIEZ’s structures, fields, distributions and likely data-quality issues.</w:t>
      </w:r>
    </w:p>
    <w:p>
      <w:pPr>
        <w:pStyle w:val="ListBullet"/>
        <w:spacing w:after="40" w:line="250" w:lineRule="auto"/>
      </w:pPr>
      <w:r>
        <w:rPr>
          <w:rFonts w:ascii="Arial" w:hAnsi="Arial" w:eastAsia="Arial"/>
          <w:b w:val="0"/>
          <w:i w:val="0"/>
          <w:color w:val="243447"/>
          <w:sz w:val="19"/>
        </w:rPr>
        <w:t>Content Moderation technology and Partner IQ technical mechanism, which remain to be confirmed.</w:t>
      </w:r>
    </w:p>
    <w:p>
      <w:pPr>
        <w:pStyle w:val="ListBullet"/>
        <w:spacing w:after="40" w:line="250" w:lineRule="auto"/>
      </w:pPr>
      <w:r>
        <w:rPr>
          <w:rFonts w:ascii="Arial" w:hAnsi="Arial" w:eastAsia="Arial"/>
          <w:b w:val="0"/>
          <w:i w:val="0"/>
          <w:color w:val="243447"/>
          <w:sz w:val="19"/>
        </w:rPr>
        <w:t>The Customer Segmentation drivers, tier definitions, refresh frequency and Salesforce display or override process.</w:t>
      </w:r>
    </w:p>
    <w:p>
      <w:pPr>
        <w:pStyle w:val="ListBullet"/>
        <w:spacing w:after="40" w:line="250" w:lineRule="auto"/>
      </w:pPr>
      <w:r>
        <w:rPr>
          <w:rFonts w:ascii="Arial" w:hAnsi="Arial" w:eastAsia="Arial"/>
          <w:b w:val="0"/>
          <w:i w:val="0"/>
          <w:color w:val="243447"/>
          <w:sz w:val="19"/>
        </w:rPr>
        <w:t>Sentiment and churn output formats, thresholds, monitoring and authorised intervention rules.</w:t>
      </w:r>
    </w:p>
    <w:p>
      <w:pPr>
        <w:pStyle w:val="ListBullet"/>
        <w:spacing w:after="40" w:line="250" w:lineRule="auto"/>
      </w:pPr>
      <w:r>
        <w:rPr>
          <w:rFonts w:ascii="Arial" w:hAnsi="Arial" w:eastAsia="Arial"/>
          <w:b w:val="0"/>
          <w:i w:val="0"/>
          <w:color w:val="243447"/>
          <w:sz w:val="19"/>
        </w:rPr>
        <w:t>Document types, field-confidence thresholds, exception handling and portal-validation rules for Document Intelligence.</w:t>
      </w:r>
    </w:p>
    <w:p>
      <w:pPr>
        <w:pStyle w:val="ListBullet"/>
        <w:spacing w:after="40" w:line="250" w:lineRule="auto"/>
      </w:pPr>
      <w:r>
        <w:rPr>
          <w:rFonts w:ascii="Arial" w:hAnsi="Arial" w:eastAsia="Arial"/>
          <w:b w:val="0"/>
          <w:i w:val="0"/>
          <w:color w:val="243447"/>
          <w:sz w:val="19"/>
        </w:rPr>
        <w:t>Product approval, release and risk-assessment procedure, plus escalation routes and decision rights.</w:t>
      </w:r>
    </w:p>
    <w:p>
      <w:pPr>
        <w:pStyle w:val="ListBullet"/>
        <w:spacing w:after="40" w:line="250" w:lineRule="auto"/>
      </w:pPr>
      <w:r>
        <w:rPr>
          <w:rFonts w:ascii="Arial" w:hAnsi="Arial" w:eastAsia="Arial"/>
          <w:b w:val="0"/>
          <w:i w:val="0"/>
          <w:color w:val="243447"/>
          <w:sz w:val="19"/>
        </w:rPr>
        <w:t>Which UAE or Dubai legal and regulatory references DIEZ wants referenced; the programme does not give legal advice.</w:t>
      </w:r>
    </w:p>
    <w:p>
      <w:pPr>
        <w:pStyle w:val="ListBullet"/>
        <w:spacing w:after="40" w:line="250" w:lineRule="auto"/>
      </w:pPr>
      <w:r>
        <w:rPr>
          <w:rFonts w:ascii="Arial" w:hAnsi="Arial" w:eastAsia="Arial"/>
          <w:b w:val="0"/>
          <w:i w:val="0"/>
          <w:color w:val="243447"/>
          <w:sz w:val="19"/>
        </w:rPr>
        <w:t>DIEZ reviewers for the capstone panel, if DIEZ wishes to participate in assessment.</w:t>
      </w:r>
    </w:p>
    <w:tbl>
      <w:tblPr>
        <w:tblW w:type="auto" w:w="0"/>
        <w:jc w:val="center"/>
        <w:tblLook w:firstColumn="1" w:firstRow="1" w:lastColumn="0" w:lastRow="0" w:noHBand="0" w:noVBand="1" w:val="04A0"/>
      </w:tblPr>
      <w:tblGrid>
        <w:gridCol w:w="10282"/>
      </w:tblGrid>
      <w:tr>
        <w:tc>
          <w:tcPr>
            <w:tcW w:type="dxa" w:w="10282"/>
            <w:shd w:fill="FFF4DF"/>
            <w:tcBorders>
              <w:top w:val="single" w:sz="6" w:space="0" w:color="2F75B5"/>
              <w:left w:val="single" w:sz="6" w:space="0" w:color="2F75B5"/>
              <w:bottom w:val="single" w:sz="6" w:space="0" w:color="2F75B5"/>
              <w:right w:val="single" w:sz="6" w:space="0" w:color="2F75B5"/>
            </w:tcBorders>
            <w:tcMar>
              <w:top w:w="125" w:type="dxa"/>
              <w:start w:w="150" w:type="dxa"/>
              <w:bottom w:w="125" w:type="dxa"/>
              <w:end w:w="150" w:type="dxa"/>
            </w:tcMar>
          </w:tcPr>
          <w:p>
            <w:pPr>
              <w:spacing w:after="60"/>
            </w:pPr>
            <w:r/>
            <w:r>
              <w:rPr>
                <w:rFonts w:ascii="Arial" w:hAnsi="Arial" w:eastAsia="Arial"/>
                <w:b/>
                <w:i w:val="0"/>
                <w:color w:val="17365D"/>
                <w:sz w:val="21"/>
              </w:rPr>
              <w:t>Decision requested</w:t>
            </w:r>
          </w:p>
          <w:p>
            <w:pPr>
              <w:spacing w:after="0" w:line="252" w:lineRule="auto"/>
            </w:pPr>
            <w:r>
              <w:rPr>
                <w:rFonts w:ascii="Arial" w:hAnsi="Arial" w:eastAsia="Arial"/>
                <w:b w:val="0"/>
                <w:i w:val="0"/>
                <w:color w:val="243447"/>
                <w:sz w:val="19"/>
              </w:rPr>
              <w:t>Confirm whether the four-day structure, the product labs, the simulated-data environment and the sign-off exercise are suitable as the basis for final faculty preparation. The remaining DIEZ inputs can then be incorporated without changing the overall learning journey.</w:t>
            </w:r>
          </w:p>
        </w:tc>
      </w:tr>
    </w:tbl>
    <w:p>
      <w:pPr>
        <w:spacing w:after="20"/>
      </w:pPr>
    </w:p>
    <w:sectPr w:rsidR="00FC693F" w:rsidRPr="0006063C" w:rsidSect="00034616">
      <w:headerReference w:type="default" r:id="rId9"/>
      <w:footerReference w:type="default" r:id="rId10"/>
      <w:pgSz w:w="12240" w:h="15840"/>
      <w:pgMar w:top="835" w:right="979" w:bottom="864" w:left="979" w:header="374"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rial" w:hAnsi="Arial" w:eastAsia="Arial"/>
        <w:b w:val="0"/>
        <w:i w:val="0"/>
        <w:color w:val="667085"/>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Arial" w:hAnsi="Arial" w:eastAsia="Arial"/>
        <w:b/>
        <w:i w:val="0"/>
        <w:color w:val="0F6B78"/>
        <w:sz w:val="16"/>
      </w:rPr>
      <w:t>DIEZ  |  AI for Data Stewards  |  Client consideration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24344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F6B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F6B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DIEZ AI for Data Stewards — Simplified Session Briefs</dc:title>
  <dc:subject>Easy-view client consideration brief for the four-day programme</dc:subject>
  <dc:creator>DIEZ AI for Data Stewards faculty team</dc:creator>
  <cp:keywords>DIEZ, AI for Data Stewards, session briefs, client consideration</cp:keywords>
  <dc:description>generated by python-docx</dc:description>
  <cp:lastModifiedBy/>
  <cp:revision>1</cp:revision>
  <dcterms:created xsi:type="dcterms:W3CDTF">2013-12-23T23:15:00Z</dcterms:created>
  <dcterms:modified xsi:type="dcterms:W3CDTF">2013-12-23T23:15:00Z</dcterms:modified>
  <cp:category/>
</cp:coreProperties>
</file>