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40" w:after="160"/>
        <w:jc w:val="left"/>
      </w:pPr>
      <w:r>
        <w:rPr>
          <w:rFonts w:ascii="Arial" w:hAnsi="Arial" w:eastAsia="Arial"/>
          <w:b/>
          <w:i w:val="0"/>
          <w:color w:val="0F6B78"/>
          <w:sz w:val="36"/>
        </w:rPr>
        <w:t>DIEZ</w:t>
      </w:r>
    </w:p>
    <w:p>
      <w:pPr>
        <w:spacing w:after="80"/>
      </w:pPr>
      <w:r>
        <w:rPr>
          <w:rFonts w:ascii="Arial" w:hAnsi="Arial" w:eastAsia="Arial"/>
          <w:b/>
          <w:i w:val="0"/>
          <w:color w:val="17365D"/>
          <w:sz w:val="58"/>
        </w:rPr>
        <w:t>AI for Data Stewards</w:t>
      </w:r>
    </w:p>
    <w:p>
      <w:pPr>
        <w:spacing w:after="440"/>
      </w:pPr>
      <w:r>
        <w:rPr>
          <w:rFonts w:ascii="Arial" w:hAnsi="Arial" w:eastAsia="Arial"/>
          <w:b w:val="0"/>
          <w:i w:val="0"/>
          <w:color w:val="2F75B5"/>
          <w:sz w:val="34"/>
        </w:rPr>
        <w:t>Product use, governance and sign-off programme</w:t>
      </w:r>
    </w:p>
    <w:tbl>
      <w:tblPr>
        <w:tblW w:type="auto" w:w="0"/>
        <w:jc w:val="center"/>
        <w:tblLayout w:type="autofit"/>
        <w:tblLook w:firstColumn="1" w:firstRow="1" w:lastColumn="0" w:lastRow="0" w:noHBand="0" w:noVBand="1" w:val="04A0"/>
      </w:tblPr>
      <w:tblGrid>
        <w:gridCol w:w="10166"/>
      </w:tblGrid>
      <w:tr>
        <w:tc>
          <w:tcPr>
            <w:tcW w:type="dxa" w:w="10166"/>
            <w:shd w:fill="EEF5FB"/>
            <w:tcBorders>
              <w:top w:val="single" w:sz="4" w:color="EEF5FB"/>
              <w:left w:val="single" w:sz="18" w:color="0F6B78"/>
              <w:bottom w:val="single" w:sz="4" w:color="EEF5FB"/>
              <w:right w:val="single" w:sz="4" w:color="EEF5FB"/>
            </w:tcBorders>
            <w:tcMar>
              <w:top w:w="130" w:type="dxa"/>
              <w:start w:w="160" w:type="dxa"/>
              <w:bottom w:w="130" w:type="dxa"/>
              <w:end w:w="160" w:type="dxa"/>
            </w:tcMar>
          </w:tcPr>
          <w:p>
            <w:pPr>
              <w:spacing w:after="60"/>
            </w:pPr>
            <w:r/>
            <w:r>
              <w:rPr>
                <w:rFonts w:ascii="Arial" w:hAnsi="Arial" w:eastAsia="Arial"/>
                <w:b/>
                <w:i w:val="0"/>
                <w:color w:val="17365D"/>
                <w:sz w:val="21"/>
              </w:rPr>
              <w:t>Purpose</w:t>
            </w:r>
          </w:p>
          <w:p>
            <w:pPr>
              <w:spacing w:after="0" w:line="264" w:lineRule="auto"/>
            </w:pPr>
            <w:r>
              <w:rPr>
                <w:rFonts w:ascii="Arial" w:hAnsi="Arial" w:eastAsia="Arial"/>
                <w:b w:val="0"/>
                <w:i w:val="0"/>
                <w:color w:val="1F2937"/>
                <w:sz w:val="19"/>
              </w:rPr>
              <w:t>A four-day working programme for DIEZ managers and data stewards who will use, oversee or sign off AI-enabled products. Participants work with simulated DIEZ-style materials, practise in the approved Microsoft 365 Copilot environment and leave with evidence-backed controls they can apply at work.</w:t>
            </w:r>
          </w:p>
        </w:tc>
      </w:tr>
    </w:tbl>
    <w:p>
      <w:pPr>
        <w:spacing w:after="0"/>
      </w:pPr>
    </w:p>
    <w:p>
      <w:pPr>
        <w:spacing w:after="440"/>
      </w:pPr>
    </w:p>
    <w:p>
      <w:pPr>
        <w:spacing w:after="80"/>
      </w:pPr>
      <w:r>
        <w:rPr>
          <w:rFonts w:ascii="Arial" w:hAnsi="Arial" w:eastAsia="Arial"/>
          <w:b/>
          <w:i w:val="0"/>
          <w:color w:val="17365D"/>
          <w:sz w:val="20"/>
        </w:rPr>
        <w:t xml:space="preserve">Prepared for: </w:t>
      </w:r>
      <w:r>
        <w:rPr>
          <w:rFonts w:ascii="Arial" w:hAnsi="Arial" w:eastAsia="Arial"/>
          <w:b w:val="0"/>
          <w:i w:val="0"/>
          <w:color w:val="1F2937"/>
          <w:sz w:val="20"/>
        </w:rPr>
        <w:t>Dubai Integrated Economic Zones Authority (DIEZ)</w:t>
      </w:r>
    </w:p>
    <w:p>
      <w:pPr>
        <w:spacing w:after="80"/>
      </w:pPr>
      <w:r>
        <w:rPr>
          <w:rFonts w:ascii="Arial" w:hAnsi="Arial" w:eastAsia="Arial"/>
          <w:b/>
          <w:i w:val="0"/>
          <w:color w:val="17365D"/>
          <w:sz w:val="20"/>
        </w:rPr>
        <w:t xml:space="preserve">Format: </w:t>
      </w:r>
      <w:r>
        <w:rPr>
          <w:rFonts w:ascii="Arial" w:hAnsi="Arial" w:eastAsia="Arial"/>
          <w:b w:val="0"/>
          <w:i w:val="0"/>
          <w:color w:val="1F2937"/>
          <w:sz w:val="20"/>
        </w:rPr>
        <w:t>Four consecutive full days; net session times are confirmed with DIEZ HR</w:t>
      </w:r>
    </w:p>
    <w:p>
      <w:pPr>
        <w:spacing w:after="80"/>
      </w:pPr>
      <w:r>
        <w:rPr>
          <w:rFonts w:ascii="Arial" w:hAnsi="Arial" w:eastAsia="Arial"/>
          <w:b/>
          <w:i w:val="0"/>
          <w:color w:val="17365D"/>
          <w:sz w:val="20"/>
        </w:rPr>
        <w:t xml:space="preserve">Working environment: </w:t>
      </w:r>
      <w:r>
        <w:rPr>
          <w:rFonts w:ascii="Arial" w:hAnsi="Arial" w:eastAsia="Arial"/>
          <w:b w:val="0"/>
          <w:i w:val="0"/>
          <w:color w:val="1F2937"/>
          <w:sz w:val="20"/>
        </w:rPr>
        <w:t>Microsoft 365 Copilot on DIEZ laptops; simulated data only; no live-system access</w:t>
      </w:r>
    </w:p>
    <w:p>
      <w:pPr>
        <w:spacing w:after="80"/>
      </w:pPr>
      <w:r>
        <w:rPr>
          <w:rFonts w:ascii="Arial" w:hAnsi="Arial" w:eastAsia="Arial"/>
          <w:b/>
          <w:i w:val="0"/>
          <w:color w:val="17365D"/>
          <w:sz w:val="20"/>
        </w:rPr>
        <w:t xml:space="preserve">Version: </w:t>
      </w:r>
      <w:r>
        <w:rPr>
          <w:rFonts w:ascii="Arial" w:hAnsi="Arial" w:eastAsia="Arial"/>
          <w:b w:val="0"/>
          <w:i w:val="0"/>
          <w:color w:val="1F2937"/>
          <w:sz w:val="20"/>
        </w:rPr>
        <w:t>Delivery-authored draft | September 2026</w:t>
      </w:r>
    </w:p>
    <w:p>
      <w:r>
        <w:br w:type="page"/>
      </w:r>
    </w:p>
    <w:p>
      <w:pPr>
        <w:pStyle w:val="Heading1"/>
        <w:spacing w:before="280" w:after="120"/>
      </w:pPr>
      <w:r>
        <w:rPr>
          <w:rFonts w:ascii="Arial" w:hAnsi="Arial" w:eastAsia="Arial"/>
          <w:b/>
          <w:i w:val="0"/>
          <w:color w:val="17365D"/>
          <w:sz w:val="30"/>
        </w:rPr>
        <w:t>1. Executive summary</w:t>
      </w:r>
    </w:p>
    <w:p>
      <w:pPr>
        <w:spacing w:after="120" w:before="0" w:line="276" w:lineRule="auto"/>
      </w:pPr>
      <w:r>
        <w:rPr>
          <w:rFonts w:ascii="Arial" w:hAnsi="Arial" w:eastAsia="Arial"/>
          <w:b w:val="0"/>
          <w:i w:val="0"/>
          <w:color w:val="1F2937"/>
          <w:sz w:val="21"/>
        </w:rPr>
        <w:t>This is a practical four-day programme for DIEZ business section heads, team managers, data owners and stewards who will use, oversee or sign off AI-enabled products. Its centre of gravity is not a tour of AI concepts. It is the work participants will need to do when an AI product produces a tier, label, alert, ranking, draft or extracted field and someone must decide what happens next.</w:t>
      </w:r>
    </w:p>
    <w:p>
      <w:pPr>
        <w:spacing w:after="120" w:before="0" w:line="276" w:lineRule="auto"/>
      </w:pPr>
      <w:r>
        <w:rPr>
          <w:rFonts w:ascii="Arial" w:hAnsi="Arial" w:eastAsia="Arial"/>
          <w:b w:val="0"/>
          <w:i w:val="0"/>
          <w:color w:val="1F2937"/>
          <w:sz w:val="21"/>
        </w:rPr>
        <w:t>The seven DIEZ initiatives provide the working material: Customer Segmentation, Sentiment Analysis, Customer Churn Prediction, Content Moderation, Partner IQ, Microsoft 365 Copilot and Document Intelligence. Participants work in functional teams across DAFZ, DSO and Dubai CommerCity, using simulated DIEZ-style data. They leave with a traceable evidence portfolio, a product sign-off checklist and a responsible-use workflow they can take back to their function.</w:t>
      </w:r>
    </w:p>
    <w:tbl>
      <w:tblPr>
        <w:tblW w:type="auto" w:w="0"/>
        <w:jc w:val="center"/>
        <w:tblLayout w:type="autofit"/>
        <w:tblLook w:firstColumn="1" w:firstRow="1" w:lastColumn="0" w:lastRow="0" w:noHBand="0" w:noVBand="1" w:val="04A0"/>
      </w:tblPr>
      <w:tblGrid>
        <w:gridCol w:w="10166"/>
      </w:tblGrid>
      <w:tr>
        <w:tc>
          <w:tcPr>
            <w:tcW w:type="dxa" w:w="10166"/>
            <w:shd w:fill="EEF5FB"/>
            <w:tcBorders>
              <w:top w:val="single" w:sz="4" w:color="EEF5FB"/>
              <w:left w:val="single" w:sz="18" w:color="2F75B5"/>
              <w:bottom w:val="single" w:sz="4" w:color="EEF5FB"/>
              <w:right w:val="single" w:sz="4" w:color="EEF5FB"/>
            </w:tcBorders>
            <w:tcMar>
              <w:top w:w="130" w:type="dxa"/>
              <w:start w:w="160" w:type="dxa"/>
              <w:bottom w:w="130" w:type="dxa"/>
              <w:end w:w="160" w:type="dxa"/>
            </w:tcMar>
          </w:tcPr>
          <w:p>
            <w:pPr>
              <w:spacing w:after="60"/>
            </w:pPr>
            <w:r/>
            <w:r>
              <w:rPr>
                <w:rFonts w:ascii="Arial" w:hAnsi="Arial" w:eastAsia="Arial"/>
                <w:b/>
                <w:i w:val="0"/>
                <w:color w:val="17365D"/>
                <w:sz w:val="21"/>
              </w:rPr>
              <w:t>How the programme is designed</w:t>
            </w:r>
          </w:p>
          <w:p>
            <w:pPr>
              <w:spacing w:after="0" w:line="264" w:lineRule="auto"/>
            </w:pPr>
            <w:r>
              <w:rPr>
                <w:rFonts w:ascii="Arial" w:hAnsi="Arial" w:eastAsia="Arial"/>
                <w:b w:val="0"/>
                <w:i w:val="0"/>
                <w:color w:val="1F2937"/>
                <w:sz w:val="19"/>
              </w:rPr>
              <w:t>The approved assistant is Microsoft 365 Copilot. It is the environment used in the labs, not the subject of the training. The recurring discipline is: CONTEXT → INSTRUCT → REVIEW → VERIFY → DECIDE → DOCUMENT → ACT OR ESCALATE.</w:t>
            </w:r>
          </w:p>
        </w:tc>
      </w:tr>
    </w:tbl>
    <w:p>
      <w:pPr>
        <w:spacing w:after="0"/>
      </w:pPr>
    </w:p>
    <w:p>
      <w:pPr>
        <w:pStyle w:val="Heading1"/>
        <w:spacing w:before="280" w:after="120"/>
      </w:pPr>
      <w:r>
        <w:rPr>
          <w:rFonts w:ascii="Arial" w:hAnsi="Arial" w:eastAsia="Arial"/>
          <w:b/>
          <w:i w:val="0"/>
          <w:color w:val="17365D"/>
          <w:sz w:val="30"/>
        </w:rPr>
        <w:t>2. Design decisions made for this cohort</w:t>
      </w:r>
    </w:p>
    <w:tbl>
      <w:tblPr>
        <w:tblW w:type="auto" w:w="0"/>
        <w:jc w:val="center"/>
        <w:tblLayout w:type="fixed"/>
        <w:tblLook w:firstColumn="1" w:firstRow="1" w:lastColumn="0" w:lastRow="0" w:noHBand="0" w:noVBand="1" w:val="04A0"/>
      </w:tblPr>
      <w:tblGrid>
        <w:gridCol w:w="5083"/>
        <w:gridCol w:w="5083"/>
      </w:tblGrid>
      <w:tr>
        <w:tc>
          <w:tcPr>
            <w:tcW w:type="dxa" w:w="288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Decision</w:t>
            </w:r>
          </w:p>
        </w:tc>
        <w:tc>
          <w:tcPr>
            <w:tcW w:type="dxa" w:w="676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Why it is in the programme</w:t>
            </w:r>
          </w:p>
        </w:tc>
      </w:tr>
      <w:tr>
        <w:tc>
          <w:tcPr>
            <w:tcW w:type="dxa" w:w="288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Microsoft 365 Copilot is the only lab assistant.</w:t>
            </w:r>
          </w:p>
        </w:tc>
        <w:tc>
          <w:tcPr>
            <w:tcW w:type="dxa" w:w="67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It is the approved DIEZ environment confirmed for use in the labs. Participants learn safe practice in one controlled environment rather than comparing vendors.</w:t>
            </w:r>
          </w:p>
        </w:tc>
      </w:tr>
      <w:tr>
        <w:tc>
          <w:tcPr>
            <w:tcW w:type="dxa" w:w="288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All lab data is simulated.</w:t>
            </w:r>
          </w:p>
        </w:tc>
        <w:tc>
          <w:tcPr>
            <w:tcW w:type="dxa" w:w="676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No real customer data or financial values are used, and participants do not access live DIEZ systems. This keeps the exercises safe while preserving DIEZ-style decisions and data defects.</w:t>
            </w:r>
          </w:p>
        </w:tc>
      </w:tr>
      <w:tr>
        <w:tc>
          <w:tcPr>
            <w:tcW w:type="dxa" w:w="288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Teams are formed across zones by function.</w:t>
            </w:r>
          </w:p>
        </w:tc>
        <w:tc>
          <w:tcPr>
            <w:tcW w:type="dxa" w:w="67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Putting comparable roles from DAFZ, DSO and Dubai CommerCity together makes differences in definitions, data quality and process visible.</w:t>
            </w:r>
          </w:p>
        </w:tc>
      </w:tr>
      <w:tr>
        <w:tc>
          <w:tcPr>
            <w:tcW w:type="dxa" w:w="288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Day 3 includes a product sign-off simulation.</w:t>
            </w:r>
          </w:p>
        </w:tc>
        <w:tc>
          <w:tcPr>
            <w:tcW w:type="dxa" w:w="676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Participants need to practise the moment Digital asks a business owner or steward to accept an AI-enabled product, including testing evidence, limitations, human review and monitoring.</w:t>
            </w:r>
          </w:p>
        </w:tc>
      </w:tr>
      <w:tr>
        <w:tc>
          <w:tcPr>
            <w:tcW w:type="dxa" w:w="288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Unconfirmed product details stay in scope.</w:t>
            </w:r>
          </w:p>
        </w:tc>
        <w:tc>
          <w:tcPr>
            <w:tcW w:type="dxa" w:w="67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Content Moderation technology, Partner IQ mechanics and some owners are awaiting DIEZ knowledge. The sessions teach the responsible decisions around those products without inventing how they work.</w:t>
            </w:r>
          </w:p>
        </w:tc>
      </w:tr>
      <w:tr>
        <w:tc>
          <w:tcPr>
            <w:tcW w:type="dxa" w:w="288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frameworks replace generic policy language when available.</w:t>
            </w:r>
          </w:p>
        </w:tc>
        <w:tc>
          <w:tcPr>
            <w:tcW w:type="dxa" w:w="676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The programme uses placeholders until DIEZ shares its data- and AI-governance extracts. Faculty do not write DIEZ policy during the course.</w:t>
            </w:r>
          </w:p>
        </w:tc>
      </w:tr>
    </w:tbl>
    <w:p>
      <w:pPr>
        <w:spacing w:after="20"/>
      </w:pPr>
    </w:p>
    <w:p>
      <w:pPr>
        <w:pStyle w:val="Heading1"/>
        <w:spacing w:before="280" w:after="120"/>
      </w:pPr>
      <w:r>
        <w:rPr>
          <w:rFonts w:ascii="Arial" w:hAnsi="Arial" w:eastAsia="Arial"/>
          <w:b/>
          <w:i w:val="0"/>
          <w:color w:val="17365D"/>
          <w:sz w:val="30"/>
        </w:rPr>
        <w:t>3. UAE and Dubai alignment</w:t>
      </w:r>
    </w:p>
    <w:p>
      <w:pPr>
        <w:spacing w:after="120" w:before="0" w:line="276" w:lineRule="auto"/>
      </w:pPr>
      <w:r>
        <w:rPr>
          <w:rFonts w:ascii="Arial" w:hAnsi="Arial" w:eastAsia="Arial"/>
          <w:b w:val="0"/>
          <w:i w:val="0"/>
          <w:color w:val="1F2937"/>
          <w:sz w:val="21"/>
        </w:rPr>
        <w:t>This course is an operational training design, not legal advice. UAE and Dubai instruments are used as proposed guardrails only where DIEZ confirms they apply. DIEZ’s internal governance wording, data classifications, acceptable-use rules and escalation routes take precedence when supplied.</w:t>
      </w:r>
    </w:p>
    <w:tbl>
      <w:tblPr>
        <w:tblW w:type="auto" w:w="0"/>
        <w:jc w:val="center"/>
        <w:tblLayout w:type="fixed"/>
        <w:tblLook w:firstColumn="1" w:firstRow="1" w:lastColumn="0" w:lastRow="0" w:noHBand="0" w:noVBand="1" w:val="04A0"/>
      </w:tblPr>
      <w:tblGrid>
        <w:gridCol w:w="5083"/>
        <w:gridCol w:w="5083"/>
      </w:tblGrid>
      <w:tr>
        <w:tc>
          <w:tcPr>
            <w:tcW w:type="dxa" w:w="324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6"/>
              </w:rPr>
              <w:t>Local requirement / context</w:t>
            </w:r>
          </w:p>
        </w:tc>
        <w:tc>
          <w:tcPr>
            <w:tcW w:type="dxa" w:w="640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6"/>
              </w:rPr>
              <w:t>How the course operationalises it</w:t>
            </w:r>
          </w:p>
        </w:tc>
      </w:tr>
      <w:tr>
        <w:tc>
          <w:tcPr>
            <w:tcW w:type="dxa" w:w="324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UAE Personal Data Protection Law — Federal Decree-Law No. 45 of 2021 [1]</w:t>
            </w:r>
          </w:p>
        </w:tc>
        <w:tc>
          <w:tcPr>
            <w:tcW w:type="dxa" w:w="640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Teach purpose limitation, data minimisation, access control, retention, processor/vendor review, incident escalation and cross-border transfer checks where personal data is in scope. The law expressly excludes government data and governmental entities that control or process personal data; the course therefore treats it as a baseline for provider/contractor and other in-scope processing, while pairing it with Dubai government instruments.</w:t>
            </w:r>
          </w:p>
        </w:tc>
      </w:tr>
      <w:tr>
        <w:tc>
          <w:tcPr>
            <w:tcW w:type="dxa" w:w="324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Law No. 26 of 2015 Regulating Data Dissemination and Exchange [2]</w:t>
            </w:r>
          </w:p>
        </w:tc>
        <w:tc>
          <w:tcPr>
            <w:tcW w:type="dxa" w:w="640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Use data inventory, classification, provenance, release/approval, authorised sharing and evidence of permitted use as mandatory steps in every data-readiness and capstone exercise.</w:t>
            </w:r>
          </w:p>
        </w:tc>
      </w:tr>
      <w:tr>
        <w:tc>
          <w:tcPr>
            <w:tcW w:type="dxa" w:w="324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Data and Statistics Establishment / Dubai Data framework [2]</w:t>
            </w:r>
          </w:p>
        </w:tc>
        <w:tc>
          <w:tcPr>
            <w:tcW w:type="dxa" w:w="640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Practise documenting data owners, custodians, quality issues, metadata, reuse conditions and escalation routes for datasets used in government or cross-entity workflows.</w:t>
            </w:r>
          </w:p>
        </w:tc>
      </w:tr>
      <w:tr>
        <w:tc>
          <w:tcPr>
            <w:tcW w:type="dxa" w:w="324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Law No. 9 of 2022 Regulating the Provision of Digital Services [2]</w:t>
            </w:r>
          </w:p>
        </w:tc>
        <w:tc>
          <w:tcPr>
            <w:tcW w:type="dxa" w:w="640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Frame AI use around service quality, user impact, accessibility, continuity, human escalation and accountable change control for digital government services.</w:t>
            </w:r>
          </w:p>
        </w:tc>
      </w:tr>
      <w:tr>
        <w:tc>
          <w:tcPr>
            <w:tcW w:type="dxa" w:w="324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ICT Policies — Executive Council Resolution No. 15 of 2022 [2]</w:t>
            </w:r>
          </w:p>
        </w:tc>
        <w:tc>
          <w:tcPr>
            <w:tcW w:type="dxa" w:w="640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Require participants to identify the approved platform, identity/access path, hosting and integration constraints, records/evidence needs and responsible owner before proposing an AI-enabled workflow.</w:t>
            </w:r>
          </w:p>
        </w:tc>
      </w:tr>
      <w:tr>
        <w:tc>
          <w:tcPr>
            <w:tcW w:type="dxa" w:w="324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 Information Security Regulation — Executive Council Resolution No. 13 of 2012 [2]</w:t>
            </w:r>
          </w:p>
        </w:tc>
        <w:tc>
          <w:tcPr>
            <w:tcW w:type="dxa" w:w="640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Embed least privilege, secure handling, no unapproved public upload, logging/evidence, incident reporting and controlled testing into labs and capstones.</w:t>
            </w:r>
          </w:p>
        </w:tc>
      </w:tr>
      <w:tr>
        <w:tc>
          <w:tcPr>
            <w:tcW w:type="dxa" w:w="324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Dubai’s digital-government and economic-zone context [3]</w:t>
            </w:r>
          </w:p>
        </w:tc>
        <w:tc>
          <w:tcPr>
            <w:tcW w:type="dxa" w:w="640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6"/>
              </w:rPr>
              <w:t>Use the actual DIEZ product contexts: customer tiers in Salesforce, customer-care touchpoints, churn intervention, the Dubai CommerCity community app, free-zone partner matching, Microsoft 365 work and government-service document processing.</w:t>
            </w:r>
          </w:p>
        </w:tc>
      </w:tr>
    </w:tbl>
    <w:p>
      <w:pPr>
        <w:spacing w:after="20"/>
      </w:pPr>
    </w:p>
    <w:p>
      <w:pPr>
        <w:spacing w:before="40" w:after="120"/>
      </w:pPr>
      <w:r>
        <w:rPr>
          <w:rFonts w:ascii="Arial" w:hAnsi="Arial" w:eastAsia="Arial"/>
          <w:b w:val="0"/>
          <w:i/>
          <w:color w:val="666666"/>
          <w:sz w:val="16"/>
        </w:rPr>
        <w:t>Legal alignment note: [1]–[2] identify the public legal and policy sources used for this training design. Internal DIEZ policies, sector-specific requirements, contractual controls and any free-zone or regulated-activity rules must be confirmed during mobilisation.</w:t>
      </w:r>
    </w:p>
    <w:p>
      <w:pPr>
        <w:pStyle w:val="Heading1"/>
        <w:spacing w:before="280" w:after="120"/>
      </w:pPr>
      <w:r>
        <w:rPr>
          <w:rFonts w:ascii="Arial" w:hAnsi="Arial" w:eastAsia="Arial"/>
          <w:b/>
          <w:i w:val="0"/>
          <w:color w:val="17365D"/>
          <w:sz w:val="30"/>
        </w:rPr>
        <w:t>4. Proposed course at a glance</w:t>
      </w:r>
    </w:p>
    <w:tbl>
      <w:tblPr>
        <w:tblW w:type="auto" w:w="0"/>
        <w:jc w:val="center"/>
        <w:tblLayout w:type="fixed"/>
        <w:tblLook w:firstColumn="1" w:firstRow="1" w:lastColumn="0" w:lastRow="0" w:noHBand="0" w:noVBand="1" w:val="04A0"/>
      </w:tblPr>
      <w:tblGrid>
        <w:gridCol w:w="5083"/>
        <w:gridCol w:w="5083"/>
      </w:tblGrid>
      <w:tr>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8"/>
              </w:rPr>
              <w:t>Element</w:t>
            </w:r>
          </w:p>
        </w:tc>
        <w:tc>
          <w:tcPr>
            <w:tcW w:type="dxa" w:w="7416"/>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8"/>
              </w:rPr>
              <w:t>Proposed design</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Audience</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Business section heads and team managers who own datasets, processes or products, plus data stewards and adjacent governance professionals.</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Cohort</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Approximately 20 participants, working in functional teams across DAFZ, DSO and Dubai CommerCity.</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Duration</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Four days; net contact durations are set with DIEZ HR. Breaks and clock times may be adjusted without changing the session sequence.</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Pre-work</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30–45 minute baseline diagnostic and confidence survey; participants bring one recurring task that costs time or causes errors.</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Daily rhythm</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Short input → team activity → artefact → debrief. No input block runs longer than 20 minutes.</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Core discipline</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Context → instruct → review → verify → decide → document → act or escalate.</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Capstone</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A governed AI-assisted workflow, with a product sign-off and responsible-use evidence trail.</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Assessment</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Baseline, daily artefacts, observation, peer review, product sign-off simulation, capstone, post-assessment and 30-day plan.</w:t>
            </w:r>
          </w:p>
        </w:tc>
      </w:tr>
      <w:tr>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Language</w:t>
            </w:r>
          </w:p>
        </w:tc>
        <w:tc>
          <w:tcPr>
            <w:tcW w:type="dxa" w:w="741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English with Arabic-speaking co-facilitation; session key terms feed a bilingual glossary.</w:t>
            </w:r>
          </w:p>
        </w:tc>
      </w:tr>
      <w:tr>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Tools and data</w:t>
            </w:r>
          </w:p>
        </w:tc>
        <w:tc>
          <w:tcPr>
            <w:tcW w:type="dxa" w:w="741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8"/>
              </w:rPr>
              <w:t>DIEZ laptops with Microsoft 365 Copilot in Word, Excel, PowerPoint and Outlook; simulated DIEZ-style data only; no live-system access.</w:t>
            </w:r>
          </w:p>
        </w:tc>
      </w:tr>
    </w:tbl>
    <w:p>
      <w:pPr>
        <w:spacing w:after="20"/>
      </w:pPr>
    </w:p>
    <w:p>
      <w:pPr>
        <w:pStyle w:val="Heading1"/>
        <w:spacing w:before="280" w:after="120"/>
      </w:pPr>
      <w:r>
        <w:rPr>
          <w:rFonts w:ascii="Arial" w:hAnsi="Arial" w:eastAsia="Arial"/>
          <w:b/>
          <w:i w:val="0"/>
          <w:color w:val="17365D"/>
          <w:sz w:val="30"/>
        </w:rPr>
        <w:t>5. Intended outcomes</w:t>
      </w:r>
    </w:p>
    <w:p>
      <w:pPr>
        <w:spacing w:after="120" w:before="0" w:line="276" w:lineRule="auto"/>
      </w:pPr>
      <w:r>
        <w:rPr>
          <w:rFonts w:ascii="Arial" w:hAnsi="Arial" w:eastAsia="Arial"/>
          <w:b w:val="0"/>
          <w:i w:val="0"/>
          <w:color w:val="1F2937"/>
          <w:sz w:val="21"/>
        </w:rPr>
        <w:t>By the end of the course, participants should be able to:</w:t>
      </w:r>
    </w:p>
    <w:p>
      <w:pPr>
        <w:pStyle w:val="ListBullet"/>
        <w:spacing w:after="60" w:line="264" w:lineRule="auto"/>
      </w:pPr>
      <w:r>
        <w:rPr>
          <w:rFonts w:ascii="Arial" w:hAnsi="Arial" w:eastAsia="Arial"/>
          <w:b w:val="0"/>
          <w:i w:val="0"/>
          <w:color w:val="1F2937"/>
          <w:sz w:val="20"/>
        </w:rPr>
        <w:t>Explain what each of the seven DIEZ AI products does, where its output appears and which business decision or workflow it supports.</w:t>
      </w:r>
    </w:p>
    <w:p>
      <w:pPr>
        <w:pStyle w:val="ListBullet"/>
        <w:spacing w:after="60" w:line="264" w:lineRule="auto"/>
      </w:pPr>
      <w:r>
        <w:rPr>
          <w:rFonts w:ascii="Arial" w:hAnsi="Arial" w:eastAsia="Arial"/>
          <w:b w:val="0"/>
          <w:i w:val="0"/>
          <w:color w:val="1F2937"/>
          <w:sz w:val="20"/>
        </w:rPr>
        <w:t>Interpret customer tiers, sentiment labels, confidence scores, churn alerts, moderation classifications, partner rankings, Copilot responses and extracted document fields without treating them as certainty.</w:t>
      </w:r>
    </w:p>
    <w:p>
      <w:pPr>
        <w:pStyle w:val="ListBullet"/>
        <w:spacing w:after="60" w:line="264" w:lineRule="auto"/>
      </w:pPr>
      <w:r>
        <w:rPr>
          <w:rFonts w:ascii="Arial" w:hAnsi="Arial" w:eastAsia="Arial"/>
          <w:b w:val="0"/>
          <w:i w:val="0"/>
          <w:color w:val="1F2937"/>
          <w:sz w:val="20"/>
        </w:rPr>
        <w:t>Identify the data definitions, quality conditions and ownership required for each product to operate responsibly.</w:t>
      </w:r>
    </w:p>
    <w:p>
      <w:pPr>
        <w:pStyle w:val="ListBullet"/>
        <w:spacing w:after="60" w:line="264" w:lineRule="auto"/>
      </w:pPr>
      <w:r>
        <w:rPr>
          <w:rFonts w:ascii="Arial" w:hAnsi="Arial" w:eastAsia="Arial"/>
          <w:b w:val="0"/>
          <w:i w:val="0"/>
          <w:color w:val="1F2937"/>
          <w:sz w:val="20"/>
        </w:rPr>
        <w:t>Use Microsoft 365 Copilot responsibly in PowerPoint, Excel, Word and Outlook with approved information and appropriate verification.</w:t>
      </w:r>
    </w:p>
    <w:p>
      <w:pPr>
        <w:pStyle w:val="ListBullet"/>
        <w:spacing w:after="60" w:line="264" w:lineRule="auto"/>
      </w:pPr>
      <w:r>
        <w:rPr>
          <w:rFonts w:ascii="Arial" w:hAnsi="Arial" w:eastAsia="Arial"/>
          <w:b w:val="0"/>
          <w:i w:val="0"/>
          <w:color w:val="1F2937"/>
          <w:sz w:val="20"/>
        </w:rPr>
        <w:t>Verify product outputs and decide whether to accept, investigate, override, correct or escalate them.</w:t>
      </w:r>
    </w:p>
    <w:p>
      <w:pPr>
        <w:pStyle w:val="ListBullet"/>
        <w:spacing w:after="60" w:line="264" w:lineRule="auto"/>
      </w:pPr>
      <w:r>
        <w:rPr>
          <w:rFonts w:ascii="Arial" w:hAnsi="Arial" w:eastAsia="Arial"/>
          <w:b w:val="0"/>
          <w:i w:val="0"/>
          <w:color w:val="1F2937"/>
          <w:sz w:val="20"/>
        </w:rPr>
        <w:t>Recognise privacy, confidentiality, hallucination, bias, security, intellectual-property and over-reliance risks.</w:t>
      </w:r>
    </w:p>
    <w:p>
      <w:pPr>
        <w:pStyle w:val="ListBullet"/>
        <w:spacing w:after="60" w:line="264" w:lineRule="auto"/>
      </w:pPr>
      <w:r>
        <w:rPr>
          <w:rFonts w:ascii="Arial" w:hAnsi="Arial" w:eastAsia="Arial"/>
          <w:b w:val="0"/>
          <w:i w:val="0"/>
          <w:color w:val="1F2937"/>
          <w:sz w:val="20"/>
        </w:rPr>
        <w:t>Apply product-specific human review, decision rights, evidence retention, exception handling and monitoring.</w:t>
      </w:r>
    </w:p>
    <w:p>
      <w:pPr>
        <w:pStyle w:val="ListBullet"/>
        <w:spacing w:after="60" w:line="264" w:lineRule="auto"/>
      </w:pPr>
      <w:r>
        <w:rPr>
          <w:rFonts w:ascii="Arial" w:hAnsi="Arial" w:eastAsia="Arial"/>
          <w:b w:val="0"/>
          <w:i w:val="0"/>
          <w:color w:val="1F2937"/>
          <w:sz w:val="20"/>
        </w:rPr>
        <w:t>Decide whether a use case is safe to adopt, should be adopted only with a human in the loop, or is not ready to be solved by AI.</w:t>
      </w:r>
    </w:p>
    <w:p>
      <w:pPr>
        <w:pStyle w:val="ListBullet"/>
        <w:spacing w:after="60" w:line="264" w:lineRule="auto"/>
      </w:pPr>
      <w:r>
        <w:rPr>
          <w:rFonts w:ascii="Arial" w:hAnsi="Arial" w:eastAsia="Arial"/>
          <w:b w:val="0"/>
          <w:i w:val="0"/>
          <w:color w:val="1F2937"/>
          <w:sz w:val="20"/>
        </w:rPr>
        <w:t>Know what evidence is required before signing off an AI product and how to escalate a concern.</w:t>
      </w:r>
    </w:p>
    <w:p>
      <w:pPr>
        <w:pStyle w:val="ListBullet"/>
        <w:spacing w:after="60" w:line="264" w:lineRule="auto"/>
      </w:pPr>
      <w:r>
        <w:rPr>
          <w:rFonts w:ascii="Arial" w:hAnsi="Arial" w:eastAsia="Arial"/>
          <w:b w:val="0"/>
          <w:i w:val="0"/>
          <w:color w:val="1F2937"/>
          <w:sz w:val="20"/>
        </w:rPr>
        <w:t>Create a governed AI-assisted workflow and a practical 30-day application plan.</w:t>
      </w:r>
    </w:p>
    <w:p>
      <w:pPr>
        <w:pStyle w:val="Heading1"/>
        <w:spacing w:before="280" w:after="120"/>
      </w:pPr>
      <w:r>
        <w:rPr>
          <w:rFonts w:ascii="Arial" w:hAnsi="Arial" w:eastAsia="Arial"/>
          <w:b/>
          <w:i w:val="0"/>
          <w:color w:val="17365D"/>
          <w:sz w:val="30"/>
        </w:rPr>
        <w:t>6. DIEZ product operating picture and lab focus</w:t>
      </w:r>
    </w:p>
    <w:p>
      <w:pPr>
        <w:spacing w:after="120" w:before="0" w:line="276" w:lineRule="auto"/>
      </w:pPr>
      <w:r>
        <w:rPr>
          <w:rFonts w:ascii="Arial" w:hAnsi="Arial" w:eastAsia="Arial"/>
          <w:b w:val="0"/>
          <w:i w:val="0"/>
          <w:color w:val="1F2937"/>
          <w:sz w:val="21"/>
        </w:rPr>
        <w:t>The seven products are the organising spine of the programme. Known operating details are used directly. Details still awaited from DIEZ remain part of the relevant session, but are marked “to confirm” in the materials and replaced with DIEZ wording when received. The purpose is to teach the responsible decision, not to speculate about an implementation.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656"/>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4"/>
              </w:rPr>
              <w:t>Product</w:t>
            </w:r>
          </w:p>
        </w:tc>
        <w:tc>
          <w:tcPr>
            <w:tcW w:type="dxa" w:w="367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4"/>
              </w:rPr>
              <w:t>What it does and how it works</w:t>
            </w:r>
          </w:p>
        </w:tc>
        <w:tc>
          <w:tcPr>
            <w:tcW w:type="dxa" w:w="180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4"/>
              </w:rPr>
              <w:t>Owner / status</w:t>
            </w:r>
          </w:p>
        </w:tc>
        <w:tc>
          <w:tcPr>
            <w:tcW w:type="dxa" w:w="25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4"/>
              </w:rPr>
              <w:t>Responsible-use lab</w:t>
            </w:r>
          </w:p>
        </w:tc>
      </w:tr>
      <w:tr>
        <w:tc>
          <w:tcPr>
            <w:tcW w:type="dxa" w:w="165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1. Customer Segmentation</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Assigns diamond, platinum, gold or bronze tiers. An unsupervised model uses about 11–12 drivers; an integration script places the tier in Salesforce.</w:t>
            </w:r>
          </w:p>
        </w:tc>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Owner not stated.</w:t>
            </w:r>
          </w:p>
        </w:tc>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Reconcile competing customer definitions; create a governed tier definition and challenge inconsistent inputs.</w:t>
            </w:r>
          </w:p>
        </w:tc>
      </w:tr>
      <w:tr>
        <w:tc>
          <w:tcPr>
            <w:tcW w:type="dxa" w:w="165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2. Sentiment Analysis</w:t>
            </w:r>
          </w:p>
        </w:tc>
        <w:tc>
          <w:tcPr>
            <w:tcW w:type="dxa" w:w="367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Classifies inquiries, complaints and tickets as positive, neutral or negative and returns a confidence score.</w:t>
            </w:r>
          </w:p>
        </w:tc>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Customer Care.</w:t>
            </w:r>
          </w:p>
        </w:tc>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Set confidence thresholds; test Arabic and English text; define what the score can and cannot justify.</w:t>
            </w:r>
          </w:p>
        </w:tc>
      </w:tr>
      <w:tr>
        <w:tc>
          <w:tcPr>
            <w:tcW w:type="dxa" w:w="165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3. Customer Churn Prediction</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Predicts customers likely to leave, including progressive lease reductions. Target is an alert at least three months ahead.</w:t>
            </w:r>
          </w:p>
        </w:tc>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Customer Care.</w:t>
            </w:r>
          </w:p>
        </w:tc>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Treat the alert as probability; define validation, leadership-visit and discount decision rules; record the human decision.</w:t>
            </w:r>
          </w:p>
        </w:tc>
      </w:tr>
      <w:tr>
        <w:tc>
          <w:tcPr>
            <w:tcW w:type="dxa" w:w="165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4. Content Moderation</w:t>
            </w:r>
          </w:p>
        </w:tc>
        <w:tc>
          <w:tcPr>
            <w:tcW w:type="dxa" w:w="367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Screens text and images in the Dubai CommerCity community app.</w:t>
            </w:r>
          </w:p>
        </w:tc>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Owner not stated. Azure Content Moderation is an unconfirmed assumption.</w:t>
            </w:r>
          </w:p>
        </w:tc>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Translate policy into rules; test false positives and negatives; design review and escalation without assuming the technology.</w:t>
            </w:r>
          </w:p>
        </w:tc>
      </w:tr>
      <w:tr>
        <w:tc>
          <w:tcPr>
            <w:tcW w:type="dxa" w:w="165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5. Partner IQ</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Matches businesses within the same free zone so members can source services from neighbouring zone companies.</w:t>
            </w:r>
          </w:p>
        </w:tc>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Owner and technical mechanism not confirmed; recommendation engine is only a working hypothesis.</w:t>
            </w:r>
          </w:p>
        </w:tc>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Define matching criteria; challenge ranking bias and unequal visibility; require an explainable and contestable recommendation.</w:t>
            </w:r>
          </w:p>
        </w:tc>
      </w:tr>
      <w:tr>
        <w:tc>
          <w:tcPr>
            <w:tcW w:type="dxa" w:w="1656"/>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6. Microsoft 365 Copilot</w:t>
            </w:r>
          </w:p>
        </w:tc>
        <w:tc>
          <w:tcPr>
            <w:tcW w:type="dxa" w:w="367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Supports work in PowerPoint, Excel, Word and Outlook through the licensed Microsoft 365 Copilot environment.</w:t>
            </w:r>
          </w:p>
        </w:tc>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Digital.</w:t>
            </w:r>
          </w:p>
        </w:tc>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Use approved data, verify sources and calculations, protect confidentiality and retain human accountability for the final work.</w:t>
            </w:r>
          </w:p>
        </w:tc>
      </w:tr>
      <w:tr>
        <w:tc>
          <w:tcPr>
            <w:tcW w:type="dxa" w:w="1656"/>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7. Document Intelligence</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Uses OCR to extract fields from documents such as visa applications and populate another government entity’s portal; it is not a RAG workflow.</w:t>
            </w:r>
          </w:p>
        </w:tc>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Operational ownership to confirm; Government Services is indicated by the use case.</w:t>
            </w:r>
          </w:p>
        </w:tc>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4"/>
              </w:rPr>
              <w:t>Check extraction accuracy and missing fields; route exceptions; retain source-to-field evidence and protect personal data.</w:t>
            </w:r>
          </w:p>
        </w:tc>
      </w:tr>
    </w:tbl>
    <w:p>
      <w:pPr>
        <w:spacing w:after="20"/>
      </w:pPr>
    </w:p>
    <w:p>
      <w:pPr>
        <w:spacing w:before="40" w:after="120"/>
      </w:pPr>
      <w:r>
        <w:rPr>
          <w:rFonts w:ascii="Arial" w:hAnsi="Arial" w:eastAsia="Arial"/>
          <w:b w:val="0"/>
          <w:i/>
          <w:color w:val="666666"/>
          <w:sz w:val="16"/>
        </w:rPr>
        <w:t>Product-fact discipline: unconfirmed owners and technologies must remain visibly marked “to confirm”; participants must not convert assumptions into operational facts.</w:t>
      </w:r>
    </w:p>
    <w:p>
      <w:r>
        <w:br w:type="page"/>
      </w:r>
    </w:p>
    <w:p>
      <w:pPr>
        <w:pStyle w:val="Heading1"/>
        <w:spacing w:before="280" w:after="120"/>
      </w:pPr>
      <w:r>
        <w:rPr>
          <w:rFonts w:ascii="Arial" w:hAnsi="Arial" w:eastAsia="Arial"/>
          <w:b/>
          <w:i w:val="0"/>
          <w:color w:val="17365D"/>
          <w:sz w:val="30"/>
        </w:rPr>
        <w:t>7. Session-by-session delivery plan</w:t>
      </w:r>
    </w:p>
    <w:p>
      <w:pPr>
        <w:spacing w:after="120" w:before="0" w:line="276" w:lineRule="auto"/>
      </w:pPr>
      <w:r>
        <w:rPr>
          <w:rFonts w:ascii="Arial" w:hAnsi="Arial" w:eastAsia="Arial"/>
          <w:b w:val="0"/>
          <w:i w:val="0"/>
          <w:color w:val="1F2937"/>
          <w:sz w:val="21"/>
        </w:rPr>
        <w:t>The session IDs and outputs below are the delivery backbone. Durations are net contact time; DIEZ HR and Wellington set clock times and breaks. Each session ends with an artefact for the participant evidence portfolio.</w:t>
      </w:r>
    </w:p>
    <w:p>
      <w:pPr>
        <w:pStyle w:val="Heading2"/>
        <w:spacing w:before="180" w:after="120"/>
      </w:pPr>
      <w:r>
        <w:rPr>
          <w:rFonts w:ascii="Arial" w:hAnsi="Arial" w:eastAsia="Arial"/>
          <w:b/>
          <w:i w:val="0"/>
          <w:color w:val="0F6B78"/>
          <w:sz w:val="23"/>
        </w:rPr>
        <w:t>Day 1 — Understand and identify</w:t>
      </w:r>
    </w:p>
    <w:p>
      <w:pPr>
        <w:spacing w:after="100" w:before="0" w:line="276" w:lineRule="auto"/>
      </w:pPr>
      <w:r>
        <w:rPr>
          <w:rFonts w:ascii="Arial" w:hAnsi="Arial" w:eastAsia="Arial"/>
          <w:b w:val="0"/>
          <w:i w:val="0"/>
          <w:color w:val="1F2937"/>
          <w:sz w:val="20"/>
        </w:rPr>
        <w:t>Day purpose: Build a shared, plain-language model of AI through DIEZ’s own products, set safe-use rules and select worthwhile opportunities.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123"/>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Time</w:t>
            </w:r>
          </w:p>
        </w:tc>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Session</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Learning and application</w:t>
            </w:r>
          </w:p>
        </w:tc>
        <w:tc>
          <w:tcPr>
            <w:tcW w:type="dxa" w:w="1757"/>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Participant output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30 min</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D1.S1 · Welcome, baseline read-out and learning contract</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Review cohort themes; form function teams across the three zones; agree approved assistant, simulated-data and verification rules.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Personal success criteria; learning contract; evidence portfolio opened</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60 min</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D1.S2 · AI through DIEZ’s own seven products</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Group the products by capability: grouping, classifying, predicting, matching, extracting and generating. Map purpose, data, owner and what a wrong output looks like.</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DIEZ AI initiative map</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45 min</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D1.S3 · Safe use: approved tools, authorised data, what never to share</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Sort scenario cards into allowed, allowed with conditions and not allowed. Draft the safe-use decision guide.</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Safe-use decision guide (draft)</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45 min</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D1.S4 · Demonstration: from context to verified output</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Catch an unsupported statement, missing condition and invented deadline in a Copilot response; check each claim against the source.</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Output verification checklist; observation notes</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75 min</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D1.S5 · Lab: context and instruction on a stewardship task</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Reconcile three conflicting customer definitions; use Copilot in Word to draft a data-dictionary entry and save the tested prompt pattern.</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AI working and prompt canvas; tested prompt pattern; draft data-dictionary entry</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60 min</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D1.S6 · Opportunity clinic: safe to adopt, human in the loop, or not yet</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Rate participant pain points for value, readiness and risk, then triage them into three honest categories.</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AI Opportunity Map with triage column</w:t>
            </w:r>
          </w:p>
        </w:tc>
      </w:tr>
    </w:tbl>
    <w:p>
      <w:pPr>
        <w:spacing w:after="20"/>
      </w:pPr>
    </w:p>
    <w:p>
      <w:pPr>
        <w:spacing w:before="40" w:after="120"/>
      </w:pPr>
      <w:r>
        <w:rPr>
          <w:rFonts w:ascii="Arial" w:hAnsi="Arial" w:eastAsia="Arial"/>
          <w:b w:val="0"/>
          <w:i/>
          <w:color w:val="666666"/>
          <w:sz w:val="16"/>
        </w:rPr>
        <w:t>Day 1 evidence: DIEZ AI initiative map, AI Opportunity Map, tested working pattern and safe-use decision guide.</w:t>
      </w:r>
    </w:p>
    <w:p>
      <w:pPr>
        <w:pStyle w:val="Heading2"/>
        <w:spacing w:before="180" w:after="120"/>
      </w:pPr>
      <w:r>
        <w:rPr>
          <w:rFonts w:ascii="Arial" w:hAnsi="Arial" w:eastAsia="Arial"/>
          <w:b/>
          <w:i w:val="0"/>
          <w:color w:val="0F6B78"/>
          <w:sz w:val="23"/>
        </w:rPr>
        <w:t>Day 2 — Use customer intelligence products responsibly</w:t>
      </w:r>
    </w:p>
    <w:p>
      <w:pPr>
        <w:spacing w:after="100" w:before="0" w:line="276" w:lineRule="auto"/>
      </w:pPr>
      <w:r>
        <w:rPr>
          <w:rFonts w:ascii="Arial" w:hAnsi="Arial" w:eastAsia="Arial"/>
          <w:b w:val="0"/>
          <w:i w:val="0"/>
          <w:color w:val="1F2937"/>
          <w:sz w:val="20"/>
        </w:rPr>
        <w:t>Day purpose: Practise AI-assisted stewardship work and assess data readiness on DIEZ’s products.</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123"/>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Time</w:t>
            </w:r>
          </w:p>
        </w:tc>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Session</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Learning and application</w:t>
            </w:r>
          </w:p>
        </w:tc>
        <w:tc>
          <w:tcPr>
            <w:tcW w:type="dxa" w:w="1757"/>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Participant output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20 min</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D2.S1 · Recap and challenge: a plausible but unsupported output</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Find the unsupported statement in a customer-feedback summary and correct it with evidence.</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Corrected output note</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60 min</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D2.S2 · Garbage in, garbage out: data readiness for the products you own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Assess one dataset against documentation, governance, access, completeness, consistency, currency and representation; compare differences across zones.</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AI and Data Readiness Checklist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60 min</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D2.S3 · Lab A: Customer Segmentation</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Profile a simulated list of 300 companies in Excel; find missing drivers, duplicates and stale records; reconcile three customer definitions and challenge two tier assignments.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Segment review and data-readiness notes</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75 min</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D2.S4 · Lab B: Customer Care — Sentiment Analysis and Churn Prediction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Label Arabic and English tickets; set a review threshold; decide what to do with churn alerts; find the customer flagged by a data error; verify a leadership-visit brief.</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Sentiment validation log; churn intervention control</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75 min</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D2.S5 · Lab C: Document Intelligence and Partner IQ</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Check OCR fields before portal submission; write stop-and-check rules; review ranked partner matches and identify profile fields that affect fairness.</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Extraction QA record and exception workflow; matching-criteria review</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45 min</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D2.S6 · Use-case prioritisation for the capstone</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Compare candidates on purpose, data readiness, risk and value; select an existing-product improvement or a new use case.</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Prioritised DIEZ use case</w:t>
            </w:r>
          </w:p>
        </w:tc>
      </w:tr>
    </w:tbl>
    <w:p>
      <w:pPr>
        <w:spacing w:after="20"/>
      </w:pPr>
    </w:p>
    <w:p>
      <w:pPr>
        <w:spacing w:before="40" w:after="120"/>
      </w:pPr>
      <w:r>
        <w:rPr>
          <w:rFonts w:ascii="Arial" w:hAnsi="Arial" w:eastAsia="Arial"/>
          <w:b w:val="0"/>
          <w:i/>
          <w:color w:val="666666"/>
          <w:sz w:val="16"/>
        </w:rPr>
        <w:t>Day 2 evidence: AI and Data Readiness Checklist, reviewed stewardship artefacts and prioritised DIEZ use case.</w:t>
      </w:r>
    </w:p>
    <w:p>
      <w:pPr>
        <w:pStyle w:val="Heading2"/>
        <w:spacing w:before="180" w:after="120"/>
      </w:pPr>
      <w:r>
        <w:rPr>
          <w:rFonts w:ascii="Arial" w:hAnsi="Arial" w:eastAsia="Arial"/>
          <w:b/>
          <w:i w:val="0"/>
          <w:color w:val="0F6B78"/>
          <w:sz w:val="23"/>
        </w:rPr>
        <w:t>Day 3 — Verify and govern</w:t>
      </w:r>
    </w:p>
    <w:p>
      <w:pPr>
        <w:spacing w:after="100" w:before="0" w:line="276" w:lineRule="auto"/>
      </w:pPr>
      <w:r>
        <w:rPr>
          <w:rFonts w:ascii="Arial" w:hAnsi="Arial" w:eastAsia="Arial"/>
          <w:b w:val="0"/>
          <w:i w:val="0"/>
          <w:color w:val="1F2937"/>
          <w:sz w:val="20"/>
        </w:rPr>
        <w:t>Day purpose: Make responsible-AI controls explicit inside DIEZ’s frameworks and prepare stewards for product sign-off.</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123"/>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Time</w:t>
            </w:r>
          </w:p>
        </w:tc>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Session</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Learning and application</w:t>
            </w:r>
          </w:p>
        </w:tc>
        <w:tc>
          <w:tcPr>
            <w:tcW w:type="dxa" w:w="1757"/>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Participant output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20 min</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D3.S1 · Recap: what makes an output trustworthy?</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Swap one Day 2 artefact and check the evidence and acceptance decision.</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Peer-review record</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60 min</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D3.S2 · Responsible AI inside DIEZ’s frameworks</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Apply privacy, confidentiality, security, bias, explainability, IP, over-reliance and evidence retention to a case; replace placeholders with DIEZ wording when provided.</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Risk prompt card</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75 min</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D3.S3 · Sign-off simulation: Digital asks you to sign off this product</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Question a release pack about purpose, data, testing, error rate, limitations, human review and monitoring. Decide: sign off, sign off with conditions or not yet.</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Initiative risk review; sign-off checklist</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60 min</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D3.S4 · Lab: Content Moderation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Turn a community-app policy excerpt into rules; examine borderline posts, false positives and false negatives; design sensitive-case escalation.</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Content-moderation risk review; escalation path</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45 min</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D3.S5 · Copilot control patterns</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Resolve four Outlook and Word cases involving confidential data, unknown document status, missing sources and tasks that should not be delegated.</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AI Safe Use Checklist</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60 min</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D3.S6 · Human review, decision rights and escalation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Map who checks what, when work stops, what evidence is kept and how concerns move from steward to business leadership and Digital.</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Human review workflow and escalation map; governed workflow outline</w:t>
            </w:r>
          </w:p>
        </w:tc>
      </w:tr>
    </w:tbl>
    <w:p>
      <w:pPr>
        <w:spacing w:after="20"/>
      </w:pPr>
    </w:p>
    <w:p>
      <w:pPr>
        <w:spacing w:before="40" w:after="120"/>
      </w:pPr>
      <w:r>
        <w:rPr>
          <w:rFonts w:ascii="Arial" w:hAnsi="Arial" w:eastAsia="Arial"/>
          <w:b w:val="0"/>
          <w:i/>
          <w:color w:val="666666"/>
          <w:sz w:val="16"/>
        </w:rPr>
        <w:t>Day 3 evidence: AI Safe Use Checklist, initiative risk review, human review workflow and escalation map.</w:t>
      </w:r>
    </w:p>
    <w:p>
      <w:pPr>
        <w:pStyle w:val="Heading2"/>
        <w:spacing w:before="180" w:after="120"/>
      </w:pPr>
      <w:r>
        <w:rPr>
          <w:rFonts w:ascii="Arial" w:hAnsi="Arial" w:eastAsia="Arial"/>
          <w:b/>
          <w:i w:val="0"/>
          <w:color w:val="0F6B78"/>
          <w:sz w:val="23"/>
        </w:rPr>
        <w:t>Day 4 — Implement and demonstrate</w:t>
      </w:r>
    </w:p>
    <w:p>
      <w:pPr>
        <w:spacing w:after="100" w:before="0" w:line="276" w:lineRule="auto"/>
      </w:pPr>
      <w:r>
        <w:rPr>
          <w:rFonts w:ascii="Arial" w:hAnsi="Arial" w:eastAsia="Arial"/>
          <w:b w:val="0"/>
          <w:i w:val="0"/>
          <w:color w:val="1F2937"/>
          <w:sz w:val="20"/>
        </w:rPr>
        <w:t>Day purpose: Integrate the learning into a governed workflow, demonstrate it and plan workplace application.</w:t>
      </w:r>
    </w:p>
    <w:tbl>
      <w:tblPr>
        <w:tblW w:type="auto" w:w="0"/>
        <w:jc w:val="center"/>
        <w:tblLayout w:type="fixed"/>
        <w:tblLook w:firstColumn="1" w:firstRow="1" w:lastColumn="0" w:lastRow="0" w:noHBand="0" w:noVBand="1" w:val="04A0"/>
      </w:tblPr>
      <w:tblGrid>
        <w:gridCol w:w="2541"/>
        <w:gridCol w:w="2541"/>
        <w:gridCol w:w="2541"/>
        <w:gridCol w:w="2541"/>
      </w:tblGrid>
      <w:tr>
        <w:tc>
          <w:tcPr>
            <w:tcW w:type="dxa" w:w="1123"/>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Time</w:t>
            </w:r>
          </w:p>
        </w:tc>
        <w:tc>
          <w:tcPr>
            <w:tcW w:type="dxa" w:w="223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Session</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Learning and application</w:t>
            </w:r>
          </w:p>
        </w:tc>
        <w:tc>
          <w:tcPr>
            <w:tcW w:type="dxa" w:w="1757"/>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5"/>
              </w:rPr>
              <w:t>Participant output</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30 min</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D4.S1 · Capstone briefing and assessment criteria</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Review the rubric, evidence expectations, peer-review protocol and presentation format.</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Capstone plan</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90 min</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D4.S2 · Workflow design studio</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Assemble the workflow from Day 1–3 artefacts: input → AI assistance → human review → decision → evidence → action → monitoring.</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Draft governed workflow</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CMI-set</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D4.S3 · Implementation, adoption and change</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CMI-led management and adoption content, using the draft governed workflow as the working case.</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Implementation canvas, if confirmed by CMI</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60 min</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D4.S4 · Peer review and refinement</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Challenge another team’s problem framing, data readiness, controls and value; revise the workflow and presentation.</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Peer feedback record</w:t>
            </w:r>
          </w:p>
        </w:tc>
      </w:tr>
      <w:tr>
        <w:tc>
          <w:tcPr>
            <w:tcW w:type="dxa" w:w="1123"/>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45 min</w:t>
            </w:r>
          </w:p>
        </w:tc>
        <w:tc>
          <w:tcPr>
            <w:tcW w:type="dxa" w:w="223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D4.S5 · Capstone demonstrations</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Present the governed workflow and explain the responsible-use decisions to the panel.</w:t>
            </w:r>
          </w:p>
        </w:tc>
        <w:tc>
          <w:tcPr>
            <w:tcW w:type="dxa" w:w="1757"/>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Assessed capstone</w:t>
            </w:r>
          </w:p>
        </w:tc>
      </w:tr>
      <w:tr>
        <w:tc>
          <w:tcPr>
            <w:tcW w:type="dxa" w:w="1123"/>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CMI-set</w:t>
            </w:r>
          </w:p>
        </w:tc>
        <w:tc>
          <w:tcPr>
            <w:tcW w:type="dxa" w:w="223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D4.S6 · Post-assessment, CMI evidence and 30-day application plan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Complete the scenario-based post-assessment and commit to a workplace application plan.</w:t>
            </w:r>
          </w:p>
        </w:tc>
        <w:tc>
          <w:tcPr>
            <w:tcW w:type="dxa" w:w="1757"/>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5"/>
              </w:rPr>
              <w:t>Post-assessment; CMI evidence portfolio; 30-day application plan</w:t>
            </w:r>
          </w:p>
        </w:tc>
      </w:tr>
    </w:tbl>
    <w:p>
      <w:pPr>
        <w:spacing w:after="20"/>
      </w:pPr>
    </w:p>
    <w:p>
      <w:pPr>
        <w:spacing w:before="40" w:after="120"/>
      </w:pPr>
      <w:r>
        <w:rPr>
          <w:rFonts w:ascii="Arial" w:hAnsi="Arial" w:eastAsia="Arial"/>
          <w:b w:val="0"/>
          <w:i/>
          <w:color w:val="666666"/>
          <w:sz w:val="16"/>
        </w:rPr>
        <w:t>Day 4 evidence: governed AI-assisted workflow, capstone assessment, post-assessment, CMI evidence portfolio and 30-day application plan.</w:t>
      </w:r>
    </w:p>
    <w:p>
      <w:pPr>
        <w:pStyle w:val="Heading1"/>
        <w:spacing w:before="280" w:after="120"/>
      </w:pPr>
      <w:r>
        <w:rPr>
          <w:rFonts w:ascii="Arial" w:hAnsi="Arial" w:eastAsia="Arial"/>
          <w:b/>
          <w:i w:val="0"/>
          <w:color w:val="17365D"/>
          <w:sz w:val="30"/>
        </w:rPr>
        <w:t>8. Capstone design</w:t>
      </w:r>
    </w:p>
    <w:p>
      <w:pPr>
        <w:spacing w:after="120" w:before="0" w:line="276" w:lineRule="auto"/>
      </w:pPr>
      <w:r>
        <w:rPr>
          <w:rFonts w:ascii="Arial" w:hAnsi="Arial" w:eastAsia="Arial"/>
          <w:b w:val="0"/>
          <w:i w:val="0"/>
          <w:color w:val="1F2937"/>
          <w:sz w:val="21"/>
        </w:rPr>
        <w:t>Each team carries one prioritised DIEZ use case into the capstone. It may be an improvement to an existing initiative or a new use case from the team’s own pain points. The result is a governed workflow, not a production build. Teams use their Day 1–3 artefacts and simulated material.</w:t>
      </w:r>
    </w:p>
    <w:tbl>
      <w:tblPr>
        <w:tblW w:type="auto" w:w="0"/>
        <w:jc w:val="center"/>
        <w:tblLayout w:type="fixed"/>
        <w:tblLook w:firstColumn="1" w:firstRow="1" w:lastColumn="0" w:lastRow="0" w:noHBand="0" w:noVBand="1" w:val="04A0"/>
      </w:tblPr>
      <w:tblGrid>
        <w:gridCol w:w="3389"/>
        <w:gridCol w:w="3389"/>
        <w:gridCol w:w="3389"/>
      </w:tblGrid>
      <w:tr>
        <w:tc>
          <w:tcPr>
            <w:tcW w:type="dxa" w:w="180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Capstone component</w:t>
            </w:r>
          </w:p>
        </w:tc>
        <w:tc>
          <w:tcPr>
            <w:tcW w:type="dxa" w:w="43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Required question</w:t>
            </w:r>
          </w:p>
        </w:tc>
        <w:tc>
          <w:tcPr>
            <w:tcW w:type="dxa" w:w="331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Minimum evidence</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Problem and value</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What user or process problem is being improved, and why is AI appropriate?</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Problem statement, affected users and value hypothesis.</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Product and purpose</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Which DIEZ product or new use case is in scope and what approved business purpose does it serve?</w:t>
            </w:r>
          </w:p>
        </w:tc>
        <w:tc>
          <w:tcPr>
            <w:tcW w:type="dxa" w:w="33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Product/workflow, users and purpose statement.</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Output and decision</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What output does the product produce, and what remains human-owned?</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Output interpretation and human-accountability statement.</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Data readiness</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Is the data documented, governed, accessible and fit for purpose?</w:t>
            </w:r>
          </w:p>
        </w:tc>
        <w:tc>
          <w:tcPr>
            <w:tcW w:type="dxa" w:w="33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Readiness checklist and gaps.</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Risk and controls</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What could go wrong, and what controls reduce the risk?</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Risk review, safe-use decisions and evidence rules.</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Human oversight</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Who reviews, decides, approves exceptions and escalates?</w:t>
            </w:r>
          </w:p>
        </w:tc>
        <w:tc>
          <w:tcPr>
            <w:tcW w:type="dxa" w:w="33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Decision-rights and escalation map.</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Workflow</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How does the work run end to end?</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Input → assistance → review → decision → evidence → action → monitoring.</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Implementation</w:t>
            </w:r>
          </w:p>
        </w:tc>
        <w:tc>
          <w:tcPr>
            <w:tcW w:type="dxa" w:w="43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What is needed to adopt this safely?</w:t>
            </w:r>
          </w:p>
        </w:tc>
        <w:tc>
          <w:tcPr>
            <w:tcW w:type="dxa" w:w="33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Dependencies, roles, change actions and 30-day experiment.</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Measures</w:t>
            </w:r>
          </w:p>
        </w:tc>
        <w:tc>
          <w:tcPr>
            <w:tcW w:type="dxa" w:w="43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How will value, quality, safety and adoption be monitored?</w:t>
            </w:r>
          </w:p>
        </w:tc>
        <w:tc>
          <w:tcPr>
            <w:tcW w:type="dxa" w:w="33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Leading and lagging indicators.</w:t>
            </w:r>
          </w:p>
        </w:tc>
      </w:tr>
    </w:tbl>
    <w:p>
      <w:pPr>
        <w:spacing w:after="20"/>
      </w:pPr>
    </w:p>
    <w:tbl>
      <w:tblPr>
        <w:tblW w:type="auto" w:w="0"/>
        <w:jc w:val="center"/>
        <w:tblLayout w:type="autofit"/>
        <w:tblLook w:firstColumn="1" w:firstRow="1" w:lastColumn="0" w:lastRow="0" w:noHBand="0" w:noVBand="1" w:val="04A0"/>
      </w:tblPr>
      <w:tblGrid>
        <w:gridCol w:w="10166"/>
      </w:tblGrid>
      <w:tr>
        <w:tc>
          <w:tcPr>
            <w:tcW w:type="dxa" w:w="10166"/>
            <w:shd w:fill="EEF5FB"/>
            <w:tcBorders>
              <w:top w:val="single" w:sz="4" w:color="EEF5FB"/>
              <w:left w:val="single" w:sz="18" w:color="2F75B5"/>
              <w:bottom w:val="single" w:sz="4" w:color="EEF5FB"/>
              <w:right w:val="single" w:sz="4" w:color="EEF5FB"/>
            </w:tcBorders>
            <w:tcMar>
              <w:top w:w="130" w:type="dxa"/>
              <w:start w:w="160" w:type="dxa"/>
              <w:bottom w:w="130" w:type="dxa"/>
              <w:end w:w="160" w:type="dxa"/>
            </w:tcMar>
          </w:tcPr>
          <w:p>
            <w:pPr>
              <w:spacing w:after="60"/>
            </w:pPr>
            <w:r/>
            <w:r>
              <w:rPr>
                <w:rFonts w:ascii="Arial" w:hAnsi="Arial" w:eastAsia="Arial"/>
                <w:b/>
                <w:i w:val="0"/>
                <w:color w:val="17365D"/>
                <w:sz w:val="21"/>
              </w:rPr>
              <w:t>Capstone choice</w:t>
            </w:r>
          </w:p>
          <w:p>
            <w:pPr>
              <w:spacing w:after="0" w:line="264" w:lineRule="auto"/>
            </w:pPr>
            <w:r>
              <w:rPr>
                <w:rFonts w:ascii="Arial" w:hAnsi="Arial" w:eastAsia="Arial"/>
                <w:b w:val="0"/>
                <w:i w:val="0"/>
                <w:color w:val="1F2937"/>
                <w:sz w:val="19"/>
              </w:rPr>
              <w:t>Teams may improve an existing DIEZ initiative or frame a new use case from a real pain point. In both cases, risk is weighed alongside value and every AI step has a named reviewer and evidence rule.</w:t>
            </w:r>
          </w:p>
        </w:tc>
      </w:tr>
    </w:tbl>
    <w:p>
      <w:pPr>
        <w:spacing w:after="0"/>
      </w:pPr>
    </w:p>
    <w:p>
      <w:pPr>
        <w:pStyle w:val="Heading1"/>
        <w:spacing w:before="280" w:after="120"/>
      </w:pPr>
      <w:r>
        <w:rPr>
          <w:rFonts w:ascii="Arial" w:hAnsi="Arial" w:eastAsia="Arial"/>
          <w:b/>
          <w:i w:val="0"/>
          <w:color w:val="17365D"/>
          <w:sz w:val="30"/>
        </w:rPr>
        <w:t>9. Assessment and evidence model</w:t>
      </w:r>
    </w:p>
    <w:p>
      <w:pPr>
        <w:spacing w:after="120" w:before="0" w:line="276" w:lineRule="auto"/>
      </w:pPr>
      <w:r>
        <w:rPr>
          <w:rFonts w:ascii="Arial" w:hAnsi="Arial" w:eastAsia="Arial"/>
          <w:b w:val="0"/>
          <w:i w:val="0"/>
          <w:color w:val="1F2937"/>
          <w:sz w:val="21"/>
        </w:rPr>
        <w:t>Assessment is developmental and evidence-based. The baseline is not a pass/fail gate; it calibrates the cohort and provides a before-and-after comparison.</w:t>
      </w:r>
    </w:p>
    <w:tbl>
      <w:tblPr>
        <w:tblW w:type="auto" w:w="0"/>
        <w:jc w:val="center"/>
        <w:tblLayout w:type="fixed"/>
        <w:tblLook w:firstColumn="1" w:firstRow="1" w:lastColumn="0" w:lastRow="0" w:noHBand="0" w:noVBand="1" w:val="04A0"/>
      </w:tblPr>
      <w:tblGrid>
        <w:gridCol w:w="3389"/>
        <w:gridCol w:w="3389"/>
        <w:gridCol w:w="3389"/>
      </w:tblGrid>
      <w:tr>
        <w:tc>
          <w:tcPr>
            <w:tcW w:type="dxa" w:w="136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Stage</w:t>
            </w:r>
          </w:p>
        </w:tc>
        <w:tc>
          <w:tcPr>
            <w:tcW w:type="dxa" w:w="367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Method</w:t>
            </w:r>
          </w:p>
        </w:tc>
        <w:tc>
          <w:tcPr>
            <w:tcW w:type="dxa" w:w="439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Evidence / purpose</w:t>
            </w:r>
          </w:p>
        </w:tc>
      </w:tr>
      <w:tr>
        <w:tc>
          <w:tcPr>
            <w:tcW w:type="dxa" w:w="13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Before</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30–45 minute diagnostic and confidence survey across the seven products.</w:t>
            </w:r>
          </w:p>
        </w:tc>
        <w:tc>
          <w:tcPr>
            <w:tcW w:type="dxa" w:w="439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Baseline of product familiarity, current use, limitations awareness, data-governance awareness and role responsibility. Include at least one scenario item per outcome O1–O6.</w:t>
            </w:r>
          </w:p>
        </w:tc>
      </w:tr>
      <w:tr>
        <w:tc>
          <w:tcPr>
            <w:tcW w:type="dxa" w:w="136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During</w:t>
            </w:r>
          </w:p>
        </w:tc>
        <w:tc>
          <w:tcPr>
            <w:tcW w:type="dxa" w:w="367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Facilitator observation, peer review, pulse checks, daily artefact checks and scenario challenges.</w:t>
            </w:r>
          </w:p>
        </w:tc>
        <w:tc>
          <w:tcPr>
            <w:tcW w:type="dxa" w:w="439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Checks conceptual understanding and practical stewardship decisions as they develop.</w:t>
            </w:r>
          </w:p>
        </w:tc>
      </w:tr>
      <w:tr>
        <w:tc>
          <w:tcPr>
            <w:tcW w:type="dxa" w:w="136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Final</w:t>
            </w:r>
          </w:p>
        </w:tc>
        <w:tc>
          <w:tcPr>
            <w:tcW w:type="dxa" w:w="367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Scenario-based post-assessment, capstone review and 30-day transfer plan.</w:t>
            </w:r>
          </w:p>
        </w:tc>
        <w:tc>
          <w:tcPr>
            <w:tcW w:type="dxa" w:w="439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Measures progress from baseline and confirms applied understanding. Include at least one scenario item per outcome O1–O6.</w:t>
            </w:r>
          </w:p>
        </w:tc>
      </w:tr>
      <w:tr>
        <w:tc>
          <w:tcPr>
            <w:tcW w:type="dxa" w:w="136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Optional follow-up</w:t>
            </w:r>
          </w:p>
        </w:tc>
        <w:tc>
          <w:tcPr>
            <w:tcW w:type="dxa" w:w="367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Manager check-in or community-of-practice session after 30 days.</w:t>
            </w:r>
          </w:p>
        </w:tc>
        <w:tc>
          <w:tcPr>
            <w:tcW w:type="dxa" w:w="439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Captures implementation progress, blockers and evidence of adoption.</w:t>
            </w:r>
          </w:p>
        </w:tc>
      </w:tr>
    </w:tbl>
    <w:p>
      <w:pPr>
        <w:spacing w:after="20"/>
      </w:pPr>
    </w:p>
    <w:p>
      <w:pPr>
        <w:pStyle w:val="Heading2"/>
        <w:spacing w:before="180" w:after="120"/>
      </w:pPr>
      <w:r>
        <w:rPr>
          <w:rFonts w:ascii="Arial" w:hAnsi="Arial" w:eastAsia="Arial"/>
          <w:b/>
          <w:i w:val="0"/>
          <w:color w:val="0F6B78"/>
          <w:sz w:val="23"/>
        </w:rPr>
        <w:t>Suggested capstone rubric (to confirm with DIEZ)</w:t>
      </w:r>
    </w:p>
    <w:tbl>
      <w:tblPr>
        <w:tblW w:type="auto" w:w="0"/>
        <w:jc w:val="center"/>
        <w:tblLayout w:type="fixed"/>
        <w:tblLook w:firstColumn="1" w:firstRow="1" w:lastColumn="0" w:lastRow="0" w:noHBand="0" w:noVBand="1" w:val="04A0"/>
      </w:tblPr>
      <w:tblGrid>
        <w:gridCol w:w="3389"/>
        <w:gridCol w:w="3389"/>
        <w:gridCol w:w="3389"/>
      </w:tblGrid>
      <w:tr>
        <w:tc>
          <w:tcPr>
            <w:tcW w:type="dxa" w:w="25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Criterion</w:t>
            </w:r>
          </w:p>
        </w:tc>
        <w:tc>
          <w:tcPr>
            <w:tcW w:type="dxa" w:w="115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Weight</w:t>
            </w:r>
          </w:p>
        </w:tc>
        <w:tc>
          <w:tcPr>
            <w:tcW w:type="dxa" w:w="576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What good looks like</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Problem framing and value</w:t>
            </w:r>
          </w:p>
        </w:tc>
        <w:tc>
          <w:tcPr>
            <w:tcW w:type="dxa" w:w="115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20%</w:t>
            </w:r>
          </w:p>
        </w:tc>
        <w:tc>
          <w:tcPr>
            <w:tcW w:type="dxa" w:w="576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Specific user or process problem; credible benefit; appropriate AI boundary.</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Data readiness</w:t>
            </w:r>
          </w:p>
        </w:tc>
        <w:tc>
          <w:tcPr>
            <w:tcW w:type="dxa" w:w="115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20%</w:t>
            </w:r>
          </w:p>
        </w:tc>
        <w:tc>
          <w:tcPr>
            <w:tcW w:type="dxa" w:w="576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Data documentation, access, quality and representation are assessed with gaps stated.</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Responsible controls</w:t>
            </w:r>
          </w:p>
        </w:tc>
        <w:tc>
          <w:tcPr>
            <w:tcW w:type="dxa" w:w="115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25%</w:t>
            </w:r>
          </w:p>
        </w:tc>
        <w:tc>
          <w:tcPr>
            <w:tcW w:type="dxa" w:w="576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Risks, privacy/security, human review, decision rights and escalation are explicit.</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Workflow and implementation</w:t>
            </w:r>
          </w:p>
        </w:tc>
        <w:tc>
          <w:tcPr>
            <w:tcW w:type="dxa" w:w="115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20%</w:t>
            </w:r>
          </w:p>
        </w:tc>
        <w:tc>
          <w:tcPr>
            <w:tcW w:type="dxa" w:w="576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The workflow is repeatable, feasible and supported by roles, dependencies and adoption actions.</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Measures and evidence</w:t>
            </w:r>
          </w:p>
        </w:tc>
        <w:tc>
          <w:tcPr>
            <w:tcW w:type="dxa" w:w="115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15%</w:t>
            </w:r>
          </w:p>
        </w:tc>
        <w:tc>
          <w:tcPr>
            <w:tcW w:type="dxa" w:w="576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Success measures cover value, quality, safety, adoption and audit evidence.</w:t>
            </w:r>
          </w:p>
        </w:tc>
      </w:tr>
    </w:tbl>
    <w:p>
      <w:pPr>
        <w:spacing w:after="20"/>
      </w:pPr>
    </w:p>
    <w:p>
      <w:r>
        <w:br w:type="page"/>
      </w:r>
    </w:p>
    <w:p>
      <w:pPr>
        <w:pStyle w:val="Heading1"/>
        <w:spacing w:before="280" w:after="120"/>
      </w:pPr>
      <w:r>
        <w:rPr>
          <w:rFonts w:ascii="Arial" w:hAnsi="Arial" w:eastAsia="Arial"/>
          <w:b/>
          <w:i w:val="0"/>
          <w:color w:val="17365D"/>
          <w:sz w:val="30"/>
        </w:rPr>
        <w:t>10. Learning resources and participant toolkit</w:t>
      </w:r>
    </w:p>
    <w:p>
      <w:pPr>
        <w:spacing w:after="120" w:before="0" w:line="276" w:lineRule="auto"/>
      </w:pPr>
      <w:r>
        <w:rPr>
          <w:rFonts w:ascii="Arial" w:hAnsi="Arial" w:eastAsia="Arial"/>
          <w:b w:val="0"/>
          <w:i w:val="0"/>
          <w:color w:val="1F2937"/>
          <w:sz w:val="21"/>
        </w:rPr>
        <w:t>The following resources are recommended for each participant. They are designed to support both the course and workplace transfer.</w:t>
      </w:r>
    </w:p>
    <w:p>
      <w:pPr>
        <w:pStyle w:val="ListBullet"/>
        <w:spacing w:after="60" w:line="264" w:lineRule="auto"/>
      </w:pPr>
      <w:r>
        <w:rPr>
          <w:rFonts w:ascii="Arial" w:hAnsi="Arial" w:eastAsia="Arial"/>
          <w:b w:val="0"/>
          <w:i w:val="0"/>
          <w:color w:val="1F2937"/>
          <w:sz w:val="20"/>
        </w:rPr>
        <w:t>Participant workbook with plain-language AI concepts, guided exercises, reflection prompts and role-specific application space.</w:t>
      </w:r>
    </w:p>
    <w:p>
      <w:pPr>
        <w:pStyle w:val="ListBullet"/>
        <w:spacing w:after="60" w:line="264" w:lineRule="auto"/>
      </w:pPr>
      <w:r>
        <w:rPr>
          <w:rFonts w:ascii="Arial" w:hAnsi="Arial" w:eastAsia="Arial"/>
          <w:b w:val="0"/>
          <w:i w:val="0"/>
          <w:color w:val="1F2937"/>
          <w:sz w:val="20"/>
        </w:rPr>
        <w:t>AI practice toolkit: prompt canvas, output-verification checklist, safe-use decision guide, risk-review template and human-oversight template.</w:t>
      </w:r>
    </w:p>
    <w:p>
      <w:pPr>
        <w:pStyle w:val="ListBullet"/>
        <w:spacing w:after="60" w:line="264" w:lineRule="auto"/>
      </w:pPr>
      <w:r>
        <w:rPr>
          <w:rFonts w:ascii="Arial" w:hAnsi="Arial" w:eastAsia="Arial"/>
          <w:b w:val="0"/>
          <w:i w:val="0"/>
          <w:color w:val="1F2937"/>
          <w:sz w:val="20"/>
        </w:rPr>
        <w:t>Stewardship scenario pack: simulated datasets, metadata records, issue logs, governance requests and DIEZ-relevant cases.</w:t>
      </w:r>
    </w:p>
    <w:p>
      <w:pPr>
        <w:pStyle w:val="ListBullet"/>
        <w:spacing w:after="60" w:line="264" w:lineRule="auto"/>
      </w:pPr>
      <w:r>
        <w:rPr>
          <w:rFonts w:ascii="Arial" w:hAnsi="Arial" w:eastAsia="Arial"/>
          <w:b w:val="0"/>
          <w:i w:val="0"/>
          <w:color w:val="1F2937"/>
          <w:sz w:val="20"/>
        </w:rPr>
        <w:t>Transfer pack: product quick-reference sheets, responsible-use checklist, glossary, capstone template, evidence guide and 30-day application plan.</w:t>
      </w:r>
    </w:p>
    <w:p>
      <w:pPr>
        <w:pStyle w:val="ListBullet"/>
        <w:spacing w:after="60" w:line="264" w:lineRule="auto"/>
      </w:pPr>
      <w:r>
        <w:rPr>
          <w:rFonts w:ascii="Arial" w:hAnsi="Arial" w:eastAsia="Arial"/>
          <w:b w:val="0"/>
          <w:i w:val="0"/>
          <w:color w:val="1F2937"/>
          <w:sz w:val="20"/>
        </w:rPr>
        <w:t>Facilitator pack: session plans, worked examples, challenge cards, observation checklist, assessment materials and marking guidance.</w:t>
      </w:r>
    </w:p>
    <w:p>
      <w:pPr>
        <w:pStyle w:val="Heading1"/>
        <w:spacing w:before="280" w:after="120"/>
      </w:pPr>
      <w:r>
        <w:rPr>
          <w:rFonts w:ascii="Arial" w:hAnsi="Arial" w:eastAsia="Arial"/>
          <w:b/>
          <w:i w:val="0"/>
          <w:color w:val="17365D"/>
          <w:sz w:val="30"/>
        </w:rPr>
        <w:t>11. Delivery model and roles</w:t>
      </w:r>
    </w:p>
    <w:tbl>
      <w:tblPr>
        <w:tblW w:type="auto" w:w="0"/>
        <w:jc w:val="center"/>
        <w:tblLayout w:type="fixed"/>
        <w:tblLook w:firstColumn="1" w:firstRow="1" w:lastColumn="0" w:lastRow="0" w:noHBand="0" w:noVBand="1" w:val="04A0"/>
      </w:tblPr>
      <w:tblGrid>
        <w:gridCol w:w="5083"/>
        <w:gridCol w:w="5083"/>
      </w:tblGrid>
      <w:tr>
        <w:tc>
          <w:tcPr>
            <w:tcW w:type="dxa" w:w="252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Role</w:t>
            </w:r>
          </w:p>
        </w:tc>
        <w:tc>
          <w:tcPr>
            <w:tcW w:type="dxa" w:w="6912"/>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Primary responsibilities</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sponsor / programme owner</w:t>
            </w:r>
          </w:p>
        </w:tc>
        <w:tc>
          <w:tcPr>
            <w:tcW w:type="dxa" w:w="69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Confirm outcomes, cohort profile, product owners, governance constraints, reviewer panel and success measures.</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Digital</w:t>
            </w:r>
          </w:p>
        </w:tc>
        <w:tc>
          <w:tcPr>
            <w:tcW w:type="dxa" w:w="69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Confirm approved-tool conditions; provide or validate product screenshots, release information, technical facts and sign-off expectations.</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data-governance team</w:t>
            </w:r>
          </w:p>
        </w:tc>
        <w:tc>
          <w:tcPr>
            <w:tcW w:type="dxa" w:w="69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Provide the data-governance and AI-governance extracts; replace placeholders with DIEZ wording; confirm role and classification language.</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Wellington / CMI</w:t>
            </w:r>
          </w:p>
        </w:tc>
        <w:tc>
          <w:tcPr>
            <w:tcW w:type="dxa" w:w="69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Own programme management, Arabic co-facilitation, CMI management/adoption content and CMI evidence requirements.</w:t>
            </w:r>
          </w:p>
        </w:tc>
      </w:tr>
      <w:tr>
        <w:tc>
          <w:tcPr>
            <w:tcW w:type="dxa" w:w="252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Softengi / specialist faculty</w:t>
            </w:r>
          </w:p>
        </w:tc>
        <w:tc>
          <w:tcPr>
            <w:tcW w:type="dxa" w:w="6912"/>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Lead product labs, provide scenario-based assessment items, coach the capstone and maintain the evidence trail.</w:t>
            </w:r>
          </w:p>
        </w:tc>
      </w:tr>
      <w:tr>
        <w:tc>
          <w:tcPr>
            <w:tcW w:type="dxa" w:w="252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Participants</w:t>
            </w:r>
          </w:p>
        </w:tc>
        <w:tc>
          <w:tcPr>
            <w:tcW w:type="dxa" w:w="6912"/>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Work in function teams, use simulated data only, challenge outputs, document decisions and complete the capstone.</w:t>
            </w:r>
          </w:p>
        </w:tc>
      </w:tr>
    </w:tbl>
    <w:p>
      <w:pPr>
        <w:spacing w:after="20"/>
      </w:pPr>
    </w:p>
    <w:p>
      <w:pPr>
        <w:spacing w:after="120" w:before="0" w:line="276" w:lineRule="auto"/>
      </w:pPr>
      <w:r>
        <w:rPr>
          <w:rFonts w:ascii="Arial" w:hAnsi="Arial" w:eastAsia="Arial"/>
          <w:b w:val="0"/>
          <w:i w:val="0"/>
          <w:color w:val="1F2937"/>
          <w:sz w:val="21"/>
        </w:rPr>
        <w:t>Bilingual delivery: Arabic-speaking subject-matter capability can support explanations, terminology, exercises, risk concepts, capstone work and participant questions while maintaining one consistent programme standard.</w:t>
      </w:r>
    </w:p>
    <w:p>
      <w:pPr>
        <w:spacing w:after="120" w:before="0" w:line="276" w:lineRule="auto"/>
      </w:pPr>
      <w:r>
        <w:rPr>
          <w:rFonts w:ascii="Arial" w:hAnsi="Arial" w:eastAsia="Arial"/>
          <w:b w:val="0"/>
          <w:i w:val="0"/>
          <w:color w:val="1F2937"/>
          <w:sz w:val="21"/>
        </w:rPr>
        <w:t>Cohort capacity: two parallel cohorts may be supported subject to scheduling and faculty confirmation, with dedicated facilitation and standardised assessment.</w:t>
      </w:r>
    </w:p>
    <w:p>
      <w:pPr>
        <w:pStyle w:val="Heading1"/>
        <w:spacing w:before="280" w:after="120"/>
      </w:pPr>
      <w:r>
        <w:rPr>
          <w:rFonts w:ascii="Arial" w:hAnsi="Arial" w:eastAsia="Arial"/>
          <w:b/>
          <w:i w:val="0"/>
          <w:color w:val="17365D"/>
          <w:sz w:val="30"/>
        </w:rPr>
        <w:t>12. Mobilisation and delivery readiness</w:t>
      </w:r>
    </w:p>
    <w:tbl>
      <w:tblPr>
        <w:tblW w:type="auto" w:w="0"/>
        <w:jc w:val="center"/>
        <w:tblLayout w:type="fixed"/>
        <w:tblLook w:firstColumn="1" w:firstRow="1" w:lastColumn="0" w:lastRow="0" w:noHBand="0" w:noVBand="1" w:val="04A0"/>
      </w:tblPr>
      <w:tblGrid>
        <w:gridCol w:w="3389"/>
        <w:gridCol w:w="3389"/>
        <w:gridCol w:w="3389"/>
      </w:tblGrid>
      <w:tr>
        <w:tc>
          <w:tcPr>
            <w:tcW w:type="dxa" w:w="1800"/>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Timing</w:t>
            </w:r>
          </w:p>
        </w:tc>
        <w:tc>
          <w:tcPr>
            <w:tcW w:type="dxa" w:w="604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Action</w:t>
            </w:r>
          </w:p>
        </w:tc>
        <w:tc>
          <w:tcPr>
            <w:tcW w:type="dxa" w:w="1584"/>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Owner / decision</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T−4 to T−3 weeks</w:t>
            </w:r>
          </w:p>
        </w:tc>
        <w:tc>
          <w:tcPr>
            <w:tcW w:type="dxa" w:w="604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Confirm cohort of approximately 20, cross-zone function teams, dates, venue, Microsoft 365 Copilot access, product owners, demonstration material and data-handling rules.</w:t>
            </w:r>
          </w:p>
        </w:tc>
        <w:tc>
          <w:tcPr>
            <w:tcW w:type="dxa" w:w="158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 Wellington</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T−3 to T−2 weeks</w:t>
            </w:r>
          </w:p>
        </w:tc>
        <w:tc>
          <w:tcPr>
            <w:tcW w:type="dxa" w:w="604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Provide governance-framework extracts, acceptable-use guidance, data classifications, product screenshots/user-guide pages and current exception/sign-off routes.</w:t>
            </w:r>
          </w:p>
        </w:tc>
        <w:tc>
          <w:tcPr>
            <w:tcW w:type="dxa" w:w="158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Digital + governance owners</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T−2 to T−1 weeks</w:t>
            </w:r>
          </w:p>
        </w:tc>
        <w:tc>
          <w:tcPr>
            <w:tcW w:type="dxa" w:w="604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Configure diagnostic, finalise simulated material in the shared DIEZ OneDrive folder, align assessment rubric, and collect non-sensitive participant pain points.</w:t>
            </w:r>
          </w:p>
        </w:tc>
        <w:tc>
          <w:tcPr>
            <w:tcW w:type="dxa" w:w="158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Softengi + Wellington</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T−1 week</w:t>
            </w:r>
          </w:p>
        </w:tc>
        <w:tc>
          <w:tcPr>
            <w:tcW w:type="dxa" w:w="604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Review baseline themes, adjust emphasis, test DIEZ laptops and Copilot, confirm faculty and Arabic support.</w:t>
            </w:r>
          </w:p>
        </w:tc>
        <w:tc>
          <w:tcPr>
            <w:tcW w:type="dxa" w:w="158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Wellington + DIEZ</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During course</w:t>
            </w:r>
          </w:p>
        </w:tc>
        <w:tc>
          <w:tcPr>
            <w:tcW w:type="dxa" w:w="604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Deliver sessions, capture daily evidence, resolve tool/access issues and conduct pulse checks.</w:t>
            </w:r>
          </w:p>
        </w:tc>
        <w:tc>
          <w:tcPr>
            <w:tcW w:type="dxa" w:w="158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Provider + DIEZ support</w:t>
            </w:r>
          </w:p>
        </w:tc>
      </w:tr>
      <w:tr>
        <w:tc>
          <w:tcPr>
            <w:tcW w:type="dxa" w:w="1800"/>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Within 5 working days</w:t>
            </w:r>
          </w:p>
        </w:tc>
        <w:tc>
          <w:tcPr>
            <w:tcW w:type="dxa" w:w="604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Issue consolidated completion, assessment and feedback report; provide participant evidence pack.</w:t>
            </w:r>
          </w:p>
        </w:tc>
        <w:tc>
          <w:tcPr>
            <w:tcW w:type="dxa" w:w="158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Provider</w:t>
            </w:r>
          </w:p>
        </w:tc>
      </w:tr>
      <w:tr>
        <w:tc>
          <w:tcPr>
            <w:tcW w:type="dxa" w:w="1800"/>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At 30 days</w:t>
            </w:r>
          </w:p>
        </w:tc>
        <w:tc>
          <w:tcPr>
            <w:tcW w:type="dxa" w:w="604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Run optional manager or community-of-practice check-in and capture application evidence.</w:t>
            </w:r>
          </w:p>
        </w:tc>
        <w:tc>
          <w:tcPr>
            <w:tcW w:type="dxa" w:w="158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DIEZ + provider</w:t>
            </w:r>
          </w:p>
        </w:tc>
      </w:tr>
    </w:tbl>
    <w:p>
      <w:pPr>
        <w:spacing w:after="20"/>
      </w:pPr>
    </w:p>
    <w:p>
      <w:pPr>
        <w:pStyle w:val="Heading1"/>
        <w:spacing w:before="280" w:after="120"/>
      </w:pPr>
      <w:r>
        <w:rPr>
          <w:rFonts w:ascii="Arial" w:hAnsi="Arial" w:eastAsia="Arial"/>
          <w:b/>
          <w:i w:val="0"/>
          <w:color w:val="17365D"/>
          <w:sz w:val="30"/>
        </w:rPr>
        <w:t>13. Assumptions and decisions to confirm</w:t>
      </w:r>
    </w:p>
    <w:p>
      <w:pPr>
        <w:pStyle w:val="ListBullet"/>
        <w:spacing w:after="60" w:line="264" w:lineRule="auto"/>
      </w:pPr>
      <w:r>
        <w:rPr>
          <w:rFonts w:ascii="Arial" w:hAnsi="Arial" w:eastAsia="Arial"/>
          <w:b w:val="0"/>
          <w:i w:val="0"/>
          <w:color w:val="1F2937"/>
          <w:sz w:val="20"/>
        </w:rPr>
        <w:t>Final cohort size, participant roles and any requirements for separate manager, steward or business-owner cohorts.</w:t>
      </w:r>
    </w:p>
    <w:p>
      <w:pPr>
        <w:pStyle w:val="ListBullet"/>
        <w:spacing w:after="60" w:line="264" w:lineRule="auto"/>
      </w:pPr>
      <w:r>
        <w:rPr>
          <w:rFonts w:ascii="Arial" w:hAnsi="Arial" w:eastAsia="Arial"/>
          <w:b w:val="0"/>
          <w:i w:val="0"/>
          <w:color w:val="1F2937"/>
          <w:sz w:val="20"/>
        </w:rPr>
        <w:t>Whether delivery is four consecutive days or two two-day blocks within two weeks.</w:t>
      </w:r>
    </w:p>
    <w:p>
      <w:pPr>
        <w:pStyle w:val="ListBullet"/>
        <w:spacing w:after="60" w:line="264" w:lineRule="auto"/>
      </w:pPr>
      <w:r>
        <w:rPr>
          <w:rFonts w:ascii="Arial" w:hAnsi="Arial" w:eastAsia="Arial"/>
          <w:b w:val="0"/>
          <w:i w:val="0"/>
          <w:color w:val="1F2937"/>
          <w:sz w:val="20"/>
        </w:rPr>
        <w:t>Microsoft 365 Copilot licences, identity/access arrangements and approved-use conditions.</w:t>
      </w:r>
    </w:p>
    <w:p>
      <w:pPr>
        <w:pStyle w:val="ListBullet"/>
        <w:spacing w:after="60" w:line="264" w:lineRule="auto"/>
      </w:pPr>
      <w:r>
        <w:rPr>
          <w:rFonts w:ascii="Arial" w:hAnsi="Arial" w:eastAsia="Arial"/>
          <w:b w:val="0"/>
          <w:i w:val="0"/>
          <w:color w:val="1F2937"/>
          <w:sz w:val="20"/>
        </w:rPr>
        <w:t>Product owners and operational SMEs for all seven products, including confirmation of the owners currently not stated.</w:t>
      </w:r>
    </w:p>
    <w:p>
      <w:pPr>
        <w:pStyle w:val="ListBullet"/>
        <w:spacing w:after="60" w:line="264" w:lineRule="auto"/>
      </w:pPr>
      <w:r>
        <w:rPr>
          <w:rFonts w:ascii="Arial" w:hAnsi="Arial" w:eastAsia="Arial"/>
          <w:b w:val="0"/>
          <w:i w:val="0"/>
          <w:color w:val="1F2937"/>
          <w:sz w:val="20"/>
        </w:rPr>
        <w:t>DIEZ’s data-governance and AI-governance framework extracts; the course should replace placeholders when these arrive.</w:t>
      </w:r>
    </w:p>
    <w:p>
      <w:pPr>
        <w:pStyle w:val="ListBullet"/>
        <w:spacing w:after="60" w:line="264" w:lineRule="auto"/>
      </w:pPr>
      <w:r>
        <w:rPr>
          <w:rFonts w:ascii="Arial" w:hAnsi="Arial" w:eastAsia="Arial"/>
          <w:b w:val="0"/>
          <w:i w:val="0"/>
          <w:color w:val="1F2937"/>
          <w:sz w:val="20"/>
        </w:rPr>
        <w:t>The actual technology used for Content Moderation and Partner IQ; both products remain in scope while their technical details await DIEZ confirmation.</w:t>
      </w:r>
    </w:p>
    <w:p>
      <w:pPr>
        <w:pStyle w:val="ListBullet"/>
        <w:spacing w:after="60" w:line="264" w:lineRule="auto"/>
      </w:pPr>
      <w:r>
        <w:rPr>
          <w:rFonts w:ascii="Arial" w:hAnsi="Arial" w:eastAsia="Arial"/>
          <w:b w:val="0"/>
          <w:i w:val="0"/>
          <w:color w:val="1F2937"/>
          <w:sz w:val="20"/>
        </w:rPr>
        <w:t>The exact 11–12 Customer Segmentation drivers, tier definitions, refresh frequency and Salesforce display/override process.</w:t>
      </w:r>
    </w:p>
    <w:p>
      <w:pPr>
        <w:pStyle w:val="ListBullet"/>
        <w:spacing w:after="60" w:line="264" w:lineRule="auto"/>
      </w:pPr>
      <w:r>
        <w:rPr>
          <w:rFonts w:ascii="Arial" w:hAnsi="Arial" w:eastAsia="Arial"/>
          <w:b w:val="0"/>
          <w:i w:val="0"/>
          <w:color w:val="1F2937"/>
          <w:sz w:val="20"/>
        </w:rPr>
        <w:t>Sentiment and churn confidence/alert thresholds, model refresh and monitoring, and authorised intervention rules.</w:t>
      </w:r>
    </w:p>
    <w:p>
      <w:pPr>
        <w:pStyle w:val="ListBullet"/>
        <w:spacing w:after="60" w:line="264" w:lineRule="auto"/>
      </w:pPr>
      <w:r>
        <w:rPr>
          <w:rFonts w:ascii="Arial" w:hAnsi="Arial" w:eastAsia="Arial"/>
          <w:b w:val="0"/>
          <w:i w:val="0"/>
          <w:color w:val="1F2937"/>
          <w:sz w:val="20"/>
        </w:rPr>
        <w:t>Document Intelligence field-confidence thresholds, source-evidence retention, portal validation and exception ownership.</w:t>
      </w:r>
    </w:p>
    <w:p>
      <w:pPr>
        <w:pStyle w:val="ListBullet"/>
        <w:spacing w:after="60" w:line="264" w:lineRule="auto"/>
      </w:pPr>
      <w:r>
        <w:rPr>
          <w:rFonts w:ascii="Arial" w:hAnsi="Arial" w:eastAsia="Arial"/>
          <w:b w:val="0"/>
          <w:i w:val="0"/>
          <w:color w:val="1F2937"/>
          <w:sz w:val="20"/>
        </w:rPr>
        <w:t>DIEZ’s product approval/release procedure and escalation route; until supplied, the sign-off checklist is a neutral training placeholder.</w:t>
      </w:r>
    </w:p>
    <w:p>
      <w:pPr>
        <w:pStyle w:val="ListBullet"/>
        <w:spacing w:after="60" w:line="264" w:lineRule="auto"/>
      </w:pPr>
      <w:r>
        <w:rPr>
          <w:rFonts w:ascii="Arial" w:hAnsi="Arial" w:eastAsia="Arial"/>
          <w:b w:val="0"/>
          <w:i w:val="0"/>
          <w:color w:val="1F2937"/>
          <w:sz w:val="20"/>
        </w:rPr>
        <w:t>Whether Arabic support is required in every room, for selected sessions, or on an on-call basis.</w:t>
      </w:r>
    </w:p>
    <w:p>
      <w:pPr>
        <w:pStyle w:val="ListBullet"/>
        <w:spacing w:after="60" w:line="264" w:lineRule="auto"/>
      </w:pPr>
      <w:r>
        <w:rPr>
          <w:rFonts w:ascii="Arial" w:hAnsi="Arial" w:eastAsia="Arial"/>
          <w:b w:val="0"/>
          <w:i w:val="0"/>
          <w:color w:val="1F2937"/>
          <w:sz w:val="20"/>
        </w:rPr>
        <w:t>Whether external accreditation or another measurement platform will be used for onboarding, assessment, progress and consolidated reporting.</w:t>
      </w:r>
    </w:p>
    <w:p>
      <w:pPr>
        <w:pStyle w:val="ListBullet"/>
        <w:spacing w:after="60" w:line="264" w:lineRule="auto"/>
      </w:pPr>
      <w:r>
        <w:rPr>
          <w:rFonts w:ascii="Arial" w:hAnsi="Arial" w:eastAsia="Arial"/>
          <w:b w:val="0"/>
          <w:i w:val="0"/>
          <w:color w:val="1F2937"/>
          <w:sz w:val="20"/>
        </w:rPr>
        <w:t>Which DIEZ legal, data-protection, information-security and data-governance owners will sign off scenarios, data classifications, approved tools and control language before delivery.</w:t>
      </w:r>
    </w:p>
    <w:p>
      <w:pPr>
        <w:pStyle w:val="ListBullet"/>
        <w:spacing w:after="60" w:line="264" w:lineRule="auto"/>
      </w:pPr>
      <w:r>
        <w:rPr>
          <w:rFonts w:ascii="Arial" w:hAnsi="Arial" w:eastAsia="Arial"/>
          <w:b w:val="0"/>
          <w:i w:val="0"/>
          <w:color w:val="1F2937"/>
          <w:sz w:val="20"/>
        </w:rPr>
        <w:t>Whether any sector-specific, free-zone, contractual or cross-border data requirements apply to the selected use cases.</w:t>
      </w:r>
    </w:p>
    <w:p>
      <w:pPr>
        <w:pStyle w:val="ListBullet"/>
        <w:spacing w:after="60" w:line="264" w:lineRule="auto"/>
      </w:pPr>
      <w:r>
        <w:rPr>
          <w:rFonts w:ascii="Arial" w:hAnsi="Arial" w:eastAsia="Arial"/>
          <w:b w:val="0"/>
          <w:i w:val="0"/>
          <w:color w:val="1F2937"/>
          <w:sz w:val="20"/>
        </w:rPr>
        <w:t>Success measures beyond attendance, such as correct product-output interpretation, quality of controls, exception-handling readiness and 30-day responsible-use evidence.</w:t>
      </w:r>
    </w:p>
    <w:p>
      <w:pPr>
        <w:pStyle w:val="Heading1"/>
        <w:spacing w:before="280" w:after="120"/>
      </w:pPr>
      <w:r>
        <w:rPr>
          <w:rFonts w:ascii="Arial" w:hAnsi="Arial" w:eastAsia="Arial"/>
          <w:b/>
          <w:i w:val="0"/>
          <w:color w:val="17365D"/>
          <w:sz w:val="30"/>
        </w:rPr>
        <w:t>14. Risks and mitigations</w:t>
      </w:r>
    </w:p>
    <w:tbl>
      <w:tblPr>
        <w:tblW w:type="auto" w:w="0"/>
        <w:jc w:val="center"/>
        <w:tblLayout w:type="fixed"/>
        <w:tblLook w:firstColumn="1" w:firstRow="1" w:lastColumn="0" w:lastRow="0" w:noHBand="0" w:noVBand="1" w:val="04A0"/>
      </w:tblPr>
      <w:tblGrid>
        <w:gridCol w:w="5083"/>
        <w:gridCol w:w="5083"/>
      </w:tblGrid>
      <w:tr>
        <w:tc>
          <w:tcPr>
            <w:tcW w:type="dxa" w:w="3528"/>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Risk</w:t>
            </w:r>
          </w:p>
        </w:tc>
        <w:tc>
          <w:tcPr>
            <w:tcW w:type="dxa" w:w="5904"/>
            <w:vAlign w:val="center"/>
            <w:tcMar>
              <w:top w:w="90" w:type="dxa"/>
              <w:start w:w="100" w:type="dxa"/>
              <w:bottom w:w="90" w:type="dxa"/>
              <w:end w:w="100" w:type="dxa"/>
            </w:tcMar>
            <w:shd w:fill="17365D"/>
            <w:tcBorders>
              <w:top w:val="single" w:sz="6" w:color="17365D"/>
              <w:left w:val="single" w:sz="4" w:color="FFFFFF"/>
              <w:bottom w:val="single" w:sz="6" w:color="17365D"/>
              <w:right w:val="single" w:sz="4" w:color="FFFFFF"/>
            </w:tcBorders>
          </w:tcPr>
          <w:p>
            <w:pPr>
              <w:spacing w:after="0" w:line="252" w:lineRule="auto"/>
            </w:pPr>
            <w:r/>
            <w:r>
              <w:rPr>
                <w:rFonts w:ascii="Arial" w:hAnsi="Arial" w:eastAsia="Arial"/>
                <w:b/>
                <w:color w:val="FFFFFF"/>
                <w:sz w:val="17"/>
              </w:rPr>
              <w:t>Mitigation in this plan</w:t>
            </w:r>
          </w:p>
        </w:tc>
      </w:tr>
      <w:tr>
        <w:tc>
          <w:tcPr>
            <w:tcW w:type="dxa" w:w="352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Participants use sensitive data in an unapproved tool.</w:t>
            </w:r>
          </w:p>
        </w:tc>
        <w:tc>
          <w:tcPr>
            <w:tcW w:type="dxa" w:w="590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Use safe, authorised or simulated information; define tool and data rules during mobilisation; include a safe-use decision guide.</w:t>
            </w:r>
          </w:p>
        </w:tc>
      </w:tr>
      <w:tr>
        <w:tc>
          <w:tcPr>
            <w:tcW w:type="dxa" w:w="352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Course becomes tool training rather than capability building.</w:t>
            </w:r>
          </w:p>
        </w:tc>
        <w:tc>
          <w:tcPr>
            <w:tcW w:type="dxa" w:w="590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Use Microsoft 365 Copilot as the controlled practice environment, but assess judgement, verification, sign-off and evidence rather than button knowledge.</w:t>
            </w:r>
          </w:p>
        </w:tc>
      </w:tr>
      <w:tr>
        <w:tc>
          <w:tcPr>
            <w:tcW w:type="dxa" w:w="352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Outputs are accepted without verification.</w:t>
            </w:r>
          </w:p>
        </w:tc>
        <w:tc>
          <w:tcPr>
            <w:tcW w:type="dxa" w:w="590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Make review and evidence capture mandatory in every lab; assess accept/revise/reject/escalate decisions.</w:t>
            </w:r>
          </w:p>
        </w:tc>
      </w:tr>
      <w:tr>
        <w:tc>
          <w:tcPr>
            <w:tcW w:type="dxa" w:w="352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Product details are assumed or outdated.</w:t>
            </w:r>
          </w:p>
        </w:tc>
        <w:tc>
          <w:tcPr>
            <w:tcW w:type="dxa" w:w="590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Validate the product fact sheets with named owners before delivery; keep unknown owners and unconfirmed technologies clearly labelled while still teaching the responsible decisions around those products.</w:t>
            </w:r>
          </w:p>
        </w:tc>
      </w:tr>
      <w:tr>
        <w:tc>
          <w:tcPr>
            <w:tcW w:type="dxa" w:w="352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Learners treat a product output as a final decision.</w:t>
            </w:r>
          </w:p>
        </w:tc>
        <w:tc>
          <w:tcPr>
            <w:tcW w:type="dxa" w:w="590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Assess interpretation of tiers, confidence scores, alerts, rankings and extracted fields; require human decision rules and evidence.</w:t>
            </w:r>
          </w:p>
        </w:tc>
      </w:tr>
      <w:tr>
        <w:tc>
          <w:tcPr>
            <w:tcW w:type="dxa" w:w="352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Scenarios are not relevant to DIEZ operations.</w:t>
            </w:r>
          </w:p>
        </w:tc>
        <w:tc>
          <w:tcPr>
            <w:tcW w:type="dxa" w:w="590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Build labs around the actual product workflows: Salesforce tiers, customer-care touchpoints, churn alerts, community moderation, zone matching, M365 Copilot and visa-document extraction.</w:t>
            </w:r>
          </w:p>
        </w:tc>
      </w:tr>
      <w:tr>
        <w:tc>
          <w:tcPr>
            <w:tcW w:type="dxa" w:w="3528"/>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Learning does not transfer to workplace practice.</w:t>
            </w:r>
          </w:p>
        </w:tc>
        <w:tc>
          <w:tcPr>
            <w:tcW w:type="dxa" w:w="5904"/>
            <w:vAlign w:val="center"/>
            <w:tcMar>
              <w:top w:w="90" w:type="dxa"/>
              <w:start w:w="100" w:type="dxa"/>
              <w:bottom w:w="90" w:type="dxa"/>
              <w:end w:w="100" w:type="dxa"/>
            </w:tcMar>
            <w:shd w:fill="FFFFFF"/>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Finish with a governed workflow, a 30-day application plan and an optional manager/community follow-up.</w:t>
            </w:r>
          </w:p>
        </w:tc>
      </w:tr>
      <w:tr>
        <w:tc>
          <w:tcPr>
            <w:tcW w:type="dxa" w:w="3528"/>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Bilingual support fragments the course experience.</w:t>
            </w:r>
          </w:p>
        </w:tc>
        <w:tc>
          <w:tcPr>
            <w:tcW w:type="dxa" w:w="5904"/>
            <w:vAlign w:val="center"/>
            <w:tcMar>
              <w:top w:w="90" w:type="dxa"/>
              <w:start w:w="100" w:type="dxa"/>
              <w:bottom w:w="90" w:type="dxa"/>
              <w:end w:w="100" w:type="dxa"/>
            </w:tcMar>
            <w:shd w:fill="F2F4F7"/>
            <w:tcBorders>
              <w:top w:val="single" w:sz="3" w:color="D9DEE5"/>
              <w:left w:val="single" w:sz="3" w:color="D9DEE5"/>
              <w:bottom w:val="single" w:sz="3" w:color="D9DEE5"/>
              <w:right w:val="single" w:sz="3" w:color="D9DEE5"/>
            </w:tcBorders>
          </w:tcPr>
          <w:p>
            <w:pPr>
              <w:spacing w:after="0" w:line="252" w:lineRule="auto"/>
            </w:pPr>
            <w:r/>
            <w:r>
              <w:rPr>
                <w:rFonts w:ascii="Arial" w:hAnsi="Arial" w:eastAsia="Arial"/>
                <w:b w:val="0"/>
                <w:color w:val="1F2937"/>
                <w:sz w:val="17"/>
              </w:rPr>
              <w:t>Use one shared curriculum and assessment standard with Arabic-speaking support integrated into facilitation.</w:t>
            </w:r>
          </w:p>
        </w:tc>
      </w:tr>
    </w:tbl>
    <w:p>
      <w:pPr>
        <w:spacing w:after="20"/>
      </w:pPr>
    </w:p>
    <w:p>
      <w:pPr>
        <w:pStyle w:val="Heading1"/>
        <w:spacing w:before="280" w:after="120"/>
      </w:pPr>
      <w:r>
        <w:rPr>
          <w:rFonts w:ascii="Arial" w:hAnsi="Arial" w:eastAsia="Arial"/>
          <w:b/>
          <w:i w:val="0"/>
          <w:color w:val="17365D"/>
          <w:sz w:val="30"/>
        </w:rPr>
        <w:t>15. Recommended decision</w:t>
      </w:r>
    </w:p>
    <w:p>
      <w:pPr>
        <w:spacing w:after="120" w:before="0" w:line="276" w:lineRule="auto"/>
      </w:pPr>
      <w:r>
        <w:rPr>
          <w:rFonts w:ascii="Arial" w:hAnsi="Arial" w:eastAsia="Arial"/>
          <w:b w:val="0"/>
          <w:i w:val="0"/>
          <w:color w:val="1F2937"/>
          <w:sz w:val="21"/>
        </w:rPr>
        <w:t>Proceed with this delivery-authored structure as the baseline for client review. Before the first delivery, DIEZ should provide the governance-framework extracts, confirm product owners and pending product details, validate the simulated materials, and approve the sign-off and escalation language. The programme can then be delivered without changing the four-day sequence; later cohorts can replace the placeholders with DIEZ’s own wording and current product information.</w:t>
      </w:r>
    </w:p>
    <w:p>
      <w:pPr>
        <w:pStyle w:val="Heading1"/>
        <w:spacing w:before="280" w:after="120"/>
      </w:pPr>
      <w:r>
        <w:rPr>
          <w:rFonts w:ascii="Arial" w:hAnsi="Arial" w:eastAsia="Arial"/>
          <w:b/>
          <w:i w:val="0"/>
          <w:color w:val="17365D"/>
          <w:sz w:val="30"/>
        </w:rPr>
        <w:t>References</w:t>
      </w:r>
    </w:p>
    <w:p>
      <w:pPr>
        <w:spacing w:after="120" w:before="0" w:line="276" w:lineRule="auto"/>
      </w:pPr>
      <w:r>
        <w:rPr>
          <w:rFonts w:ascii="Arial" w:hAnsi="Arial" w:eastAsia="Arial"/>
          <w:b w:val="0"/>
          <w:i w:val="0"/>
          <w:color w:val="1F2937"/>
          <w:sz w:val="21"/>
        </w:rPr>
        <w:t>[1] UAE Legislation, Federal Decree-Law No. (45) of 2021 Concerning the Protection of Personal Data. https://uaelegislation.gov.ae/en/legislations/1972</w:t>
      </w:r>
    </w:p>
    <w:p>
      <w:pPr>
        <w:spacing w:after="120" w:before="0" w:line="276" w:lineRule="auto"/>
      </w:pPr>
      <w:r>
        <w:rPr>
          <w:rFonts w:ascii="Arial" w:hAnsi="Arial" w:eastAsia="Arial"/>
          <w:b w:val="0"/>
          <w:i w:val="0"/>
          <w:color w:val="1F2937"/>
          <w:sz w:val="21"/>
        </w:rPr>
        <w:t>[2] Digital Dubai, Standards and Policies (including Dubai Law No. 26 of 2015, Law No. 9 of 2022, Executive Council Resolution No. 15 of 2022 and Executive Council Resolution No. 13 of 2012). https://www.digitaldubai.ae/standards-and-policies</w:t>
      </w:r>
    </w:p>
    <w:p>
      <w:pPr>
        <w:spacing w:after="120"/>
      </w:pPr>
      <w:r>
        <w:rPr>
          <w:rFonts w:ascii="Arial" w:hAnsi="Arial" w:eastAsia="Arial"/>
          <w:b w:val="0"/>
          <w:i w:val="0"/>
          <w:color w:val="1F2937"/>
          <w:sz w:val="18"/>
        </w:rPr>
        <w:t xml:space="preserve">[3] DIEZ — Driving Dubai’s Economic Growth. </w:t>
      </w:r>
      <w:hyperlink r:id="rId11">
        <w:r>
          <w:rPr>
            <w:color w:val="2F75B5"/>
            <w:u w:val="single"/>
          </w:rPr>
          <w:t>https://www.diez.ae/</w:t>
        </w:r>
      </w:hyperlink>
    </w:p>
    <w:p>
      <w:pPr>
        <w:spacing w:after="0" w:before="0" w:line="276" w:lineRule="auto"/>
      </w:pPr>
      <w:r>
        <w:rPr>
          <w:rFonts w:ascii="Arial" w:hAnsi="Arial" w:eastAsia="Arial"/>
          <w:b w:val="0"/>
          <w:i w:val="0"/>
          <w:color w:val="666666"/>
          <w:sz w:val="17"/>
        </w:rPr>
        <w:t>Citation note: This document provides an operational alignment model for training design. It is not a legal opinion and should be reviewed against DIEZ internal policies and scenario-specific requirements before delivery.</w:t>
      </w: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66666"/>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Arial" w:hAnsi="Arial" w:eastAsia="Arial"/>
        <w:b/>
        <w:i w:val="0"/>
        <w:color w:val="0F6B78"/>
        <w:sz w:val="17"/>
      </w:rPr>
      <w:t>DIEZ  |  AI for Data Stewards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color w:val="1F2937"/>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17365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17365D"/>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diez.a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for Data Stewards — Product Use, Governance and Sign-off Programme</dc:title>
  <dc:subject>DIEZ 2026 AI literacy and data stewardship training plan</dc:subject>
  <dc:creator>Skywork</dc:creator>
  <cp:keywords>DIEZ, AI literacy, data stewards, responsible AI, training plan</cp:keywords>
  <dc:description>generated by python-docx</dc:description>
  <cp:lastModifiedBy/>
  <cp:revision>1</cp:revision>
  <dcterms:created xsi:type="dcterms:W3CDTF">2013-12-23T23:15:00Z</dcterms:created>
  <dcterms:modified xsi:type="dcterms:W3CDTF">2013-12-23T23:15:00Z</dcterms:modified>
  <cp:category/>
</cp:coreProperties>
</file>