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rFonts w:ascii="Aptos" w:hAnsi="Aptos"/>
          <w:b/>
          <w:color w:val="2A9D8F"/>
          <w:sz w:val="20"/>
        </w:rPr>
        <w:t>Пропозиція</w:t>
      </w:r>
    </w:p>
    <w:p>
      <w:pPr>
        <w:pStyle w:val="Title"/>
        <w:spacing w:before="40" w:after="120"/>
      </w:pPr>
      <w:r>
        <w:t>AI Leadership: ШІ для керівників Intecracy</w:t>
      </w:r>
    </w:p>
    <w:p>
      <w:pPr>
        <w:spacing w:after="200"/>
      </w:pPr>
      <w:r>
        <w:rPr>
          <w:rFonts w:ascii="Aptos" w:hAnsi="Aptos"/>
          <w:b w:val="0"/>
          <w:color w:val="5E6B73"/>
          <w:sz w:val="22"/>
        </w:rPr>
        <w:t>Практична програма для керівників, які приймають рішення, розвивають бізнес і задають темп трансформації компанії.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952"/>
            <w:shd w:fill="EAF2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34"/>
              </w:rPr>
              <w:t>24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7"/>
              </w:rPr>
              <w:t>навчальні години</w:t>
            </w:r>
          </w:p>
        </w:tc>
        <w:tc>
          <w:tcPr>
            <w:tcW w:type="dxa" w:w="2952"/>
            <w:shd w:fill="EAF2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34"/>
              </w:rPr>
              <w:t>12 × 2 год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7"/>
              </w:rPr>
              <w:t>заняття протягом місяця</w:t>
            </w:r>
          </w:p>
        </w:tc>
        <w:tc>
          <w:tcPr>
            <w:tcW w:type="dxa" w:w="2952"/>
            <w:shd w:fill="EAF2F5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34"/>
              </w:rPr>
              <w:t>100%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5E6B73"/>
                <w:sz w:val="17"/>
              </w:rPr>
              <w:t>фокус на Intecracy</w:t>
            </w:r>
          </w:p>
        </w:tc>
      </w:tr>
    </w:tbl>
    <w:p/>
    <w:p>
      <w:pPr>
        <w:pStyle w:val="Heading1"/>
      </w:pPr>
      <w:r>
        <w:t>Суть пропозиції</w:t>
      </w:r>
    </w:p>
    <w:p>
      <w:r>
        <w:rPr>
          <w:rFonts w:ascii="Aptos" w:hAnsi="Aptos"/>
          <w:b w:val="0"/>
        </w:rPr>
        <w:t xml:space="preserve">Запропонований тренінг допоможе керівникам Intecracy перейти від загального інтересу до ШІ до спільного управлінського бачення: </w:t>
      </w:r>
      <w:r>
        <w:rPr>
          <w:rFonts w:ascii="Aptos" w:hAnsi="Aptos"/>
          <w:b/>
          <w:color w:val="16324F"/>
        </w:rPr>
        <w:t>де саме технологія створює цінність, які ризики потребують контролю та з яких кроків розпочати впровадження.</w:t>
      </w:r>
    </w:p>
    <w:p>
      <w:pPr>
        <w:pStyle w:val="Heading2"/>
      </w:pPr>
      <w:r>
        <w:t>Для кого</w:t>
      </w:r>
    </w:p>
    <w:p>
      <w:r>
        <w:rPr>
          <w:rFonts w:ascii="Aptos" w:hAnsi="Aptos"/>
          <w:b w:val="0"/>
        </w:rPr>
        <w:t xml:space="preserve">Керівники та члени правління групи Intecracy, зокрема топ-менеджмент компанії. </w:t>
      </w:r>
      <w:r>
        <w:rPr>
          <w:rFonts w:ascii="Aptos" w:hAnsi="Aptos"/>
          <w:b w:val="0"/>
          <w:color w:val="5E6B73"/>
        </w:rPr>
        <w:t>Програма розрахована на учасників із різним рівнем технічної підготовки та фокусується на рішеннях, процесах і бізнес-результатах.</w:t>
      </w:r>
    </w:p>
    <w:p>
      <w:pPr>
        <w:pStyle w:val="Heading2"/>
      </w:pPr>
      <w:r>
        <w:t>Мета навчання</w:t>
      </w:r>
    </w:p>
    <w:p>
      <w:pPr>
        <w:spacing w:after="60"/>
        <w:ind w:left="230" w:hanging="173"/>
        <w:jc w:val="left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Сформувати практичне розуміння можливостей, обмежень і ризиків сучасного ШІ.</w:t>
      </w:r>
    </w:p>
    <w:p>
      <w:pPr>
        <w:spacing w:after="60"/>
        <w:ind w:left="230" w:hanging="173"/>
        <w:jc w:val="left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Показати, як використовувати ШІ в управлінні, аналітиці, комунікаціях та автоматизації.</w:t>
      </w:r>
    </w:p>
    <w:p>
      <w:pPr>
        <w:spacing w:after="60"/>
        <w:ind w:left="230" w:hanging="173"/>
        <w:jc w:val="left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Підготувати керівників до стратегічних дискусій із замовниками, партнерами та внутрішніми командами.</w:t>
      </w:r>
    </w:p>
    <w:p>
      <w:pPr>
        <w:spacing w:after="60"/>
        <w:ind w:left="230" w:hanging="173"/>
        <w:jc w:val="left"/>
      </w:pPr>
      <w:r>
        <w:rPr>
          <w:rFonts w:ascii="Aptos" w:hAnsi="Aptos"/>
          <w:b/>
          <w:color w:val="2A9D8F"/>
        </w:rPr>
        <w:t xml:space="preserve">• </w:t>
      </w:r>
      <w:r>
        <w:rPr>
          <w:rFonts w:ascii="Aptos" w:hAnsi="Aptos"/>
          <w:b w:val="0"/>
        </w:rPr>
        <w:t>Сформувати узгоджений перелік пріоритетних ШІ-кейсів і початкову дорожню карту впровадження.</w:t>
      </w:r>
    </w:p>
    <w:p>
      <w:pPr>
        <w:pStyle w:val="Heading2"/>
      </w:pPr>
      <w:r>
        <w:t>Ключовий принцип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6324F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2"/>
              </w:rPr>
              <w:t>Не «вивчити інструменти», а навчитися керувати змінами, які вони роблять можливими.</w:t>
            </w:r>
          </w:p>
        </w:tc>
      </w:tr>
    </w:tbl>
    <w:p>
      <w:r>
        <w:br w:type="page"/>
      </w:r>
    </w:p>
    <w:p>
      <w:pPr>
        <w:pStyle w:val="Heading1"/>
        <w:spacing w:before="40"/>
      </w:pPr>
      <w:r>
        <w:t>Програма навчання</w:t>
      </w:r>
    </w:p>
    <w:p>
      <w:r>
        <w:rPr>
          <w:rFonts w:ascii="Aptos" w:hAnsi="Aptos"/>
          <w:b w:val="0"/>
          <w:color w:val="5E6B73"/>
        </w:rPr>
        <w:t>Програму розроблено з урахуванням стратегічних пріоритетів групи Intecracy, ролі учасників як керівників і членів правління, специфіки управлінських рішень та практичних завдань, пов’язаних із застосуванням Xplore. Основні акценти — стратегічне управління ШІ, оцінювання ризиків, пріоритизація бізнес-кейсів, автоматизація процесів і масштабування рішень.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792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52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Фокус</w:t>
            </w:r>
          </w:p>
        </w:tc>
        <w:tc>
          <w:tcPr>
            <w:tcW w:type="dxa" w:w="4752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0" w:space="0" w:color="16324F"/>
              <w:left w:val="single" w:sz="0" w:space="0" w:color="16324F"/>
              <w:bottom w:val="single" w:sz="0" w:space="0" w:color="16324F"/>
              <w:right w:val="single" w:sz="0" w:space="0" w:color="16324F"/>
              <w:insideH w:val="single" w:sz="0" w:space="0" w:color="16324F"/>
              <w:insideV w:val="single" w:sz="0" w:space="0" w:color="16324F"/>
            </w:tcBorders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Зміст і практичний результат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1–2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ШІ для керівника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Як працює ШІ, де він сильний і де помиляється; моделі, агенти, контекст, якість запитів; управлінські рішення на основі перевірених даних.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3–4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Особиста ефективність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ШІ як робочий помічник керівника: підготовка до зустрічей, аналіз документів, резюме, варіанти рішень, комунікації та контроль виконання.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5–6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Аналітика і сценарне мислення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Побудова запитів для аналізу, виявлення тенденцій і ризиків, порівняння сценаріїв; розбір типових управлінських ситуацій холдингу.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7–8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Автоматизація процесів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Як знаходити процеси, придатні для автоматизації; оцінка ефекту, складності, ризиків і готовності даних; від ідеї до пілота.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9–10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Xplore у роботі керівництва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Огляд і практичне застосування solveXplore, bidXplore, salesXplore, auditXplore та legalXplore у відповідних управлінських сценаріях; межі відповідальності й контроль результату.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11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ШІ, ризики та governance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</w:tcPr>
          <w:p>
            <w:r>
              <w:rPr>
                <w:rFonts w:ascii="Aptos" w:hAnsi="Aptos"/>
                <w:b w:val="0"/>
                <w:sz w:val="16"/>
              </w:rPr>
              <w:t>Конфіденційність, безпека, авторські права, галюцинації, людський контроль, правила використання та критерії прийняття ШІ-рішень.</w:t>
            </w:r>
          </w:p>
        </w:tc>
      </w:tr>
      <w:tr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18"/>
              </w:rPr>
              <w:t>12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Дорожня карта Intecracy</w:t>
            </w:r>
          </w:p>
        </w:tc>
        <w:tc>
          <w:tcPr>
            <w:tcW w:type="dxa" w:w="340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vAlign w:val="center"/>
            <w:shd w:fill="F5F8FA"/>
          </w:tcPr>
          <w:p>
            <w:r>
              <w:rPr>
                <w:rFonts w:ascii="Aptos" w:hAnsi="Aptos"/>
                <w:b w:val="0"/>
                <w:sz w:val="16"/>
              </w:rPr>
              <w:t>Пріоритизація кейсів, визначення власників і наступних кроків; узгодження короткої дорожньої карти впровадження ШІ.</w:t>
            </w:r>
          </w:p>
        </w:tc>
      </w:tr>
    </w:tbl>
    <w:p/>
    <w:p>
      <w:pPr>
        <w:pStyle w:val="Heading2"/>
      </w:pPr>
      <w:r>
        <w:t>Практична логіка кожного заняття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Контекст</w:t>
            </w:r>
          </w:p>
        </w:tc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Коротка теорія</w:t>
            </w:r>
          </w:p>
        </w:tc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Вправа / кейс</w:t>
            </w:r>
          </w:p>
        </w:tc>
        <w:tc>
          <w:tcPr>
            <w:tcW w:type="dxa" w:w="2232"/>
            <w:shd w:fill="EAF2F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0" w:space="0" w:color="EAF2F5"/>
              <w:left w:val="single" w:sz="0" w:space="0" w:color="EAF2F5"/>
              <w:bottom w:val="single" w:sz="0" w:space="0" w:color="EAF2F5"/>
              <w:right w:val="single" w:sz="0" w:space="0" w:color="EAF2F5"/>
              <w:insideH w:val="single" w:sz="0" w:space="0" w:color="EAF2F5"/>
              <w:insideV w:val="single" w:sz="0" w:space="0" w:color="EAF2F5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6324F"/>
                <w:sz w:val="17"/>
              </w:rPr>
              <w:t>Рефлексія</w:t>
            </w:r>
          </w:p>
        </w:tc>
      </w:tr>
    </w:tbl>
    <w:p>
      <w:pPr>
        <w:spacing w:before="100"/>
      </w:pPr>
      <w:r>
        <w:rPr>
          <w:rFonts w:ascii="Aptos" w:hAnsi="Aptos"/>
          <w:b/>
          <w:color w:val="16324F"/>
        </w:rPr>
        <w:t xml:space="preserve">Формат занять: </w:t>
      </w:r>
      <w:r>
        <w:rPr>
          <w:rFonts w:ascii="Aptos" w:hAnsi="Aptos"/>
          <w:b w:val="0"/>
          <w:color w:val="5E6B73"/>
        </w:rPr>
        <w:t>короткі теоретичні блоки, демонстрації, обговорення, робота з реальними управлінськими ситуаціями та фіксація рішень, які можна перенести в роботу вже наступного дня.</w:t>
      </w:r>
    </w:p>
    <w:p>
      <w:r>
        <w:br w:type="page"/>
      </w:r>
    </w:p>
    <w:p>
      <w:pPr>
        <w:pStyle w:val="Heading1"/>
        <w:spacing w:before="40"/>
      </w:pPr>
      <w:r>
        <w:t>Методика, результати та організація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80"/>
            <w:tcMar>
              <w:top w:w="125" w:type="dxa"/>
              <w:start w:w="140" w:type="dxa"/>
              <w:bottom w:w="115" w:type="dxa"/>
              <w:end w:w="14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Методичний підхід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навчання через реальні управлінські рішення, а не через теорію заради теорії;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кейси, релевантні діяльності холдингу та ролі учасників;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постійна перевірка якості, доречності й безпеки відповідей ШІ;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7"/>
              </w:rPr>
              <w:t>спільна мова для правління, бізнесу, ІТ та функціональних команд.</w:t>
            </w:r>
          </w:p>
        </w:tc>
        <w:tc>
          <w:tcPr>
            <w:tcW w:type="dxa" w:w="4680"/>
            <w:tcMar>
              <w:top w:w="125" w:type="dxa"/>
              <w:start w:w="140" w:type="dxa"/>
              <w:bottom w:w="115" w:type="dxa"/>
              <w:end w:w="140" w:type="dxa"/>
            </w:tcMar>
            <w:tcBorders>
              <w:top w:val="single" w:sz="5" w:space="0" w:color="D7E3E8"/>
              <w:left w:val="single" w:sz="5" w:space="0" w:color="D7E3E8"/>
              <w:bottom w:val="single" w:sz="5" w:space="0" w:color="D7E3E8"/>
              <w:right w:val="single" w:sz="5" w:space="0" w:color="D7E3E8"/>
              <w:insideH w:val="single" w:sz="5" w:space="0" w:color="D7E3E8"/>
              <w:insideV w:val="single" w:sz="5" w:space="0" w:color="D7E3E8"/>
            </w:tcBorders>
            <w:shd w:fill="EAF2F5"/>
          </w:tcPr>
          <w:p>
            <w:r>
              <w:rPr>
                <w:rFonts w:ascii="Aptos" w:hAnsi="Aptos"/>
                <w:b/>
                <w:color w:val="16324F"/>
                <w:sz w:val="20"/>
              </w:rPr>
              <w:t>Кейси для практичної роботи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6"/>
              </w:rPr>
              <w:t>стратегічна взаємодія з ключовим замовником на рівні акціонерів і вищого керівництва — підготовка до переговорів, аналіз інтересів і ризиків, формування позиції та матеріалів для роботи з державними органами, міністерствами й іншими інституційними замовниками;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6"/>
              </w:rPr>
              <w:t>аналіз фінансової звітності та бізнес-планів внутрішніх проєктів групи — перевірка ключових припущень, фінансових моделей і сценаріїв, оцінювання ризиків та підготовка висновків для управлінських рішень;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color w:val="2A9D8F"/>
                <w:sz w:val="16"/>
              </w:rPr>
              <w:t xml:space="preserve">• </w:t>
            </w:r>
            <w:r>
              <w:rPr>
                <w:rFonts w:ascii="Aptos" w:hAnsi="Aptos"/>
                <w:b w:val="0"/>
                <w:sz w:val="16"/>
              </w:rPr>
              <w:t>корпоративне управління та права акціонерів — розгляд питань, пов’язаних із реалізацією прав акціонерів під час створення, структурування й розвитку компанії, з урахуванням управлінських, регуляторних і правових ризиків.</w:t>
            </w:r>
          </w:p>
        </w:tc>
      </w:tr>
    </w:tbl>
    <w:p/>
    <w:p>
      <w:pPr>
        <w:pStyle w:val="Heading2"/>
      </w:pPr>
      <w:r>
        <w:t>Очікуваний результат для учасників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48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87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розумітимуть принципи роботи ШІ, його межі та типові ризики;</w:t>
            </w:r>
          </w:p>
        </w:tc>
      </w:tr>
      <w:tr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зможуть використовувати ШІ у щоденній управлінській роботі;</w:t>
            </w:r>
          </w:p>
        </w:tc>
      </w:tr>
      <w:tr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будуть готові вести змістовні стратегічні дискусії із замовниками та партнерами;</w:t>
            </w:r>
          </w:p>
        </w:tc>
      </w:tr>
      <w:tr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визначать процеси, придатні для автоматизації, та критерії їх відбору;</w:t>
            </w:r>
          </w:p>
        </w:tc>
      </w:tr>
      <w:tr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сформують перелік пріоритетних ШІ-кейсів для групи Intecracy;</w:t>
            </w:r>
          </w:p>
        </w:tc>
      </w:tr>
      <w:tr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2A9D8F"/>
                <w:sz w:val="22"/>
              </w:rPr>
              <w:t>✓</w:t>
            </w:r>
          </w:p>
        </w:tc>
        <w:tc>
          <w:tcPr>
            <w:tcW w:type="dxa" w:w="5112"/>
            <w:tcMar>
              <w:top w:w="55" w:type="dxa"/>
              <w:start w:w="90" w:type="dxa"/>
              <w:bottom w:w="55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підготують початкову дорожню карту впровадження ШІ з наступними кроками.</w:t>
            </w:r>
          </w:p>
        </w:tc>
      </w:tr>
    </w:tbl>
    <w:p/>
    <w:p>
      <w:pPr>
        <w:pStyle w:val="Heading2"/>
      </w:pPr>
      <w:r>
        <w:t>Організаційні умови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Тривалість</w:t>
            </w:r>
          </w:p>
        </w:tc>
        <w:tc>
          <w:tcPr>
            <w:tcW w:type="dxa" w:w="6624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24 навчальні години: рекомендовано 12 занять по 2 години.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Період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Один місяць; конкретний розклад узгоджується із замовником.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Формат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  <w:shd w:fill="F5F8FA"/>
          </w:tcPr>
          <w:p>
            <w:r>
              <w:rPr>
                <w:rFonts w:ascii="Aptos" w:hAnsi="Aptos"/>
                <w:b w:val="0"/>
                <w:sz w:val="17"/>
              </w:rPr>
              <w:t>Практичний тренінг із теоретичними блоками, дискусіями, вправами та розбором управлінських ситуацій.</w:t>
            </w:r>
          </w:p>
        </w:tc>
      </w:tr>
      <w:tr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/>
                <w:color w:val="16324F"/>
                <w:sz w:val="17"/>
              </w:rPr>
              <w:t>Підготовка</w:t>
            </w:r>
          </w:p>
        </w:tc>
        <w:tc>
          <w:tcPr>
            <w:tcW w:type="dxa" w:w="5112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4" w:space="0" w:color="D7E3E8"/>
              <w:left w:val="single" w:sz="4" w:space="0" w:color="D7E3E8"/>
              <w:bottom w:val="single" w:sz="4" w:space="0" w:color="D7E3E8"/>
              <w:right w:val="single" w:sz="4" w:space="0" w:color="D7E3E8"/>
              <w:insideH w:val="single" w:sz="4" w:space="0" w:color="D7E3E8"/>
              <w:insideV w:val="single" w:sz="4" w:space="0" w:color="D7E3E8"/>
            </w:tcBorders>
          </w:tcPr>
          <w:p>
            <w:r>
              <w:rPr>
                <w:rFonts w:ascii="Aptos" w:hAnsi="Aptos"/>
                <w:b w:val="0"/>
                <w:sz w:val="17"/>
              </w:rPr>
              <w:t>Перед стартом — коротке узгодження пріоритетів, прикладів і бажаних результатів із представниками Intecracy.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792" w:right="1008" w:bottom="79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ptos" w:hAnsi="Aptos"/>
        <w:b w:val="0"/>
        <w:color w:val="5E6B73"/>
        <w:sz w:val="15"/>
      </w:rPr>
      <w:t>Пропозиція для групи Intecracy  |  AI Leadership: ШІ для керівників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Aptos" w:hAnsi="Aptos"/>
        <w:b/>
        <w:color w:val="2A9D8F"/>
        <w:sz w:val="16"/>
      </w:rPr>
      <w:t>Intecracy  ×  AI Leadership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2531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6F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