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 w:after="0"/>
      </w:pPr>
      <w:r>
        <w:rPr>
          <w:rFonts w:ascii="Aptos" w:hAnsi="Aptos" w:eastAsia="Aptos" w:cs="Aptos"/>
          <w:b/>
          <w:color w:val="17365D"/>
          <w:sz w:val="48"/>
        </w:rPr>
        <w:t>AI FOR DATA STEWARDS</w:t>
      </w:r>
    </w:p>
    <w:p>
      <w:pPr>
        <w:spacing w:before="0" w:after="120"/>
      </w:pPr>
      <w:r>
        <w:rPr>
          <w:rFonts w:ascii="Aptos" w:hAnsi="Aptos" w:eastAsia="Aptos" w:cs="Aptos"/>
          <w:b w:val="0"/>
          <w:color w:val="0B7A75"/>
          <w:sz w:val="22"/>
        </w:rPr>
        <w:t>Applying AI effectively and responsibly in the data stewardship role</w:t>
      </w:r>
    </w:p>
    <w:tbl>
      <w:tblPr>
        <w:tblW w:type="auto" w:w="0"/>
        <w:jc w:val="center"/>
        <w:tblLook w:firstColumn="1" w:firstRow="1" w:lastColumn="0" w:lastRow="0" w:noHBand="0" w:noVBand="1" w:val="04A0"/>
      </w:tblPr>
      <w:tblGrid>
        <w:gridCol w:w="10570"/>
      </w:tblGrid>
      <w:tr>
        <w:tc>
          <w:tcPr>
            <w:tcW w:type="dxa" w:w="10570"/>
            <w:shd w:fill="EAF4F3"/>
            <w:tcMar>
              <w:top w:w="150" w:type="dxa"/>
              <w:start w:w="110" w:type="dxa"/>
              <w:bottom w:w="150" w:type="dxa"/>
              <w:end w:w="110" w:type="dxa"/>
            </w:tcMar>
          </w:tcPr>
          <w:p>
            <w:pPr>
              <w:spacing w:after="0" w:line="252" w:lineRule="auto"/>
            </w:pPr>
            <w:r>
              <w:rPr>
                <w:rFonts w:ascii="Aptos" w:hAnsi="Aptos" w:eastAsia="Aptos" w:cs="Aptos"/>
                <w:b w:val="0"/>
                <w:color w:val="17365D"/>
                <w:sz w:val="18"/>
              </w:rPr>
              <w:t>Programme proposition. This practical course equips experienced data stewards to use AI as an assistive capability in their existing work: accelerating analysis and documentation, strengthening quality and governance activities, and making sound, accountable decisions about where AI should—and should not—be used.</w:t>
            </w:r>
          </w:p>
        </w:tc>
      </w:tr>
    </w:tbl>
    <w:p>
      <w:pPr>
        <w:pStyle w:val="Heading1"/>
        <w:spacing w:before="200" w:after="140" w:line="240" w:lineRule="auto"/>
      </w:pPr>
      <w:r>
        <w:rPr>
          <w:rFonts w:ascii="Aptos" w:hAnsi="Aptos" w:eastAsia="Aptos" w:cs="Aptos"/>
          <w:b/>
          <w:color w:val="17365D"/>
          <w:sz w:val="26"/>
        </w:rPr>
        <w:t>Who it is for</w:t>
      </w:r>
    </w:p>
    <w:p>
      <w:pPr>
        <w:spacing w:before="0" w:after="160" w:line="252" w:lineRule="auto"/>
      </w:pPr>
      <w:r>
        <w:rPr>
          <w:rFonts w:ascii="Aptos" w:hAnsi="Aptos" w:eastAsia="Aptos" w:cs="Aptos"/>
          <w:b w:val="0"/>
          <w:color w:val="1E2D3D"/>
          <w:sz w:val="18"/>
        </w:rPr>
        <w:t>Practising data stewards and adjacent data governance or quality professionals who already understand their organisational responsibilities and now need practical methods for applying AI without weakening human accountability, privacy, security or control.</w:t>
      </w:r>
    </w:p>
    <w:p>
      <w:pPr>
        <w:pStyle w:val="Heading1"/>
        <w:spacing w:before="200" w:after="140" w:line="240" w:lineRule="auto"/>
      </w:pPr>
      <w:r>
        <w:rPr>
          <w:rFonts w:ascii="Aptos" w:hAnsi="Aptos" w:eastAsia="Aptos" w:cs="Aptos"/>
          <w:b/>
          <w:color w:val="17365D"/>
          <w:sz w:val="26"/>
        </w:rPr>
        <w:t>What participants will learn</w:t>
      </w:r>
    </w:p>
    <w:tbl>
      <w:tblPr>
        <w:tblW w:type="auto" w:w="0"/>
        <w:jc w:val="center"/>
        <w:tblLayout w:type="fixed"/>
        <w:tblLook w:firstColumn="1" w:firstRow="1" w:lastColumn="0" w:lastRow="0" w:noHBand="0" w:noVBand="1" w:val="04A0"/>
      </w:tblPr>
      <w:tblGrid>
        <w:gridCol w:w="5285"/>
        <w:gridCol w:w="5285"/>
      </w:tblGrid>
      <w:tr>
        <w:tc>
          <w:tcPr>
            <w:tcW w:type="dxa" w:w="5285"/>
            <w:shd w:fill="F4F7FA"/>
            <w:tcMar>
              <w:top w:w="150" w:type="dxa"/>
              <w:start w:w="110" w:type="dxa"/>
              <w:bottom w:w="150" w:type="dxa"/>
              <w:end w:w="110" w:type="dxa"/>
            </w:tcMar>
          </w:tcPr>
          <w:p>
            <w:pPr>
              <w:spacing w:after="20" w:line="240" w:lineRule="auto"/>
            </w:pPr>
            <w:r/>
            <w:r>
              <w:rPr>
                <w:rFonts w:ascii="Aptos" w:hAnsi="Aptos" w:eastAsia="Aptos" w:cs="Aptos"/>
                <w:b/>
                <w:color w:val="17365D"/>
                <w:sz w:val="17"/>
              </w:rPr>
              <w:t>1. Identify valuable AI uses</w:t>
            </w:r>
          </w:p>
          <w:p>
            <w:pPr>
              <w:spacing w:after="0" w:line="240" w:lineRule="auto"/>
            </w:pPr>
            <w:r>
              <w:rPr>
                <w:rFonts w:ascii="Aptos" w:hAnsi="Aptos" w:eastAsia="Aptos" w:cs="Aptos"/>
                <w:b w:val="0"/>
                <w:color w:val="1E2D3D"/>
                <w:sz w:val="16"/>
              </w:rPr>
              <w:t>Select stewardship tasks where AI can save time or improve consistency, while recognising tasks that require direct human judgement.</w:t>
            </w:r>
          </w:p>
        </w:tc>
        <w:tc>
          <w:tcPr>
            <w:tcW w:type="dxa" w:w="5285"/>
            <w:shd w:fill="FFFFFF"/>
            <w:tcMar>
              <w:top w:w="150" w:type="dxa"/>
              <w:start w:w="110" w:type="dxa"/>
              <w:bottom w:w="150" w:type="dxa"/>
              <w:end w:w="110" w:type="dxa"/>
            </w:tcMar>
          </w:tcPr>
          <w:p>
            <w:pPr>
              <w:spacing w:after="20" w:line="240" w:lineRule="auto"/>
            </w:pPr>
            <w:r/>
            <w:r>
              <w:rPr>
                <w:rFonts w:ascii="Aptos" w:hAnsi="Aptos" w:eastAsia="Aptos" w:cs="Aptos"/>
                <w:b/>
                <w:color w:val="17365D"/>
                <w:sz w:val="17"/>
              </w:rPr>
              <w:t>2. Prompt and verify outputs</w:t>
            </w:r>
          </w:p>
          <w:p>
            <w:pPr>
              <w:spacing w:after="0" w:line="240" w:lineRule="auto"/>
            </w:pPr>
            <w:r>
              <w:rPr>
                <w:rFonts w:ascii="Aptos" w:hAnsi="Aptos" w:eastAsia="Aptos" w:cs="Aptos"/>
                <w:b w:val="0"/>
                <w:color w:val="1E2D3D"/>
                <w:sz w:val="16"/>
              </w:rPr>
              <w:t>Frame effective instructions, supply appropriate context, test results and document the evidence used to accept, revise or reject AI output.</w:t>
            </w:r>
          </w:p>
        </w:tc>
      </w:tr>
      <w:tr>
        <w:tc>
          <w:tcPr>
            <w:tcW w:type="dxa" w:w="5285"/>
            <w:shd w:fill="F4F7FA"/>
            <w:tcMar>
              <w:top w:w="150" w:type="dxa"/>
              <w:start w:w="110" w:type="dxa"/>
              <w:bottom w:w="150" w:type="dxa"/>
              <w:end w:w="110" w:type="dxa"/>
            </w:tcMar>
          </w:tcPr>
          <w:p>
            <w:pPr>
              <w:spacing w:after="20" w:line="240" w:lineRule="auto"/>
            </w:pPr>
            <w:r/>
            <w:r>
              <w:rPr>
                <w:rFonts w:ascii="Aptos" w:hAnsi="Aptos" w:eastAsia="Aptos" w:cs="Aptos"/>
                <w:b/>
                <w:color w:val="17365D"/>
                <w:sz w:val="17"/>
              </w:rPr>
              <w:t>3. Accelerate stewardship work</w:t>
            </w:r>
          </w:p>
          <w:p>
            <w:pPr>
              <w:spacing w:after="0" w:line="240" w:lineRule="auto"/>
            </w:pPr>
            <w:r>
              <w:rPr>
                <w:rFonts w:ascii="Aptos" w:hAnsi="Aptos" w:eastAsia="Aptos" w:cs="Aptos"/>
                <w:b w:val="0"/>
                <w:color w:val="1E2D3D"/>
                <w:sz w:val="16"/>
              </w:rPr>
              <w:t>Apply AI to draft metadata, profile issues, classify information, summarise findings and prepare governance communications.</w:t>
            </w:r>
          </w:p>
        </w:tc>
        <w:tc>
          <w:tcPr>
            <w:tcW w:type="dxa" w:w="5285"/>
            <w:shd w:fill="FFFFFF"/>
            <w:tcMar>
              <w:top w:w="150" w:type="dxa"/>
              <w:start w:w="110" w:type="dxa"/>
              <w:bottom w:w="150" w:type="dxa"/>
              <w:end w:w="110" w:type="dxa"/>
            </w:tcMar>
          </w:tcPr>
          <w:p>
            <w:pPr>
              <w:spacing w:after="20" w:line="240" w:lineRule="auto"/>
            </w:pPr>
            <w:r/>
            <w:r>
              <w:rPr>
                <w:rFonts w:ascii="Aptos" w:hAnsi="Aptos" w:eastAsia="Aptos" w:cs="Aptos"/>
                <w:b/>
                <w:color w:val="17365D"/>
                <w:sz w:val="17"/>
              </w:rPr>
              <w:t>4. Protect data and trust</w:t>
            </w:r>
          </w:p>
          <w:p>
            <w:pPr>
              <w:spacing w:after="0" w:line="240" w:lineRule="auto"/>
            </w:pPr>
            <w:r>
              <w:rPr>
                <w:rFonts w:ascii="Aptos" w:hAnsi="Aptos" w:eastAsia="Aptos" w:cs="Aptos"/>
                <w:b w:val="0"/>
                <w:color w:val="1E2D3D"/>
                <w:sz w:val="16"/>
              </w:rPr>
              <w:t>Recognise privacy, confidentiality, bias, hallucination, security and over-reliance risks; apply proportionate safeguards.</w:t>
            </w:r>
          </w:p>
        </w:tc>
      </w:tr>
      <w:tr>
        <w:tc>
          <w:tcPr>
            <w:tcW w:type="dxa" w:w="5285"/>
            <w:shd w:fill="F4F7FA"/>
            <w:tcMar>
              <w:top w:w="150" w:type="dxa"/>
              <w:start w:w="110" w:type="dxa"/>
              <w:bottom w:w="150" w:type="dxa"/>
              <w:end w:w="110" w:type="dxa"/>
            </w:tcMar>
          </w:tcPr>
          <w:p>
            <w:pPr>
              <w:spacing w:after="20" w:line="240" w:lineRule="auto"/>
            </w:pPr>
            <w:r/>
            <w:r>
              <w:rPr>
                <w:rFonts w:ascii="Aptos" w:hAnsi="Aptos" w:eastAsia="Aptos" w:cs="Aptos"/>
                <w:b/>
                <w:color w:val="17365D"/>
                <w:sz w:val="17"/>
              </w:rPr>
              <w:t>5. Support AI-ready data</w:t>
            </w:r>
          </w:p>
          <w:p>
            <w:pPr>
              <w:spacing w:after="0" w:line="240" w:lineRule="auto"/>
            </w:pPr>
            <w:r>
              <w:rPr>
                <w:rFonts w:ascii="Aptos" w:hAnsi="Aptos" w:eastAsia="Aptos" w:cs="Aptos"/>
                <w:b w:val="0"/>
                <w:color w:val="1E2D3D"/>
                <w:sz w:val="16"/>
              </w:rPr>
              <w:t>Assess whether data is sufficiently documented, governed and fit for an AI-enabled use case, then prioritise stewardship actions.</w:t>
            </w:r>
          </w:p>
        </w:tc>
        <w:tc>
          <w:tcPr>
            <w:tcW w:type="dxa" w:w="5285"/>
            <w:shd w:fill="FFFFFF"/>
            <w:tcMar>
              <w:top w:w="150" w:type="dxa"/>
              <w:start w:w="110" w:type="dxa"/>
              <w:bottom w:w="150" w:type="dxa"/>
              <w:end w:w="110" w:type="dxa"/>
            </w:tcMar>
          </w:tcPr>
          <w:p>
            <w:pPr>
              <w:spacing w:after="20" w:line="240" w:lineRule="auto"/>
            </w:pPr>
            <w:r/>
            <w:r>
              <w:rPr>
                <w:rFonts w:ascii="Aptos" w:hAnsi="Aptos" w:eastAsia="Aptos" w:cs="Aptos"/>
                <w:b/>
                <w:color w:val="17365D"/>
                <w:sz w:val="17"/>
              </w:rPr>
              <w:t>6. Embed accountable practice</w:t>
            </w:r>
          </w:p>
          <w:p>
            <w:pPr>
              <w:spacing w:after="0" w:line="240" w:lineRule="auto"/>
            </w:pPr>
            <w:r>
              <w:rPr>
                <w:rFonts w:ascii="Aptos" w:hAnsi="Aptos" w:eastAsia="Aptos" w:cs="Aptos"/>
                <w:b w:val="0"/>
                <w:color w:val="1E2D3D"/>
                <w:sz w:val="16"/>
              </w:rPr>
              <w:t>Define human review, decision rights, audit evidence, escalation and monitoring for AI-assisted stewardship workflows.</w:t>
            </w:r>
          </w:p>
        </w:tc>
      </w:tr>
    </w:tbl>
    <w:p>
      <w:pPr>
        <w:pStyle w:val="Heading1"/>
        <w:spacing w:before="200" w:after="140" w:line="240" w:lineRule="auto"/>
      </w:pPr>
      <w:r>
        <w:rPr>
          <w:rFonts w:ascii="Aptos" w:hAnsi="Aptos" w:eastAsia="Aptos" w:cs="Aptos"/>
          <w:b/>
          <w:color w:val="17365D"/>
          <w:sz w:val="26"/>
        </w:rPr>
        <w:t>Learning approach</w:t>
      </w:r>
    </w:p>
    <w:p>
      <w:pPr>
        <w:spacing w:before="0" w:after="160" w:line="252" w:lineRule="auto"/>
      </w:pPr>
      <w:r>
        <w:rPr>
          <w:rFonts w:ascii="Aptos" w:hAnsi="Aptos" w:eastAsia="Aptos" w:cs="Aptos"/>
          <w:b w:val="0"/>
          <w:color w:val="1E2D3D"/>
          <w:sz w:val="18"/>
        </w:rPr>
        <w:t>Balanced and applied. Expert-led sessions establish the essential theory—AI capabilities and limits, governance principles and trustworthy-use conditions—then connect it to guided practice, scenario work, peer review and a capstone. Participants work with approved or simulated information and leave each day with an artefact ready to adapt to their stewardship environment.</w:t>
      </w:r>
    </w:p>
    <w:p>
      <w:pPr>
        <w:pStyle w:val="Heading1"/>
        <w:spacing w:before="200" w:after="140" w:line="240" w:lineRule="auto"/>
      </w:pPr>
      <w:r>
        <w:rPr>
          <w:rFonts w:ascii="Aptos" w:hAnsi="Aptos" w:eastAsia="Aptos" w:cs="Aptos"/>
          <w:b/>
          <w:color w:val="17365D"/>
          <w:sz w:val="26"/>
        </w:rPr>
        <w:t>What participants receive</w:t>
      </w:r>
    </w:p>
    <w:tbl>
      <w:tblPr>
        <w:tblW w:type="auto" w:w="0"/>
        <w:jc w:val="center"/>
        <w:tblLayout w:type="fixed"/>
        <w:tblLook w:firstColumn="1" w:firstRow="1" w:lastColumn="0" w:lastRow="0" w:noHBand="0" w:noVBand="1" w:val="04A0"/>
      </w:tblPr>
      <w:tblGrid>
        <w:gridCol w:w="5285"/>
        <w:gridCol w:w="5285"/>
      </w:tblGrid>
      <w:tr>
        <w:tc>
          <w:tcPr>
            <w:tcW w:type="dxa" w:w="1944"/>
            <w:shd w:fill="EAF4F3"/>
            <w:tcMar>
              <w:top w:w="150" w:type="dxa"/>
              <w:start w:w="110" w:type="dxa"/>
              <w:bottom w:w="150" w:type="dxa"/>
              <w:end w:w="110" w:type="dxa"/>
            </w:tcMar>
            <w:vAlign w:val="center"/>
          </w:tcPr>
          <w:p>
            <w:pPr>
              <w:spacing w:before="0" w:after="0" w:line="240" w:lineRule="auto"/>
              <w:jc w:val="left"/>
            </w:pPr>
            <w:r/>
            <w:r>
              <w:rPr>
                <w:rFonts w:ascii="Aptos" w:hAnsi="Aptos" w:eastAsia="Aptos" w:cs="Aptos"/>
                <w:b/>
                <w:color w:val="17365D"/>
                <w:sz w:val="16"/>
              </w:rPr>
              <w:t>Participant workbook</w:t>
            </w:r>
          </w:p>
        </w:tc>
        <w:tc>
          <w:tcPr>
            <w:tcW w:type="dxa" w:w="8064"/>
            <w:shd w:fill="FFFFFF"/>
            <w:tcMar>
              <w:top w:w="150" w:type="dxa"/>
              <w:start w:w="110" w:type="dxa"/>
              <w:bottom w:w="150" w:type="dxa"/>
              <w:end w:w="110" w:type="dxa"/>
            </w:tcMar>
            <w:vAlign w:val="center"/>
          </w:tcPr>
          <w:p>
            <w:pPr>
              <w:spacing w:before="0" w:after="0" w:line="240" w:lineRule="auto"/>
              <w:jc w:val="left"/>
            </w:pPr>
            <w:r/>
            <w:r>
              <w:rPr>
                <w:rFonts w:ascii="Aptos" w:hAnsi="Aptos" w:eastAsia="Aptos" w:cs="Aptos"/>
                <w:b w:val="0"/>
                <w:color w:val="1E2D3D"/>
                <w:sz w:val="16"/>
              </w:rPr>
              <w:t>Plain-language AI concepts, guided exercises, reflection prompts and space to capture role-specific applications.</w:t>
            </w:r>
          </w:p>
        </w:tc>
      </w:tr>
      <w:tr>
        <w:tc>
          <w:tcPr>
            <w:tcW w:type="dxa" w:w="1944"/>
            <w:shd w:fill="EAF4F3"/>
            <w:tcMar>
              <w:top w:w="150" w:type="dxa"/>
              <w:start w:w="110" w:type="dxa"/>
              <w:bottom w:w="150" w:type="dxa"/>
              <w:end w:w="110" w:type="dxa"/>
            </w:tcMar>
            <w:vAlign w:val="center"/>
          </w:tcPr>
          <w:p>
            <w:pPr>
              <w:spacing w:before="0" w:after="0" w:line="240" w:lineRule="auto"/>
              <w:jc w:val="left"/>
            </w:pPr>
            <w:r/>
            <w:r>
              <w:rPr>
                <w:rFonts w:ascii="Aptos" w:hAnsi="Aptos" w:eastAsia="Aptos" w:cs="Aptos"/>
                <w:b/>
                <w:color w:val="17365D"/>
                <w:sz w:val="16"/>
              </w:rPr>
              <w:t>AI practice toolkit</w:t>
            </w:r>
          </w:p>
        </w:tc>
        <w:tc>
          <w:tcPr>
            <w:tcW w:type="dxa" w:w="8064"/>
            <w:shd w:fill="FFFFFF"/>
            <w:tcMar>
              <w:top w:w="150" w:type="dxa"/>
              <w:start w:w="110" w:type="dxa"/>
              <w:bottom w:w="150" w:type="dxa"/>
              <w:end w:w="110" w:type="dxa"/>
            </w:tcMar>
            <w:vAlign w:val="center"/>
          </w:tcPr>
          <w:p>
            <w:pPr>
              <w:spacing w:before="0" w:after="0" w:line="240" w:lineRule="auto"/>
              <w:jc w:val="left"/>
            </w:pPr>
            <w:r/>
            <w:r>
              <w:rPr>
                <w:rFonts w:ascii="Aptos" w:hAnsi="Aptos" w:eastAsia="Aptos" w:cs="Aptos"/>
                <w:b w:val="0"/>
                <w:color w:val="1E2D3D"/>
                <w:sz w:val="16"/>
              </w:rPr>
              <w:t>Prompt canvas, output-verification checklist, safe-use decision guide, risk review and human-oversight templates.</w:t>
            </w:r>
          </w:p>
        </w:tc>
      </w:tr>
      <w:tr>
        <w:tc>
          <w:tcPr>
            <w:tcW w:type="dxa" w:w="1944"/>
            <w:shd w:fill="EAF4F3"/>
            <w:tcMar>
              <w:top w:w="150" w:type="dxa"/>
              <w:start w:w="110" w:type="dxa"/>
              <w:bottom w:w="150" w:type="dxa"/>
              <w:end w:w="110" w:type="dxa"/>
            </w:tcMar>
            <w:vAlign w:val="center"/>
          </w:tcPr>
          <w:p>
            <w:pPr>
              <w:spacing w:before="0" w:after="0" w:line="240" w:lineRule="auto"/>
              <w:jc w:val="left"/>
            </w:pPr>
            <w:r/>
            <w:r>
              <w:rPr>
                <w:rFonts w:ascii="Aptos" w:hAnsi="Aptos" w:eastAsia="Aptos" w:cs="Aptos"/>
                <w:b/>
                <w:color w:val="17365D"/>
                <w:sz w:val="16"/>
              </w:rPr>
              <w:t>Stewardship scenarios</w:t>
            </w:r>
          </w:p>
        </w:tc>
        <w:tc>
          <w:tcPr>
            <w:tcW w:type="dxa" w:w="8064"/>
            <w:shd w:fill="FFFFFF"/>
            <w:tcMar>
              <w:top w:w="150" w:type="dxa"/>
              <w:start w:w="110" w:type="dxa"/>
              <w:bottom w:w="150" w:type="dxa"/>
              <w:end w:w="110" w:type="dxa"/>
            </w:tcMar>
            <w:vAlign w:val="center"/>
          </w:tcPr>
          <w:p>
            <w:pPr>
              <w:spacing w:before="0" w:after="0" w:line="240" w:lineRule="auto"/>
              <w:jc w:val="left"/>
            </w:pPr>
            <w:r/>
            <w:r>
              <w:rPr>
                <w:rFonts w:ascii="Aptos" w:hAnsi="Aptos" w:eastAsia="Aptos" w:cs="Aptos"/>
                <w:b w:val="0"/>
                <w:color w:val="1E2D3D"/>
                <w:sz w:val="16"/>
              </w:rPr>
              <w:t>Simulated datasets, metadata records, issue logs and governance requests for practical AI-assisted exercises.</w:t>
            </w:r>
          </w:p>
        </w:tc>
      </w:tr>
      <w:tr>
        <w:tc>
          <w:tcPr>
            <w:tcW w:type="dxa" w:w="1944"/>
            <w:shd w:fill="EAF4F3"/>
            <w:tcMar>
              <w:top w:w="150" w:type="dxa"/>
              <w:start w:w="110" w:type="dxa"/>
              <w:bottom w:w="150" w:type="dxa"/>
              <w:end w:w="110" w:type="dxa"/>
            </w:tcMar>
            <w:vAlign w:val="center"/>
          </w:tcPr>
          <w:p>
            <w:pPr>
              <w:spacing w:before="0" w:after="0" w:line="240" w:lineRule="auto"/>
              <w:jc w:val="left"/>
            </w:pPr>
            <w:r/>
            <w:r>
              <w:rPr>
                <w:rFonts w:ascii="Aptos" w:hAnsi="Aptos" w:eastAsia="Aptos" w:cs="Aptos"/>
                <w:b/>
                <w:color w:val="17365D"/>
                <w:sz w:val="16"/>
              </w:rPr>
              <w:t>Transfer pack</w:t>
            </w:r>
          </w:p>
        </w:tc>
        <w:tc>
          <w:tcPr>
            <w:tcW w:type="dxa" w:w="8064"/>
            <w:shd w:fill="FFFFFF"/>
            <w:tcMar>
              <w:top w:w="150" w:type="dxa"/>
              <w:start w:w="110" w:type="dxa"/>
              <w:bottom w:w="150" w:type="dxa"/>
              <w:end w:w="110" w:type="dxa"/>
            </w:tcMar>
            <w:vAlign w:val="center"/>
          </w:tcPr>
          <w:p>
            <w:pPr>
              <w:spacing w:before="0" w:after="0" w:line="240" w:lineRule="auto"/>
              <w:jc w:val="left"/>
            </w:pPr>
            <w:r/>
            <w:r>
              <w:rPr>
                <w:rFonts w:ascii="Aptos" w:hAnsi="Aptos" w:eastAsia="Aptos" w:cs="Aptos"/>
                <w:b w:val="0"/>
                <w:color w:val="1E2D3D"/>
                <w:sz w:val="16"/>
              </w:rPr>
              <w:t>Job aids, glossary, capstone template and a 30-day action plan for applying learning after the course.</w:t>
            </w:r>
          </w:p>
        </w:tc>
      </w:tr>
    </w:tbl>
    <w:p>
      <w:r>
        <w:br w:type="page"/>
      </w:r>
    </w:p>
    <w:p>
      <w:pPr>
        <w:spacing w:before="60" w:after="40"/>
      </w:pPr>
      <w:r>
        <w:rPr>
          <w:rFonts w:ascii="Aptos" w:hAnsi="Aptos" w:eastAsia="Aptos" w:cs="Aptos"/>
          <w:b/>
          <w:color w:val="17365D"/>
          <w:sz w:val="38"/>
        </w:rPr>
        <w:t>Four-day delivery plan</w:t>
      </w:r>
    </w:p>
    <w:p>
      <w:pPr>
        <w:spacing w:before="0" w:after="100" w:line="252" w:lineRule="auto"/>
      </w:pPr>
      <w:r>
        <w:rPr>
          <w:rFonts w:ascii="Aptos" w:hAnsi="Aptos" w:eastAsia="Aptos" w:cs="Aptos"/>
          <w:b w:val="0"/>
          <w:color w:val="1E2D3D"/>
          <w:sz w:val="18"/>
        </w:rPr>
        <w:t>The programme can be completed in four days, including pre- and post-assessment, when delivered as an intensive cohort experience with protected time for conceptual learning, facilitated discussion and workshop activity. The proposed timetable can be adapted to local governance requirements.</w:t>
      </w:r>
    </w:p>
    <w:tbl>
      <w:tblPr>
        <w:tblStyle w:val="TableGrid"/>
        <w:tblW w:type="auto" w:w="0"/>
        <w:jc w:val="center"/>
        <w:tblLayout w:type="fixed"/>
        <w:tblLook w:firstColumn="1" w:firstRow="1" w:lastColumn="0" w:lastRow="0" w:noHBand="0" w:noVBand="1" w:val="04A0"/>
      </w:tblPr>
      <w:tblGrid>
        <w:gridCol w:w="2642"/>
        <w:gridCol w:w="2642"/>
        <w:gridCol w:w="2642"/>
        <w:gridCol w:w="2642"/>
      </w:tblGrid>
      <w:tr>
        <w:trPr>
          <w:tblHeader w:val="true"/>
        </w:trPr>
        <w:tc>
          <w:tcPr>
            <w:tcW w:type="dxa" w:w="2642"/>
            <w:shd w:fill="17365D"/>
            <w:tcMar>
              <w:top w:w="80" w:type="dxa"/>
              <w:start w:w="100" w:type="dxa"/>
              <w:bottom w:w="80" w:type="dxa"/>
              <w:end w:w="100" w:type="dxa"/>
            </w:tcMar>
            <w:vAlign w:val="center"/>
          </w:tcPr>
          <w:p>
            <w:pPr>
              <w:spacing w:before="0" w:after="0" w:line="240" w:lineRule="auto"/>
              <w:jc w:val="center"/>
            </w:pPr>
            <w:r/>
            <w:r>
              <w:rPr>
                <w:rFonts w:ascii="Aptos" w:hAnsi="Aptos" w:eastAsia="Aptos" w:cs="Aptos"/>
                <w:b/>
                <w:color w:val="FFFFFF"/>
                <w:sz w:val="16"/>
              </w:rPr>
              <w:t>When</w:t>
            </w:r>
          </w:p>
        </w:tc>
        <w:tc>
          <w:tcPr>
            <w:tcW w:type="dxa" w:w="2642"/>
            <w:shd w:fill="17365D"/>
            <w:tcMar>
              <w:top w:w="80" w:type="dxa"/>
              <w:start w:w="100" w:type="dxa"/>
              <w:bottom w:w="80" w:type="dxa"/>
              <w:end w:w="100" w:type="dxa"/>
            </w:tcMar>
            <w:vAlign w:val="center"/>
          </w:tcPr>
          <w:p>
            <w:pPr>
              <w:spacing w:before="0" w:after="0" w:line="240" w:lineRule="auto"/>
              <w:jc w:val="center"/>
            </w:pPr>
            <w:r/>
            <w:r>
              <w:rPr>
                <w:rFonts w:ascii="Aptos" w:hAnsi="Aptos" w:eastAsia="Aptos" w:cs="Aptos"/>
                <w:b/>
                <w:color w:val="FFFFFF"/>
                <w:sz w:val="16"/>
              </w:rPr>
              <w:t>Focus</w:t>
            </w:r>
          </w:p>
        </w:tc>
        <w:tc>
          <w:tcPr>
            <w:tcW w:type="dxa" w:w="2642"/>
            <w:shd w:fill="17365D"/>
            <w:tcMar>
              <w:top w:w="80" w:type="dxa"/>
              <w:start w:w="100" w:type="dxa"/>
              <w:bottom w:w="80" w:type="dxa"/>
              <w:end w:w="100" w:type="dxa"/>
            </w:tcMar>
            <w:vAlign w:val="center"/>
          </w:tcPr>
          <w:p>
            <w:pPr>
              <w:spacing w:before="0" w:after="0" w:line="240" w:lineRule="auto"/>
              <w:jc w:val="center"/>
            </w:pPr>
            <w:r/>
            <w:r>
              <w:rPr>
                <w:rFonts w:ascii="Aptos" w:hAnsi="Aptos" w:eastAsia="Aptos" w:cs="Aptos"/>
                <w:b/>
                <w:color w:val="FFFFFF"/>
                <w:sz w:val="16"/>
              </w:rPr>
              <w:t>Core activity</w:t>
            </w:r>
          </w:p>
        </w:tc>
        <w:tc>
          <w:tcPr>
            <w:tcW w:type="dxa" w:w="2642"/>
            <w:shd w:fill="17365D"/>
            <w:tcMar>
              <w:top w:w="80" w:type="dxa"/>
              <w:start w:w="100" w:type="dxa"/>
              <w:bottom w:w="80" w:type="dxa"/>
              <w:end w:w="100" w:type="dxa"/>
            </w:tcMar>
            <w:vAlign w:val="center"/>
          </w:tcPr>
          <w:p>
            <w:pPr>
              <w:spacing w:before="0" w:after="0" w:line="240" w:lineRule="auto"/>
              <w:jc w:val="center"/>
            </w:pPr>
            <w:r/>
            <w:r>
              <w:rPr>
                <w:rFonts w:ascii="Aptos" w:hAnsi="Aptos" w:eastAsia="Aptos" w:cs="Aptos"/>
                <w:b/>
                <w:color w:val="FFFFFF"/>
                <w:sz w:val="16"/>
              </w:rPr>
              <w:t>Output</w:t>
            </w:r>
          </w:p>
        </w:tc>
      </w:tr>
      <w:tr>
        <w:tc>
          <w:tcPr>
            <w:tcW w:type="dxa" w:w="1123"/>
            <w:shd w:fill="F4F7FA"/>
            <w:tcMar>
              <w:top w:w="80" w:type="dxa"/>
              <w:start w:w="100" w:type="dxa"/>
              <w:bottom w:w="80" w:type="dxa"/>
              <w:end w:w="100" w:type="dxa"/>
            </w:tcMar>
            <w:vAlign w:val="center"/>
          </w:tcPr>
          <w:p>
            <w:pPr>
              <w:spacing w:before="0" w:after="0" w:line="240" w:lineRule="auto"/>
              <w:jc w:val="left"/>
            </w:pPr>
            <w:r/>
            <w:r>
              <w:rPr>
                <w:rFonts w:ascii="Aptos" w:hAnsi="Aptos" w:eastAsia="Aptos" w:cs="Aptos"/>
                <w:b/>
                <w:color w:val="17365D"/>
                <w:sz w:val="15"/>
              </w:rPr>
              <w:t>Pre-course</w:t>
            </w:r>
          </w:p>
        </w:tc>
        <w:tc>
          <w:tcPr>
            <w:tcW w:type="dxa" w:w="1930"/>
            <w:shd w:fill="F4F7FA"/>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30–45 min self-paced</w:t>
            </w:r>
          </w:p>
        </w:tc>
        <w:tc>
          <w:tcPr>
            <w:tcW w:type="dxa" w:w="4824"/>
            <w:shd w:fill="F4F7FA"/>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Baseline knowledge and confidence check; submit one recurring stewardship task for exploration.</w:t>
            </w:r>
          </w:p>
        </w:tc>
        <w:tc>
          <w:tcPr>
            <w:tcW w:type="dxa" w:w="2045"/>
            <w:shd w:fill="F4F7FA"/>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Facilitator diagnostic and personal use-case canvas.</w:t>
            </w:r>
          </w:p>
        </w:tc>
      </w:tr>
      <w:tr>
        <w:tc>
          <w:tcPr>
            <w:tcW w:type="dxa" w:w="1123"/>
            <w:shd w:fill="FFFFFF"/>
            <w:tcMar>
              <w:top w:w="80" w:type="dxa"/>
              <w:start w:w="100" w:type="dxa"/>
              <w:bottom w:w="80" w:type="dxa"/>
              <w:end w:w="100" w:type="dxa"/>
            </w:tcMar>
            <w:vAlign w:val="center"/>
          </w:tcPr>
          <w:p>
            <w:pPr>
              <w:spacing w:before="0" w:after="0" w:line="240" w:lineRule="auto"/>
              <w:jc w:val="left"/>
            </w:pPr>
            <w:r/>
            <w:r>
              <w:rPr>
                <w:rFonts w:ascii="Aptos" w:hAnsi="Aptos" w:eastAsia="Aptos" w:cs="Aptos"/>
                <w:b/>
                <w:color w:val="17365D"/>
                <w:sz w:val="15"/>
              </w:rPr>
              <w:t>Day 1</w:t>
            </w:r>
          </w:p>
        </w:tc>
        <w:tc>
          <w:tcPr>
            <w:tcW w:type="dxa" w:w="1930"/>
            <w:shd w:fill="FFFFFF"/>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AI in the steward’s role</w:t>
            </w:r>
          </w:p>
        </w:tc>
        <w:tc>
          <w:tcPr>
            <w:tcW w:type="dxa" w:w="4824"/>
            <w:shd w:fill="FFFFFF"/>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Establish AI concepts, limitations and stewardship guardrails; select suitable tasks; practise prompt, context and verification.</w:t>
            </w:r>
          </w:p>
        </w:tc>
        <w:tc>
          <w:tcPr>
            <w:tcW w:type="dxa" w:w="2045"/>
            <w:shd w:fill="FFFFFF"/>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Prioritised AI opportunity map and tested prompt pattern.</w:t>
            </w:r>
          </w:p>
        </w:tc>
      </w:tr>
      <w:tr>
        <w:tc>
          <w:tcPr>
            <w:tcW w:type="dxa" w:w="1123"/>
            <w:shd w:fill="F4F7FA"/>
            <w:tcMar>
              <w:top w:w="80" w:type="dxa"/>
              <w:start w:w="100" w:type="dxa"/>
              <w:bottom w:w="80" w:type="dxa"/>
              <w:end w:w="100" w:type="dxa"/>
            </w:tcMar>
            <w:vAlign w:val="center"/>
          </w:tcPr>
          <w:p>
            <w:pPr>
              <w:spacing w:before="0" w:after="0" w:line="240" w:lineRule="auto"/>
              <w:jc w:val="left"/>
            </w:pPr>
            <w:r/>
            <w:r>
              <w:rPr>
                <w:rFonts w:ascii="Aptos" w:hAnsi="Aptos" w:eastAsia="Aptos" w:cs="Aptos"/>
                <w:b/>
                <w:color w:val="17365D"/>
                <w:sz w:val="15"/>
              </w:rPr>
              <w:t>Day 2</w:t>
            </w:r>
          </w:p>
        </w:tc>
        <w:tc>
          <w:tcPr>
            <w:tcW w:type="dxa" w:w="1930"/>
            <w:shd w:fill="F4F7FA"/>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AI-assisted stewardship work</w:t>
            </w:r>
          </w:p>
        </w:tc>
        <w:tc>
          <w:tcPr>
            <w:tcW w:type="dxa" w:w="4824"/>
            <w:shd w:fill="F4F7FA"/>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Use AI to draft metadata, explore quality issues, classify information and improve stakeholder communications.</w:t>
            </w:r>
          </w:p>
        </w:tc>
        <w:tc>
          <w:tcPr>
            <w:tcW w:type="dxa" w:w="2045"/>
            <w:shd w:fill="F4F7FA"/>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Reviewed metadata, quality and communication artefacts.</w:t>
            </w:r>
          </w:p>
        </w:tc>
      </w:tr>
      <w:tr>
        <w:tc>
          <w:tcPr>
            <w:tcW w:type="dxa" w:w="1123"/>
            <w:shd w:fill="FFFFFF"/>
            <w:tcMar>
              <w:top w:w="80" w:type="dxa"/>
              <w:start w:w="100" w:type="dxa"/>
              <w:bottom w:w="80" w:type="dxa"/>
              <w:end w:w="100" w:type="dxa"/>
            </w:tcMar>
            <w:vAlign w:val="center"/>
          </w:tcPr>
          <w:p>
            <w:pPr>
              <w:spacing w:before="0" w:after="0" w:line="240" w:lineRule="auto"/>
              <w:jc w:val="left"/>
            </w:pPr>
            <w:r/>
            <w:r>
              <w:rPr>
                <w:rFonts w:ascii="Aptos" w:hAnsi="Aptos" w:eastAsia="Aptos" w:cs="Aptos"/>
                <w:b/>
                <w:color w:val="17365D"/>
                <w:sz w:val="15"/>
              </w:rPr>
              <w:t>Day 3</w:t>
            </w:r>
          </w:p>
        </w:tc>
        <w:tc>
          <w:tcPr>
            <w:tcW w:type="dxa" w:w="1930"/>
            <w:shd w:fill="FFFFFF"/>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Responsible and controlled use</w:t>
            </w:r>
          </w:p>
        </w:tc>
        <w:tc>
          <w:tcPr>
            <w:tcW w:type="dxa" w:w="4824"/>
            <w:shd w:fill="FFFFFF"/>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Test for weak outputs and risk; define privacy, security, human-review, evidence and escalation safeguards.</w:t>
            </w:r>
          </w:p>
        </w:tc>
        <w:tc>
          <w:tcPr>
            <w:tcW w:type="dxa" w:w="2045"/>
            <w:shd w:fill="FFFFFF"/>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Safe-use checklist and controlled workflow design.</w:t>
            </w:r>
          </w:p>
        </w:tc>
      </w:tr>
      <w:tr>
        <w:tc>
          <w:tcPr>
            <w:tcW w:type="dxa" w:w="1123"/>
            <w:shd w:fill="F4F7FA"/>
            <w:tcMar>
              <w:top w:w="80" w:type="dxa"/>
              <w:start w:w="100" w:type="dxa"/>
              <w:bottom w:w="80" w:type="dxa"/>
              <w:end w:w="100" w:type="dxa"/>
            </w:tcMar>
            <w:vAlign w:val="center"/>
          </w:tcPr>
          <w:p>
            <w:pPr>
              <w:spacing w:before="0" w:after="0" w:line="240" w:lineRule="auto"/>
              <w:jc w:val="left"/>
            </w:pPr>
            <w:r/>
            <w:r>
              <w:rPr>
                <w:rFonts w:ascii="Aptos" w:hAnsi="Aptos" w:eastAsia="Aptos" w:cs="Aptos"/>
                <w:b/>
                <w:color w:val="17365D"/>
                <w:sz w:val="15"/>
              </w:rPr>
              <w:t>Day 4</w:t>
            </w:r>
          </w:p>
        </w:tc>
        <w:tc>
          <w:tcPr>
            <w:tcW w:type="dxa" w:w="1930"/>
            <w:shd w:fill="F4F7FA"/>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Applied capstone and assessment</w:t>
            </w:r>
          </w:p>
        </w:tc>
        <w:tc>
          <w:tcPr>
            <w:tcW w:type="dxa" w:w="4824"/>
            <w:shd w:fill="F4F7FA"/>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Build and peer-review an AI-assisted stewardship workflow; complete post-assessment and a 30-day transfer plan.</w:t>
            </w:r>
          </w:p>
        </w:tc>
        <w:tc>
          <w:tcPr>
            <w:tcW w:type="dxa" w:w="2045"/>
            <w:shd w:fill="F4F7FA"/>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Assessed capstone and individual action plan.</w:t>
            </w:r>
          </w:p>
        </w:tc>
      </w:tr>
      <w:tr>
        <w:tc>
          <w:tcPr>
            <w:tcW w:type="dxa" w:w="1123"/>
            <w:shd w:fill="FFFFFF"/>
            <w:tcMar>
              <w:top w:w="80" w:type="dxa"/>
              <w:start w:w="100" w:type="dxa"/>
              <w:bottom w:w="80" w:type="dxa"/>
              <w:end w:w="100" w:type="dxa"/>
            </w:tcMar>
            <w:vAlign w:val="center"/>
          </w:tcPr>
          <w:p>
            <w:pPr>
              <w:spacing w:before="0" w:after="0" w:line="240" w:lineRule="auto"/>
              <w:jc w:val="left"/>
            </w:pPr>
            <w:r/>
            <w:r>
              <w:rPr>
                <w:rFonts w:ascii="Aptos" w:hAnsi="Aptos" w:eastAsia="Aptos" w:cs="Aptos"/>
                <w:b/>
                <w:color w:val="17365D"/>
                <w:sz w:val="15"/>
              </w:rPr>
              <w:t>Post-course</w:t>
            </w:r>
          </w:p>
        </w:tc>
        <w:tc>
          <w:tcPr>
            <w:tcW w:type="dxa" w:w="1930"/>
            <w:shd w:fill="FFFFFF"/>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Optional follow-up</w:t>
            </w:r>
          </w:p>
        </w:tc>
        <w:tc>
          <w:tcPr>
            <w:tcW w:type="dxa" w:w="4824"/>
            <w:shd w:fill="FFFFFF"/>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Manager check-in or community-of-practice session to review implementation progress.</w:t>
            </w:r>
          </w:p>
        </w:tc>
        <w:tc>
          <w:tcPr>
            <w:tcW w:type="dxa" w:w="2045"/>
            <w:shd w:fill="FFFFFF"/>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Follow-up commitments and evidence of adoption.</w:t>
            </w:r>
          </w:p>
        </w:tc>
      </w:tr>
    </w:tbl>
    <w:p>
      <w:pPr>
        <w:pStyle w:val="Heading1"/>
        <w:spacing w:before="100" w:after="60" w:line="240" w:lineRule="auto"/>
      </w:pPr>
      <w:r>
        <w:rPr>
          <w:rFonts w:ascii="Aptos" w:hAnsi="Aptos" w:eastAsia="Aptos" w:cs="Aptos"/>
          <w:b/>
          <w:color w:val="17365D"/>
          <w:sz w:val="26"/>
        </w:rPr>
        <w:t>Hands-on learning: built into every day</w:t>
      </w:r>
    </w:p>
    <w:p>
      <w:pPr>
        <w:spacing w:before="0" w:after="40" w:line="252" w:lineRule="auto"/>
      </w:pPr>
      <w:r>
        <w:rPr>
          <w:rFonts w:ascii="Aptos" w:hAnsi="Aptos" w:eastAsia="Aptos" w:cs="Aptos"/>
          <w:b w:val="0"/>
          <w:color w:val="1E2D3D"/>
          <w:sz w:val="17"/>
        </w:rPr>
        <w:t>Each day combines essential theory, discussion, demonstration and hands-on application. Participants use approved tools—Anthropic Claude or Microsoft Copilot—on safe, authorised materials, then use professional judgement to verify and improve results.</w:t>
      </w:r>
    </w:p>
    <w:p>
      <w:pPr>
        <w:pStyle w:val="ListBullet"/>
        <w:spacing w:before="0" w:after="26" w:line="240" w:lineRule="auto"/>
        <w:ind w:left="259" w:hanging="144"/>
      </w:pPr>
      <w:r>
        <w:rPr>
          <w:rFonts w:ascii="Aptos" w:hAnsi="Aptos" w:eastAsia="Aptos" w:cs="Aptos"/>
          <w:b w:val="0"/>
          <w:color w:val="1E2D3D"/>
          <w:sz w:val="17"/>
        </w:rPr>
        <w:t>Day 1: compare prompts, context and verification methods on a familiar stewardship task; record what improved the result.</w:t>
      </w:r>
    </w:p>
    <w:p>
      <w:pPr>
        <w:pStyle w:val="ListBullet"/>
        <w:spacing w:before="0" w:after="26" w:line="240" w:lineRule="auto"/>
        <w:ind w:left="259" w:hanging="144"/>
      </w:pPr>
      <w:r>
        <w:rPr>
          <w:rFonts w:ascii="Aptos" w:hAnsi="Aptos" w:eastAsia="Aptos" w:cs="Aptos"/>
          <w:b w:val="0"/>
          <w:color w:val="1E2D3D"/>
          <w:sz w:val="17"/>
        </w:rPr>
        <w:t>Day 2: generate draft metadata, investigate a quality issue and translate findings into clear stakeholder communication.</w:t>
      </w:r>
    </w:p>
    <w:p>
      <w:pPr>
        <w:pStyle w:val="ListBullet"/>
        <w:spacing w:before="0" w:after="26" w:line="240" w:lineRule="auto"/>
        <w:ind w:left="259" w:hanging="144"/>
      </w:pPr>
      <w:r>
        <w:rPr>
          <w:rFonts w:ascii="Aptos" w:hAnsi="Aptos" w:eastAsia="Aptos" w:cs="Aptos"/>
          <w:b w:val="0"/>
          <w:color w:val="1E2D3D"/>
          <w:sz w:val="17"/>
        </w:rPr>
        <w:t>Day 3: challenge an AI output for error, unsupported claims, bias and sensitive-data risk; design a controlled human-review workflow.</w:t>
      </w:r>
    </w:p>
    <w:p>
      <w:pPr>
        <w:pStyle w:val="ListBullet"/>
        <w:spacing w:before="0" w:after="26" w:line="240" w:lineRule="auto"/>
        <w:ind w:left="259" w:hanging="144"/>
      </w:pPr>
      <w:r>
        <w:rPr>
          <w:rFonts w:ascii="Aptos" w:hAnsi="Aptos" w:eastAsia="Aptos" w:cs="Aptos"/>
          <w:b w:val="0"/>
          <w:color w:val="1E2D3D"/>
          <w:sz w:val="17"/>
        </w:rPr>
        <w:t>Day 4: build and peer-review a repeatable AI-assisted stewardship workflow, then refine it against shared acceptance criteria.</w:t>
      </w:r>
    </w:p>
    <w:p>
      <w:pPr>
        <w:pStyle w:val="Heading1"/>
        <w:spacing w:before="100" w:after="60" w:line="240" w:lineRule="auto"/>
      </w:pPr>
      <w:r>
        <w:rPr>
          <w:rFonts w:ascii="Aptos" w:hAnsi="Aptos" w:eastAsia="Aptos" w:cs="Aptos"/>
          <w:b/>
          <w:color w:val="17365D"/>
          <w:sz w:val="26"/>
        </w:rPr>
        <w:t>Assessment and evidence of learning</w:t>
      </w:r>
    </w:p>
    <w:tbl>
      <w:tblPr>
        <w:tblW w:type="auto" w:w="0"/>
        <w:jc w:val="center"/>
        <w:tblLayout w:type="fixed"/>
        <w:tblLook w:firstColumn="1" w:firstRow="1" w:lastColumn="0" w:lastRow="0" w:noHBand="0" w:noVBand="1" w:val="04A0"/>
      </w:tblPr>
      <w:tblGrid>
        <w:gridCol w:w="3523"/>
        <w:gridCol w:w="3523"/>
        <w:gridCol w:w="3523"/>
      </w:tblGrid>
      <w:tr>
        <w:tc>
          <w:tcPr>
            <w:tcW w:type="dxa" w:w="3523"/>
            <w:shd w:fill="0B7A75"/>
            <w:tcMar>
              <w:top w:w="80" w:type="dxa"/>
              <w:start w:w="100" w:type="dxa"/>
              <w:bottom w:w="80" w:type="dxa"/>
              <w:end w:w="100" w:type="dxa"/>
            </w:tcMar>
            <w:vAlign w:val="center"/>
          </w:tcPr>
          <w:p>
            <w:pPr>
              <w:spacing w:before="0" w:after="0" w:line="240" w:lineRule="auto"/>
              <w:jc w:val="center"/>
            </w:pPr>
            <w:r/>
            <w:r>
              <w:rPr>
                <w:rFonts w:ascii="Aptos" w:hAnsi="Aptos" w:eastAsia="Aptos" w:cs="Aptos"/>
                <w:b/>
                <w:color w:val="FFFFFF"/>
                <w:sz w:val="16"/>
              </w:rPr>
              <w:t>Point</w:t>
            </w:r>
          </w:p>
        </w:tc>
        <w:tc>
          <w:tcPr>
            <w:tcW w:type="dxa" w:w="3523"/>
            <w:shd w:fill="0B7A75"/>
            <w:tcMar>
              <w:top w:w="80" w:type="dxa"/>
              <w:start w:w="100" w:type="dxa"/>
              <w:bottom w:w="80" w:type="dxa"/>
              <w:end w:w="100" w:type="dxa"/>
            </w:tcMar>
            <w:vAlign w:val="center"/>
          </w:tcPr>
          <w:p>
            <w:pPr>
              <w:spacing w:before="0" w:after="0" w:line="240" w:lineRule="auto"/>
              <w:jc w:val="center"/>
            </w:pPr>
            <w:r/>
            <w:r>
              <w:rPr>
                <w:rFonts w:ascii="Aptos" w:hAnsi="Aptos" w:eastAsia="Aptos" w:cs="Aptos"/>
                <w:b/>
                <w:color w:val="FFFFFF"/>
                <w:sz w:val="16"/>
              </w:rPr>
              <w:t>Method</w:t>
            </w:r>
          </w:p>
        </w:tc>
        <w:tc>
          <w:tcPr>
            <w:tcW w:type="dxa" w:w="3523"/>
            <w:shd w:fill="0B7A75"/>
            <w:tcMar>
              <w:top w:w="80" w:type="dxa"/>
              <w:start w:w="100" w:type="dxa"/>
              <w:bottom w:w="80" w:type="dxa"/>
              <w:end w:w="100" w:type="dxa"/>
            </w:tcMar>
            <w:vAlign w:val="center"/>
          </w:tcPr>
          <w:p>
            <w:pPr>
              <w:spacing w:before="0" w:after="0" w:line="240" w:lineRule="auto"/>
              <w:jc w:val="center"/>
            </w:pPr>
            <w:r/>
            <w:r>
              <w:rPr>
                <w:rFonts w:ascii="Aptos" w:hAnsi="Aptos" w:eastAsia="Aptos" w:cs="Aptos"/>
                <w:b/>
                <w:color w:val="FFFFFF"/>
                <w:sz w:val="16"/>
              </w:rPr>
              <w:t>Evidence / purpose</w:t>
            </w:r>
          </w:p>
        </w:tc>
      </w:tr>
      <w:tr>
        <w:tc>
          <w:tcPr>
            <w:tcW w:type="dxa" w:w="3523"/>
            <w:shd w:fill="EAF4F3"/>
            <w:tcMar>
              <w:top w:w="80" w:type="dxa"/>
              <w:start w:w="100" w:type="dxa"/>
              <w:bottom w:w="80" w:type="dxa"/>
              <w:end w:w="100" w:type="dxa"/>
            </w:tcMar>
            <w:vAlign w:val="center"/>
          </w:tcPr>
          <w:p>
            <w:pPr>
              <w:spacing w:before="0" w:after="0" w:line="240" w:lineRule="auto"/>
              <w:jc w:val="left"/>
            </w:pPr>
            <w:r/>
            <w:r>
              <w:rPr>
                <w:rFonts w:ascii="Aptos" w:hAnsi="Aptos" w:eastAsia="Aptos" w:cs="Aptos"/>
                <w:b/>
                <w:color w:val="17365D"/>
                <w:sz w:val="15"/>
              </w:rPr>
              <w:t>Pre-assessment</w:t>
            </w:r>
          </w:p>
        </w:tc>
        <w:tc>
          <w:tcPr>
            <w:tcW w:type="dxa" w:w="3523"/>
            <w:shd w:fill="FFFFFF"/>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Short diagnostic and confidence survey</w:t>
            </w:r>
          </w:p>
        </w:tc>
        <w:tc>
          <w:tcPr>
            <w:tcW w:type="dxa" w:w="3523"/>
            <w:shd w:fill="FFFFFF"/>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Tailors facilitation; establishes a baseline. Not a pass/fail gate.</w:t>
            </w:r>
          </w:p>
        </w:tc>
      </w:tr>
      <w:tr>
        <w:tc>
          <w:tcPr>
            <w:tcW w:type="dxa" w:w="3523"/>
            <w:shd w:fill="EAF4F3"/>
            <w:tcMar>
              <w:top w:w="80" w:type="dxa"/>
              <w:start w:w="100" w:type="dxa"/>
              <w:bottom w:w="80" w:type="dxa"/>
              <w:end w:w="100" w:type="dxa"/>
            </w:tcMar>
            <w:vAlign w:val="center"/>
          </w:tcPr>
          <w:p>
            <w:pPr>
              <w:spacing w:before="0" w:after="0" w:line="240" w:lineRule="auto"/>
              <w:jc w:val="left"/>
            </w:pPr>
            <w:r/>
            <w:r>
              <w:rPr>
                <w:rFonts w:ascii="Aptos" w:hAnsi="Aptos" w:eastAsia="Aptos" w:cs="Aptos"/>
                <w:b/>
                <w:color w:val="17365D"/>
                <w:sz w:val="15"/>
              </w:rPr>
              <w:t>During course</w:t>
            </w:r>
          </w:p>
        </w:tc>
        <w:tc>
          <w:tcPr>
            <w:tcW w:type="dxa" w:w="3523"/>
            <w:shd w:fill="FFFFFF"/>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Facilitator observation, peer feedback and artefact checks</w:t>
            </w:r>
          </w:p>
        </w:tc>
        <w:tc>
          <w:tcPr>
            <w:tcW w:type="dxa" w:w="3523"/>
            <w:shd w:fill="FFFFFF"/>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Checks conceptual understanding and practical stewardship decisions.</w:t>
            </w:r>
          </w:p>
        </w:tc>
      </w:tr>
      <w:tr>
        <w:tc>
          <w:tcPr>
            <w:tcW w:type="dxa" w:w="3523"/>
            <w:shd w:fill="EAF4F3"/>
            <w:tcMar>
              <w:top w:w="80" w:type="dxa"/>
              <w:start w:w="100" w:type="dxa"/>
              <w:bottom w:w="80" w:type="dxa"/>
              <w:end w:w="100" w:type="dxa"/>
            </w:tcMar>
            <w:vAlign w:val="center"/>
          </w:tcPr>
          <w:p>
            <w:pPr>
              <w:spacing w:before="0" w:after="0" w:line="240" w:lineRule="auto"/>
              <w:jc w:val="left"/>
            </w:pPr>
            <w:r/>
            <w:r>
              <w:rPr>
                <w:rFonts w:ascii="Aptos" w:hAnsi="Aptos" w:eastAsia="Aptos" w:cs="Aptos"/>
                <w:b/>
                <w:color w:val="17365D"/>
                <w:sz w:val="15"/>
              </w:rPr>
              <w:t>Post-assessment</w:t>
            </w:r>
          </w:p>
        </w:tc>
        <w:tc>
          <w:tcPr>
            <w:tcW w:type="dxa" w:w="3523"/>
            <w:shd w:fill="FFFFFF"/>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Scenario-based knowledge check plus capstone review</w:t>
            </w:r>
          </w:p>
        </w:tc>
        <w:tc>
          <w:tcPr>
            <w:tcW w:type="dxa" w:w="3523"/>
            <w:shd w:fill="FFFFFF"/>
            <w:tcMar>
              <w:top w:w="80" w:type="dxa"/>
              <w:start w:w="100" w:type="dxa"/>
              <w:bottom w:w="80" w:type="dxa"/>
              <w:end w:w="100" w:type="dxa"/>
            </w:tcMar>
            <w:vAlign w:val="center"/>
          </w:tcPr>
          <w:p>
            <w:pPr>
              <w:spacing w:before="0" w:after="0" w:line="240" w:lineRule="auto"/>
              <w:jc w:val="left"/>
            </w:pPr>
            <w:r/>
            <w:r>
              <w:rPr>
                <w:rFonts w:ascii="Aptos" w:hAnsi="Aptos" w:eastAsia="Aptos" w:cs="Aptos"/>
                <w:b w:val="0"/>
                <w:color w:val="1E2D3D"/>
                <w:sz w:val="15"/>
              </w:rPr>
              <w:t>Measures change from baseline and confirms applied understanding.</w:t>
            </w:r>
          </w:p>
        </w:tc>
      </w:tr>
    </w:tbl>
    <w:p>
      <w:pPr>
        <w:pStyle w:val="Heading1"/>
        <w:spacing w:before="100" w:after="60" w:line="240" w:lineRule="auto"/>
      </w:pPr>
      <w:r>
        <w:rPr>
          <w:rFonts w:ascii="Aptos" w:hAnsi="Aptos" w:eastAsia="Aptos" w:cs="Aptos"/>
          <w:b/>
          <w:color w:val="17365D"/>
          <w:sz w:val="26"/>
        </w:rPr>
        <w:t>Completion recommendation</w:t>
      </w:r>
    </w:p>
    <w:p>
      <w:pPr>
        <w:spacing w:before="0" w:after="60" w:line="252" w:lineRule="auto"/>
      </w:pPr>
      <w:r>
        <w:rPr>
          <w:rFonts w:ascii="Aptos" w:hAnsi="Aptos" w:eastAsia="Aptos" w:cs="Aptos"/>
          <w:b w:val="0"/>
          <w:color w:val="1E2D3D"/>
          <w:sz w:val="17"/>
        </w:rPr>
        <w:t>Recommended cadence: four consecutive full days or two two-day blocks within two weeks. Allow 30–45 minutes for pre-assessment before Day 1 and 45–60 minutes for post-assessment and capstone review on Day 4. Participants should bring a non-sensitive representative task, or use the controlled scenario pack.</w:t>
      </w:r>
    </w:p>
    <w:tbl>
      <w:tblPr>
        <w:tblW w:type="auto" w:w="0"/>
        <w:tblLook w:firstColumn="1" w:firstRow="1" w:lastColumn="0" w:lastRow="0" w:noHBand="0" w:noVBand="1" w:val="04A0"/>
      </w:tblPr>
      <w:tblGrid>
        <w:gridCol w:w="10570"/>
      </w:tblGrid>
      <w:tr>
        <w:tc>
          <w:tcPr>
            <w:tcW w:type="dxa" w:w="10570"/>
            <w:shd w:fill="FFF4DD"/>
            <w:tcMar>
              <w:top w:w="80" w:type="dxa"/>
              <w:start w:w="115" w:type="dxa"/>
              <w:bottom w:w="80" w:type="dxa"/>
              <w:end w:w="115" w:type="dxa"/>
            </w:tcMar>
          </w:tcPr>
          <w:p>
            <w:pPr>
              <w:spacing w:after="0" w:line="240" w:lineRule="auto"/>
            </w:pPr>
            <w:r>
              <w:rPr>
                <w:rFonts w:ascii="Aptos" w:hAnsi="Aptos" w:eastAsia="Aptos" w:cs="Aptos"/>
                <w:b/>
                <w:color w:val="8A5400"/>
                <w:sz w:val="17"/>
              </w:rPr>
              <w:t xml:space="preserve">Decision: feasible in four days. </w:t>
            </w:r>
            <w:r>
              <w:rPr>
                <w:rFonts w:ascii="Aptos" w:hAnsi="Aptos" w:eastAsia="Aptos" w:cs="Aptos"/>
                <w:b w:val="0"/>
                <w:color w:val="5F471E"/>
                <w:sz w:val="17"/>
              </w:rPr>
              <w:t>Success depends on an approved AI environment, relevant stewardship examples, and protected time for conceptual sessions, practice, the capstone and both assessments.</w:t>
            </w:r>
          </w:p>
        </w:tc>
      </w:tr>
    </w:tbl>
    <w:sectPr w:rsidR="00FC693F" w:rsidRPr="0006063C" w:rsidSect="00034616">
      <w:headerReference w:type="default" r:id="rId9"/>
      <w:footerReference w:type="default" r:id="rId10"/>
      <w:pgSz w:w="12240" w:h="15840"/>
      <w:pgMar w:top="605" w:right="835" w:bottom="605" w:left="835"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ptos" w:hAnsi="Aptos" w:eastAsia="Aptos" w:cs="Aptos"/>
        <w:b w:val="0"/>
        <w:color w:val="52616B"/>
        <w:sz w:val="15"/>
      </w:rPr>
      <w:t xml:space="preserve">AI for Data Stewards  |  Proposal Brief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eastAsia="Aptos" w:cs="Aptos"/>
        <w:b/>
        <w:color w:val="0B7A75"/>
        <w:sz w:val="15"/>
      </w:rPr>
      <w:t>PROPOSED PROGRAMME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eastAsia="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eastAsia="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