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42DB" w14:textId="0343A9F9" w:rsidR="00B841BD" w:rsidRDefault="00B841BD" w:rsidP="00590494">
      <w:pPr>
        <w:spacing w:line="360" w:lineRule="auto"/>
        <w:jc w:val="center"/>
        <w:rPr>
          <w:rFonts w:asciiTheme="minorHAnsi" w:hAnsiTheme="minorHAnsi" w:cstheme="minorHAnsi"/>
          <w:b/>
          <w:bCs/>
          <w:color w:val="2F5496" w:themeColor="accent1" w:themeShade="BF"/>
          <w:sz w:val="52"/>
          <w:szCs w:val="52"/>
          <w:lang w:val="en-US"/>
        </w:rPr>
      </w:pPr>
    </w:p>
    <w:p w14:paraId="55DC63D6" w14:textId="02EEF34C" w:rsidR="00B841BD" w:rsidRDefault="00B841BD" w:rsidP="00590494">
      <w:pPr>
        <w:spacing w:line="360" w:lineRule="auto"/>
        <w:jc w:val="center"/>
        <w:rPr>
          <w:rFonts w:asciiTheme="minorHAnsi" w:hAnsiTheme="minorHAnsi" w:cstheme="minorHAnsi"/>
          <w:b/>
          <w:bCs/>
          <w:color w:val="2F5496" w:themeColor="accent1" w:themeShade="BF"/>
          <w:sz w:val="52"/>
          <w:szCs w:val="52"/>
          <w:lang w:val="en-US"/>
        </w:rPr>
      </w:pPr>
    </w:p>
    <w:p w14:paraId="23F859F7" w14:textId="77777777" w:rsidR="00B841BD" w:rsidRDefault="00B841BD" w:rsidP="00590494">
      <w:pPr>
        <w:spacing w:line="360" w:lineRule="auto"/>
        <w:jc w:val="center"/>
        <w:rPr>
          <w:rFonts w:asciiTheme="minorHAnsi" w:hAnsiTheme="minorHAnsi" w:cstheme="minorHAnsi"/>
          <w:b/>
          <w:bCs/>
          <w:color w:val="2F5496" w:themeColor="accent1" w:themeShade="BF"/>
          <w:sz w:val="52"/>
          <w:szCs w:val="52"/>
          <w:lang w:val="en-US"/>
        </w:rPr>
      </w:pPr>
    </w:p>
    <w:p w14:paraId="2C78A939" w14:textId="4E9BF386" w:rsidR="00590494" w:rsidRDefault="00590494" w:rsidP="00590494">
      <w:pPr>
        <w:spacing w:line="360" w:lineRule="auto"/>
        <w:jc w:val="center"/>
        <w:rPr>
          <w:rFonts w:asciiTheme="minorHAnsi" w:hAnsiTheme="minorHAnsi" w:cstheme="minorHAnsi"/>
          <w:b/>
          <w:bCs/>
          <w:color w:val="2F5496" w:themeColor="accent1" w:themeShade="BF"/>
          <w:sz w:val="52"/>
          <w:szCs w:val="52"/>
          <w:lang w:val="en-US"/>
        </w:rPr>
      </w:pPr>
      <w:r>
        <w:rPr>
          <w:rFonts w:asciiTheme="minorHAnsi" w:hAnsiTheme="minorHAnsi" w:cstheme="minorHAnsi"/>
          <w:b/>
          <w:bCs/>
          <w:color w:val="2F5496" w:themeColor="accent1" w:themeShade="BF"/>
          <w:sz w:val="52"/>
          <w:szCs w:val="52"/>
          <w:lang w:val="en-US"/>
        </w:rPr>
        <w:t>DOES THE DECLINE IN THE WELFARE OF TURKISH CITIZENS CAUSE THE GOVERNMENT VOTES TO DIMINISH?</w:t>
      </w:r>
    </w:p>
    <w:p w14:paraId="31802F93" w14:textId="21B7094E" w:rsidR="00590494" w:rsidRDefault="00590494" w:rsidP="00590494">
      <w:pPr>
        <w:spacing w:line="360" w:lineRule="auto"/>
        <w:jc w:val="center"/>
        <w:rPr>
          <w:rFonts w:asciiTheme="minorHAnsi" w:hAnsiTheme="minorHAnsi" w:cstheme="minorHAnsi"/>
          <w:b/>
          <w:bCs/>
          <w:color w:val="000000" w:themeColor="text1"/>
          <w:sz w:val="40"/>
          <w:szCs w:val="40"/>
          <w:lang w:val="en-US"/>
        </w:rPr>
      </w:pPr>
      <w:r>
        <w:rPr>
          <w:rFonts w:asciiTheme="minorHAnsi" w:hAnsiTheme="minorHAnsi" w:cstheme="minorHAnsi"/>
          <w:b/>
          <w:bCs/>
          <w:color w:val="000000" w:themeColor="text1"/>
          <w:sz w:val="40"/>
          <w:szCs w:val="40"/>
          <w:lang w:val="en-US"/>
        </w:rPr>
        <w:t>Analysis Using Python and Multivariate Linear Regression Model</w:t>
      </w:r>
    </w:p>
    <w:p w14:paraId="05ECC13E" w14:textId="66BE1B12" w:rsidR="00590494" w:rsidRDefault="00590494" w:rsidP="00590494">
      <w:pPr>
        <w:spacing w:line="360" w:lineRule="auto"/>
        <w:jc w:val="center"/>
        <w:rPr>
          <w:rFonts w:asciiTheme="minorHAnsi" w:hAnsiTheme="minorHAnsi" w:cstheme="minorHAnsi"/>
          <w:b/>
          <w:bCs/>
          <w:color w:val="000000" w:themeColor="text1"/>
          <w:sz w:val="40"/>
          <w:szCs w:val="40"/>
          <w:lang w:val="en-US"/>
        </w:rPr>
      </w:pPr>
    </w:p>
    <w:p w14:paraId="103F1BC5" w14:textId="11F229E5" w:rsidR="00B841BD" w:rsidRDefault="00B841BD" w:rsidP="00590494">
      <w:pPr>
        <w:spacing w:line="360" w:lineRule="auto"/>
        <w:jc w:val="center"/>
        <w:rPr>
          <w:rFonts w:asciiTheme="minorHAnsi" w:hAnsiTheme="minorHAnsi" w:cstheme="minorHAnsi"/>
          <w:color w:val="000000" w:themeColor="text1"/>
          <w:sz w:val="36"/>
          <w:szCs w:val="36"/>
          <w:lang w:val="en-US"/>
        </w:rPr>
      </w:pPr>
    </w:p>
    <w:p w14:paraId="3E2ABF14" w14:textId="57800D92" w:rsidR="00B841BD" w:rsidRPr="00B841BD" w:rsidRDefault="00B841BD" w:rsidP="00590494">
      <w:pPr>
        <w:spacing w:line="360" w:lineRule="auto"/>
        <w:jc w:val="center"/>
        <w:rPr>
          <w:rFonts w:asciiTheme="minorHAnsi" w:hAnsiTheme="minorHAnsi" w:cstheme="minorHAnsi"/>
          <w:color w:val="000000" w:themeColor="text1"/>
          <w:sz w:val="36"/>
          <w:szCs w:val="36"/>
          <w:u w:val="single"/>
          <w:lang w:val="en-US"/>
        </w:rPr>
      </w:pPr>
      <w:r w:rsidRPr="00B841BD">
        <w:rPr>
          <w:rFonts w:asciiTheme="minorHAnsi" w:hAnsiTheme="minorHAnsi" w:cstheme="minorHAnsi"/>
          <w:color w:val="000000" w:themeColor="text1"/>
          <w:sz w:val="36"/>
          <w:szCs w:val="36"/>
          <w:u w:val="single"/>
          <w:lang w:val="en-US"/>
        </w:rPr>
        <w:t>Authors:</w:t>
      </w:r>
    </w:p>
    <w:p w14:paraId="2621808B" w14:textId="60191AEC" w:rsidR="00590494" w:rsidRDefault="00590494" w:rsidP="00590494">
      <w:pPr>
        <w:spacing w:line="360" w:lineRule="auto"/>
        <w:jc w:val="center"/>
        <w:rPr>
          <w:rFonts w:asciiTheme="minorHAnsi" w:hAnsiTheme="minorHAnsi" w:cstheme="minorHAnsi"/>
          <w:color w:val="000000" w:themeColor="text1"/>
          <w:sz w:val="36"/>
          <w:szCs w:val="36"/>
          <w:lang w:val="en-US"/>
        </w:rPr>
      </w:pPr>
      <w:proofErr w:type="spellStart"/>
      <w:r>
        <w:rPr>
          <w:rFonts w:asciiTheme="minorHAnsi" w:hAnsiTheme="minorHAnsi" w:cstheme="minorHAnsi"/>
          <w:color w:val="000000" w:themeColor="text1"/>
          <w:sz w:val="36"/>
          <w:szCs w:val="36"/>
          <w:lang w:val="en-US"/>
        </w:rPr>
        <w:t>Alper</w:t>
      </w:r>
      <w:proofErr w:type="spellEnd"/>
      <w:r>
        <w:rPr>
          <w:rFonts w:asciiTheme="minorHAnsi" w:hAnsiTheme="minorHAnsi" w:cstheme="minorHAnsi"/>
          <w:color w:val="000000" w:themeColor="text1"/>
          <w:sz w:val="36"/>
          <w:szCs w:val="36"/>
          <w:lang w:val="en-US"/>
        </w:rPr>
        <w:t xml:space="preserve"> Kaya</w:t>
      </w:r>
    </w:p>
    <w:p w14:paraId="4A9144A2" w14:textId="55B97BB6" w:rsidR="00590494" w:rsidRDefault="00590494" w:rsidP="00590494">
      <w:pPr>
        <w:spacing w:line="360" w:lineRule="auto"/>
        <w:jc w:val="center"/>
        <w:rPr>
          <w:rFonts w:asciiTheme="minorHAnsi" w:hAnsiTheme="minorHAnsi" w:cstheme="minorHAnsi"/>
          <w:color w:val="000000" w:themeColor="text1"/>
          <w:sz w:val="36"/>
          <w:szCs w:val="36"/>
          <w:lang w:val="en-US"/>
        </w:rPr>
      </w:pPr>
      <w:proofErr w:type="spellStart"/>
      <w:r>
        <w:rPr>
          <w:rFonts w:asciiTheme="minorHAnsi" w:hAnsiTheme="minorHAnsi" w:cstheme="minorHAnsi"/>
          <w:color w:val="000000" w:themeColor="text1"/>
          <w:sz w:val="36"/>
          <w:szCs w:val="36"/>
          <w:lang w:val="en-US"/>
        </w:rPr>
        <w:t>Elif</w:t>
      </w:r>
      <w:proofErr w:type="spellEnd"/>
      <w:r>
        <w:rPr>
          <w:rFonts w:asciiTheme="minorHAnsi" w:hAnsiTheme="minorHAnsi" w:cstheme="minorHAnsi"/>
          <w:color w:val="000000" w:themeColor="text1"/>
          <w:sz w:val="36"/>
          <w:szCs w:val="36"/>
          <w:lang w:val="en-US"/>
        </w:rPr>
        <w:t xml:space="preserve"> </w:t>
      </w:r>
      <w:proofErr w:type="spellStart"/>
      <w:r>
        <w:rPr>
          <w:rFonts w:asciiTheme="minorHAnsi" w:hAnsiTheme="minorHAnsi" w:cstheme="minorHAnsi"/>
          <w:color w:val="000000" w:themeColor="text1"/>
          <w:sz w:val="36"/>
          <w:szCs w:val="36"/>
          <w:lang w:val="en-US"/>
        </w:rPr>
        <w:t>Asena</w:t>
      </w:r>
      <w:proofErr w:type="spellEnd"/>
      <w:r>
        <w:rPr>
          <w:rFonts w:asciiTheme="minorHAnsi" w:hAnsiTheme="minorHAnsi" w:cstheme="minorHAnsi"/>
          <w:color w:val="000000" w:themeColor="text1"/>
          <w:sz w:val="36"/>
          <w:szCs w:val="36"/>
          <w:lang w:val="en-US"/>
        </w:rPr>
        <w:t xml:space="preserve"> </w:t>
      </w:r>
      <w:proofErr w:type="spellStart"/>
      <w:r>
        <w:rPr>
          <w:rFonts w:asciiTheme="minorHAnsi" w:hAnsiTheme="minorHAnsi" w:cstheme="minorHAnsi"/>
          <w:color w:val="000000" w:themeColor="text1"/>
          <w:sz w:val="36"/>
          <w:szCs w:val="36"/>
          <w:lang w:val="en-US"/>
        </w:rPr>
        <w:t>Gökçen</w:t>
      </w:r>
      <w:proofErr w:type="spellEnd"/>
    </w:p>
    <w:p w14:paraId="47CBD733" w14:textId="228E2974" w:rsidR="00590494" w:rsidRDefault="00590494" w:rsidP="00590494">
      <w:pPr>
        <w:spacing w:line="360" w:lineRule="auto"/>
        <w:jc w:val="center"/>
        <w:rPr>
          <w:rFonts w:asciiTheme="minorHAnsi" w:hAnsiTheme="minorHAnsi" w:cstheme="minorHAnsi"/>
          <w:color w:val="000000" w:themeColor="text1"/>
          <w:sz w:val="36"/>
          <w:szCs w:val="36"/>
          <w:lang w:val="en-US"/>
        </w:rPr>
      </w:pPr>
      <w:proofErr w:type="spellStart"/>
      <w:r>
        <w:rPr>
          <w:rFonts w:asciiTheme="minorHAnsi" w:hAnsiTheme="minorHAnsi" w:cstheme="minorHAnsi"/>
          <w:color w:val="000000" w:themeColor="text1"/>
          <w:sz w:val="36"/>
          <w:szCs w:val="36"/>
          <w:lang w:val="en-US"/>
        </w:rPr>
        <w:t>Oğuzhan</w:t>
      </w:r>
      <w:proofErr w:type="spellEnd"/>
      <w:r>
        <w:rPr>
          <w:rFonts w:asciiTheme="minorHAnsi" w:hAnsiTheme="minorHAnsi" w:cstheme="minorHAnsi"/>
          <w:color w:val="000000" w:themeColor="text1"/>
          <w:sz w:val="36"/>
          <w:szCs w:val="36"/>
          <w:lang w:val="en-US"/>
        </w:rPr>
        <w:t xml:space="preserve"> </w:t>
      </w:r>
      <w:proofErr w:type="spellStart"/>
      <w:r>
        <w:rPr>
          <w:rFonts w:asciiTheme="minorHAnsi" w:hAnsiTheme="minorHAnsi" w:cstheme="minorHAnsi"/>
          <w:color w:val="000000" w:themeColor="text1"/>
          <w:sz w:val="36"/>
          <w:szCs w:val="36"/>
          <w:lang w:val="en-US"/>
        </w:rPr>
        <w:t>Bıkmaz</w:t>
      </w:r>
      <w:proofErr w:type="spellEnd"/>
    </w:p>
    <w:p w14:paraId="5D85A0BE" w14:textId="08F138F6" w:rsidR="00B841BD" w:rsidRDefault="00B841BD" w:rsidP="00590494">
      <w:pPr>
        <w:spacing w:line="360" w:lineRule="auto"/>
        <w:jc w:val="center"/>
        <w:rPr>
          <w:rFonts w:asciiTheme="minorHAnsi" w:hAnsiTheme="minorHAnsi" w:cstheme="minorHAnsi"/>
          <w:color w:val="000000" w:themeColor="text1"/>
          <w:sz w:val="36"/>
          <w:szCs w:val="36"/>
          <w:lang w:val="en-US"/>
        </w:rPr>
      </w:pPr>
    </w:p>
    <w:p w14:paraId="2922EEEA" w14:textId="77777777" w:rsidR="00B841BD" w:rsidRDefault="00B841BD" w:rsidP="00590494">
      <w:pPr>
        <w:spacing w:line="360" w:lineRule="auto"/>
        <w:jc w:val="center"/>
        <w:rPr>
          <w:rFonts w:asciiTheme="minorHAnsi" w:hAnsiTheme="minorHAnsi" w:cstheme="minorHAnsi"/>
          <w:color w:val="000000" w:themeColor="text1"/>
          <w:sz w:val="36"/>
          <w:szCs w:val="36"/>
          <w:lang w:val="en-US"/>
        </w:rPr>
      </w:pPr>
      <w:bookmarkStart w:id="0" w:name="_GoBack"/>
      <w:bookmarkEnd w:id="0"/>
    </w:p>
    <w:p w14:paraId="543A4081" w14:textId="77777777" w:rsidR="00B841BD" w:rsidRDefault="00B841BD" w:rsidP="00B841BD">
      <w:pPr>
        <w:spacing w:line="360" w:lineRule="auto"/>
        <w:jc w:val="right"/>
        <w:rPr>
          <w:rFonts w:asciiTheme="minorHAnsi" w:hAnsiTheme="minorHAnsi" w:cstheme="minorHAnsi"/>
          <w:b/>
          <w:bCs/>
          <w:color w:val="2F5496" w:themeColor="accent1" w:themeShade="BF"/>
          <w:sz w:val="28"/>
          <w:szCs w:val="28"/>
          <w:lang w:val="en-US"/>
        </w:rPr>
      </w:pPr>
      <w:r>
        <w:rPr>
          <w:rFonts w:asciiTheme="minorHAnsi" w:hAnsiTheme="minorHAnsi" w:cstheme="minorHAnsi"/>
          <w:b/>
          <w:bCs/>
          <w:color w:val="2F5496" w:themeColor="accent1" w:themeShade="BF"/>
          <w:sz w:val="28"/>
          <w:szCs w:val="28"/>
          <w:lang w:val="en-US"/>
        </w:rPr>
        <w:t>ADVANCED DATA ANALYSIS IN PYTHON</w:t>
      </w:r>
    </w:p>
    <w:p w14:paraId="6663F60D" w14:textId="4C29D6D0" w:rsidR="00B841BD" w:rsidRPr="00B841BD" w:rsidRDefault="00B841BD" w:rsidP="00B841BD">
      <w:pPr>
        <w:spacing w:line="360" w:lineRule="auto"/>
        <w:jc w:val="right"/>
        <w:rPr>
          <w:rFonts w:asciiTheme="minorHAnsi" w:hAnsiTheme="minorHAnsi" w:cstheme="minorHAnsi"/>
          <w:color w:val="4472C4" w:themeColor="accent1"/>
          <w:sz w:val="36"/>
          <w:szCs w:val="36"/>
          <w:lang w:val="en-US"/>
        </w:rPr>
      </w:pPr>
      <w:r w:rsidRPr="00B841BD">
        <w:rPr>
          <w:rFonts w:asciiTheme="minorHAnsi" w:hAnsiTheme="minorHAnsi" w:cstheme="minorHAnsi"/>
          <w:color w:val="4472C4" w:themeColor="accent1"/>
          <w:sz w:val="36"/>
          <w:szCs w:val="36"/>
          <w:lang w:val="en-US"/>
        </w:rPr>
        <w:t>INTL/QMBU 450</w:t>
      </w:r>
    </w:p>
    <w:p w14:paraId="75C3A075" w14:textId="23EB7040" w:rsidR="00323094" w:rsidRPr="000A7275" w:rsidRDefault="00323094" w:rsidP="00D94EDB">
      <w:pPr>
        <w:spacing w:line="360" w:lineRule="auto"/>
        <w:rPr>
          <w:rFonts w:asciiTheme="minorHAnsi" w:hAnsiTheme="minorHAnsi" w:cstheme="minorHAnsi"/>
          <w:b/>
          <w:bCs/>
          <w:color w:val="2F5496" w:themeColor="accent1" w:themeShade="BF"/>
          <w:sz w:val="28"/>
          <w:szCs w:val="28"/>
          <w:lang w:val="en-US"/>
        </w:rPr>
      </w:pPr>
      <w:r w:rsidRPr="000A7275">
        <w:rPr>
          <w:rFonts w:asciiTheme="minorHAnsi" w:hAnsiTheme="minorHAnsi" w:cstheme="minorHAnsi"/>
          <w:b/>
          <w:bCs/>
          <w:color w:val="2F5496" w:themeColor="accent1" w:themeShade="BF"/>
          <w:sz w:val="28"/>
          <w:szCs w:val="28"/>
          <w:lang w:val="en-US"/>
        </w:rPr>
        <w:lastRenderedPageBreak/>
        <w:t>Hypothesis</w:t>
      </w:r>
    </w:p>
    <w:p w14:paraId="19ECDD65" w14:textId="77777777" w:rsidR="007116D3" w:rsidRPr="000A7275" w:rsidRDefault="007116D3" w:rsidP="00D94EDB">
      <w:pPr>
        <w:spacing w:line="360" w:lineRule="auto"/>
        <w:rPr>
          <w:i/>
          <w:iCs/>
          <w:lang w:val="en-US"/>
        </w:rPr>
      </w:pPr>
      <w:r w:rsidRPr="000A7275">
        <w:rPr>
          <w:i/>
          <w:iCs/>
          <w:lang w:val="en-US"/>
        </w:rPr>
        <w:t>“</w:t>
      </w:r>
      <w:r w:rsidR="00323094" w:rsidRPr="000A7275">
        <w:rPr>
          <w:i/>
          <w:iCs/>
          <w:lang w:val="en-US"/>
        </w:rPr>
        <w:t>Decline in the overall public austerity of Turkey results noticeable diminish impact on government votes (AKP) in the two major provinces of Turkey (Istanbul and Ankara).</w:t>
      </w:r>
      <w:r w:rsidRPr="000A7275">
        <w:rPr>
          <w:i/>
          <w:iCs/>
          <w:lang w:val="en-US"/>
        </w:rPr>
        <w:t>”</w:t>
      </w:r>
    </w:p>
    <w:p w14:paraId="3504F00D" w14:textId="77777777" w:rsidR="007116D3" w:rsidRPr="000A7275" w:rsidRDefault="007116D3" w:rsidP="00D94EDB">
      <w:pPr>
        <w:spacing w:line="360" w:lineRule="auto"/>
        <w:rPr>
          <w:lang w:val="en-US"/>
        </w:rPr>
      </w:pPr>
    </w:p>
    <w:p w14:paraId="6E2B840F" w14:textId="6C28EA36" w:rsidR="007116D3" w:rsidRPr="000A7275" w:rsidRDefault="00294456" w:rsidP="00D94EDB">
      <w:pPr>
        <w:spacing w:line="360" w:lineRule="auto"/>
        <w:rPr>
          <w:lang w:val="en-US"/>
        </w:rPr>
      </w:pPr>
      <w:r w:rsidRPr="000A7275">
        <w:rPr>
          <w:lang w:val="en-US"/>
        </w:rPr>
        <w:t xml:space="preserve">It is observed that the steadiness of the government’s votes has come to an end in the last local elections. It has lost the municipality in both cities. Parallel to this, a recession has occurred in the last quarter before the elections. Moreover to this, the growth rate has been deteriorating and </w:t>
      </w:r>
      <w:r w:rsidR="007116D3" w:rsidRPr="000A7275">
        <w:rPr>
          <w:lang w:val="en-US"/>
        </w:rPr>
        <w:t>Turkish Lira was devaluating exponentially for the last t</w:t>
      </w:r>
      <w:r w:rsidR="0015062F" w:rsidRPr="000A7275">
        <w:rPr>
          <w:lang w:val="en-US"/>
        </w:rPr>
        <w:t>w</w:t>
      </w:r>
      <w:r w:rsidR="007116D3" w:rsidRPr="000A7275">
        <w:rPr>
          <w:lang w:val="en-US"/>
        </w:rPr>
        <w:t>o years. Those factors lead to a decline in the living standards of the citizens and some lost jobs due to shut down businesses. Eventually, we had a strong belief that the decline in the living standards of people (that is decline in the purchasing power and/or running unemployed) have led to a reaction against government.</w:t>
      </w:r>
    </w:p>
    <w:p w14:paraId="420DEF28" w14:textId="77777777" w:rsidR="00323094" w:rsidRPr="000A7275" w:rsidRDefault="00323094" w:rsidP="00D94EDB">
      <w:pPr>
        <w:spacing w:line="360" w:lineRule="auto"/>
        <w:rPr>
          <w:b/>
          <w:bCs/>
          <w:sz w:val="28"/>
          <w:szCs w:val="28"/>
          <w:lang w:val="en-US"/>
        </w:rPr>
      </w:pPr>
    </w:p>
    <w:p w14:paraId="45BC740B" w14:textId="6CEFAEB3" w:rsidR="00C77C3A" w:rsidRPr="000A7275" w:rsidRDefault="00761960" w:rsidP="00D94EDB">
      <w:pPr>
        <w:spacing w:line="360" w:lineRule="auto"/>
        <w:rPr>
          <w:rFonts w:asciiTheme="minorHAnsi" w:hAnsiTheme="minorHAnsi" w:cstheme="minorHAnsi"/>
          <w:b/>
          <w:bCs/>
          <w:color w:val="2F5496" w:themeColor="accent1" w:themeShade="BF"/>
          <w:sz w:val="28"/>
          <w:szCs w:val="28"/>
          <w:lang w:val="en-US"/>
        </w:rPr>
      </w:pPr>
      <w:r w:rsidRPr="000A7275">
        <w:rPr>
          <w:rFonts w:asciiTheme="minorHAnsi" w:hAnsiTheme="minorHAnsi" w:cstheme="minorHAnsi"/>
          <w:b/>
          <w:bCs/>
          <w:color w:val="2F5496" w:themeColor="accent1" w:themeShade="BF"/>
          <w:sz w:val="28"/>
          <w:szCs w:val="28"/>
          <w:lang w:val="en-US"/>
        </w:rPr>
        <w:t>Data and Variables of Interest</w:t>
      </w:r>
    </w:p>
    <w:p w14:paraId="69BCA5DB" w14:textId="77777777" w:rsidR="00761960" w:rsidRPr="000A7275" w:rsidRDefault="00761960" w:rsidP="00D94EDB">
      <w:pPr>
        <w:spacing w:line="360" w:lineRule="auto"/>
        <w:rPr>
          <w:b/>
          <w:bCs/>
          <w:u w:val="single"/>
          <w:lang w:val="en-US"/>
        </w:rPr>
      </w:pPr>
    </w:p>
    <w:p w14:paraId="0533B6ED" w14:textId="77777777" w:rsidR="00761960" w:rsidRPr="000A7275" w:rsidRDefault="00761960" w:rsidP="00D94EDB">
      <w:pPr>
        <w:spacing w:line="360" w:lineRule="auto"/>
        <w:rPr>
          <w:b/>
          <w:bCs/>
          <w:lang w:val="en-US"/>
        </w:rPr>
      </w:pPr>
      <w:r w:rsidRPr="000A7275">
        <w:rPr>
          <w:b/>
          <w:bCs/>
          <w:lang w:val="en-US"/>
        </w:rPr>
        <w:t>Independent Variables</w:t>
      </w:r>
    </w:p>
    <w:p w14:paraId="2BFD58F2" w14:textId="77777777" w:rsidR="00761960" w:rsidRPr="000A7275" w:rsidRDefault="00761960" w:rsidP="00D94EDB">
      <w:pPr>
        <w:spacing w:line="360" w:lineRule="auto"/>
        <w:rPr>
          <w:b/>
          <w:bCs/>
          <w:lang w:val="en-US"/>
        </w:rPr>
      </w:pPr>
    </w:p>
    <w:p w14:paraId="314A1441" w14:textId="77777777" w:rsidR="00761960" w:rsidRPr="000A7275" w:rsidRDefault="00761960" w:rsidP="00D94EDB">
      <w:pPr>
        <w:spacing w:line="360" w:lineRule="auto"/>
        <w:rPr>
          <w:lang w:val="en-US"/>
        </w:rPr>
      </w:pPr>
      <w:r w:rsidRPr="000A7275">
        <w:rPr>
          <w:lang w:val="en-US"/>
        </w:rPr>
        <w:t>Since look for measuring the aggregate welfare of the society, we have used to variables to indicate the purchasing power and unemployment.</w:t>
      </w:r>
    </w:p>
    <w:p w14:paraId="01F7E160" w14:textId="77777777" w:rsidR="00761960" w:rsidRPr="000A7275" w:rsidRDefault="00761960" w:rsidP="00D94EDB">
      <w:pPr>
        <w:spacing w:line="360" w:lineRule="auto"/>
        <w:rPr>
          <w:lang w:val="en-US"/>
        </w:rPr>
      </w:pPr>
    </w:p>
    <w:p w14:paraId="1D8DD899" w14:textId="77777777" w:rsidR="00761960" w:rsidRPr="000A7275" w:rsidRDefault="00761960" w:rsidP="00D94EDB">
      <w:pPr>
        <w:spacing w:line="360" w:lineRule="auto"/>
        <w:rPr>
          <w:u w:val="single"/>
          <w:lang w:val="en-US"/>
        </w:rPr>
      </w:pPr>
      <w:r w:rsidRPr="000A7275">
        <w:rPr>
          <w:u w:val="single"/>
          <w:lang w:val="en-US"/>
        </w:rPr>
        <w:t>GDP per Capita Divided by Consumer Price Index</w:t>
      </w:r>
    </w:p>
    <w:p w14:paraId="65BB2C51" w14:textId="77777777" w:rsidR="00D74AC5" w:rsidRPr="000A7275" w:rsidRDefault="00C94D49" w:rsidP="00D94EDB">
      <w:pPr>
        <w:spacing w:line="360" w:lineRule="auto"/>
        <w:rPr>
          <w:lang w:val="en-US"/>
        </w:rPr>
      </w:pPr>
      <w:r w:rsidRPr="000A7275">
        <w:rPr>
          <w:lang w:val="en-US"/>
        </w:rPr>
        <w:t>“</w:t>
      </w:r>
      <w:r w:rsidR="00761960" w:rsidRPr="000A7275">
        <w:rPr>
          <w:lang w:val="en-US"/>
        </w:rPr>
        <w:t>Consumer Price Index (CPI) is determined by taking the weighted average of prices of a basket of significant consumer goods and services</w:t>
      </w:r>
      <w:r w:rsidR="000A4313" w:rsidRPr="000A7275">
        <w:rPr>
          <w:lang w:val="en-US"/>
        </w:rPr>
        <w:t>.</w:t>
      </w:r>
      <w:r w:rsidRPr="000A7275">
        <w:rPr>
          <w:lang w:val="en-US"/>
        </w:rPr>
        <w:t>”</w:t>
      </w:r>
      <w:r w:rsidR="008C73FC" w:rsidRPr="000A7275">
        <w:rPr>
          <w:lang w:val="en-US"/>
        </w:rPr>
        <w:t xml:space="preserve"> (IMF)</w:t>
      </w:r>
      <w:r w:rsidR="00761960" w:rsidRPr="000A7275">
        <w:rPr>
          <w:lang w:val="en-US"/>
        </w:rPr>
        <w:t xml:space="preserve"> </w:t>
      </w:r>
      <w:r w:rsidR="008C73FC" w:rsidRPr="000A7275">
        <w:rPr>
          <w:lang w:val="en-US"/>
        </w:rPr>
        <w:t xml:space="preserve">So, this measure is supposed to indicate how expensive is the life in Turkey on overall. The data is </w:t>
      </w:r>
      <w:r w:rsidR="00D94EDB" w:rsidRPr="000A7275">
        <w:rPr>
          <w:lang w:val="en-US"/>
        </w:rPr>
        <w:t>obtained</w:t>
      </w:r>
      <w:r w:rsidR="008C73FC" w:rsidRPr="000A7275">
        <w:rPr>
          <w:lang w:val="en-US"/>
        </w:rPr>
        <w:t xml:space="preserve"> from Turkey Statistics Institution (TÜİK). GDP per Capita is calculated by dividing the GDP of a country by its population for a particular period. </w:t>
      </w:r>
      <w:r w:rsidR="000A4313" w:rsidRPr="000A7275">
        <w:rPr>
          <w:lang w:val="en-US"/>
        </w:rPr>
        <w:t>“</w:t>
      </w:r>
      <w:r w:rsidR="008C73FC" w:rsidRPr="000A7275">
        <w:rPr>
          <w:lang w:val="en-US"/>
        </w:rPr>
        <w:t>GDP refers to the total value of final (as opposed to interim, or work-in-progress) goods and services produced within a country’s borders during a specific calendar period such as quarterly or annually</w:t>
      </w:r>
      <w:r w:rsidR="000A4313" w:rsidRPr="000A7275">
        <w:rPr>
          <w:lang w:val="en-US"/>
        </w:rPr>
        <w:t>.”</w:t>
      </w:r>
      <w:r w:rsidR="008C73FC" w:rsidRPr="000A7275">
        <w:rPr>
          <w:lang w:val="en-US"/>
        </w:rPr>
        <w:t xml:space="preserve"> (Investopedia) So</w:t>
      </w:r>
      <w:r w:rsidR="00F046D9" w:rsidRPr="000A7275">
        <w:rPr>
          <w:lang w:val="en-US"/>
        </w:rPr>
        <w:t>,</w:t>
      </w:r>
      <w:r w:rsidR="008C73FC" w:rsidRPr="000A7275">
        <w:rPr>
          <w:lang w:val="en-US"/>
        </w:rPr>
        <w:t xml:space="preserve"> this measure is supposed to measure the </w:t>
      </w:r>
      <w:r w:rsidR="00F046D9" w:rsidRPr="000A7275">
        <w:rPr>
          <w:lang w:val="en-US"/>
        </w:rPr>
        <w:t xml:space="preserve">average </w:t>
      </w:r>
      <w:r w:rsidR="008C73FC" w:rsidRPr="000A7275">
        <w:rPr>
          <w:lang w:val="en-US"/>
        </w:rPr>
        <w:t xml:space="preserve">income of </w:t>
      </w:r>
      <w:r w:rsidR="00F046D9" w:rsidRPr="000A7275">
        <w:rPr>
          <w:lang w:val="en-US"/>
        </w:rPr>
        <w:t xml:space="preserve">the citizens of a country. </w:t>
      </w:r>
      <w:r w:rsidR="00D94EDB" w:rsidRPr="000A7275">
        <w:rPr>
          <w:lang w:val="en-US"/>
        </w:rPr>
        <w:t xml:space="preserve">The data of GDP is also obtained from TÜİK. </w:t>
      </w:r>
      <w:r w:rsidR="00F046D9" w:rsidRPr="000A7275">
        <w:rPr>
          <w:i/>
          <w:iCs/>
          <w:lang w:val="en-US"/>
        </w:rPr>
        <w:t xml:space="preserve">GDP per Capita / CPI </w:t>
      </w:r>
      <w:r w:rsidR="00F046D9" w:rsidRPr="000A7275">
        <w:rPr>
          <w:lang w:val="en-US"/>
        </w:rPr>
        <w:t xml:space="preserve">is one of our explanatory variables and is calculated by dividing the GDP per Capita by the CPI. It is supposed to measure how many of those baskets of goods (CPI) could be purchased with the average income of individuals (GDP per Capita) in Turkey in a simple way. That variable implies the purchasing power in </w:t>
      </w:r>
      <w:r w:rsidR="00F046D9" w:rsidRPr="000A7275">
        <w:rPr>
          <w:lang w:val="en-US"/>
        </w:rPr>
        <w:lastRenderedPageBreak/>
        <w:t>Turkey. Purchasing power is one of the main elements that determine the prosperity in a country. It eliminates the relative amount of income difference in the world by comparing the income and the expenses of the citizens within the country. Therefore</w:t>
      </w:r>
      <w:r w:rsidR="00D74AC5" w:rsidRPr="000A7275">
        <w:rPr>
          <w:lang w:val="en-US"/>
        </w:rPr>
        <w:t>,</w:t>
      </w:r>
      <w:r w:rsidR="00F046D9" w:rsidRPr="000A7275">
        <w:rPr>
          <w:lang w:val="en-US"/>
        </w:rPr>
        <w:t xml:space="preserve"> it is highly correlated with the living standards within a country’s borders.</w:t>
      </w:r>
    </w:p>
    <w:p w14:paraId="589FFBE3" w14:textId="77777777" w:rsidR="00D74AC5" w:rsidRPr="000A7275" w:rsidRDefault="00D74AC5" w:rsidP="00D94EDB">
      <w:pPr>
        <w:spacing w:line="360" w:lineRule="auto"/>
        <w:rPr>
          <w:lang w:val="en-US"/>
        </w:rPr>
      </w:pPr>
    </w:p>
    <w:p w14:paraId="0C8F12DA" w14:textId="77777777" w:rsidR="008C73FC" w:rsidRPr="000A7275" w:rsidRDefault="00D74AC5" w:rsidP="00D94EDB">
      <w:pPr>
        <w:spacing w:line="360" w:lineRule="auto"/>
        <w:rPr>
          <w:u w:val="single"/>
          <w:lang w:val="en-US"/>
        </w:rPr>
      </w:pPr>
      <w:r w:rsidRPr="000A7275">
        <w:rPr>
          <w:u w:val="single"/>
          <w:lang w:val="en-US"/>
        </w:rPr>
        <w:t>Unemployment Rate</w:t>
      </w:r>
    </w:p>
    <w:p w14:paraId="67D2F170" w14:textId="77777777" w:rsidR="00761960" w:rsidRPr="000A7275" w:rsidRDefault="000A4313" w:rsidP="00D94EDB">
      <w:pPr>
        <w:spacing w:line="360" w:lineRule="auto"/>
        <w:rPr>
          <w:lang w:val="en-US"/>
        </w:rPr>
      </w:pPr>
      <w:r w:rsidRPr="000A7275">
        <w:rPr>
          <w:lang w:val="en-US"/>
        </w:rPr>
        <w:t>“</w:t>
      </w:r>
      <w:r w:rsidR="00D94EDB" w:rsidRPr="000A7275">
        <w:rPr>
          <w:lang w:val="en-US"/>
        </w:rPr>
        <w:t>The unemployment rate is defined as the percentage of unemployed workers in the total labor force. Workers are considered unemployed if they currently do not work, despite the fact that they are able and willing to do so</w:t>
      </w:r>
      <w:r w:rsidRPr="000A7275">
        <w:rPr>
          <w:lang w:val="en-US"/>
        </w:rPr>
        <w:t>.”</w:t>
      </w:r>
      <w:r w:rsidR="00D94EDB" w:rsidRPr="000A7275">
        <w:rPr>
          <w:lang w:val="en-US"/>
        </w:rPr>
        <w:t xml:space="preserve"> (Focus Economics)</w:t>
      </w:r>
      <w:r w:rsidR="00D94EDB" w:rsidRPr="000A7275">
        <w:rPr>
          <w:i/>
          <w:iCs/>
          <w:lang w:val="en-US"/>
        </w:rPr>
        <w:t xml:space="preserve"> Unemp, </w:t>
      </w:r>
      <w:r w:rsidR="00D94EDB" w:rsidRPr="000A7275">
        <w:rPr>
          <w:lang w:val="en-US"/>
        </w:rPr>
        <w:t>is our other explanatory variable which is simply meant to measure what proportion of people that are looking for jobs are unemployed, thus depriving income at all. That is another main indicator of the prosperity of individuals, households within Turkey.</w:t>
      </w:r>
    </w:p>
    <w:p w14:paraId="22853107" w14:textId="77777777" w:rsidR="00D94EDB" w:rsidRPr="000A7275" w:rsidRDefault="00D94EDB" w:rsidP="00D94EDB">
      <w:pPr>
        <w:spacing w:line="360" w:lineRule="auto"/>
        <w:rPr>
          <w:lang w:val="en-US"/>
        </w:rPr>
      </w:pPr>
    </w:p>
    <w:p w14:paraId="6AB69D20" w14:textId="77777777" w:rsidR="00D94EDB" w:rsidRPr="000A7275" w:rsidRDefault="00D94EDB" w:rsidP="00D94EDB">
      <w:pPr>
        <w:spacing w:line="360" w:lineRule="auto"/>
        <w:rPr>
          <w:b/>
          <w:bCs/>
          <w:lang w:val="en-US"/>
        </w:rPr>
      </w:pPr>
      <w:r w:rsidRPr="000A7275">
        <w:rPr>
          <w:b/>
          <w:bCs/>
          <w:lang w:val="en-US"/>
        </w:rPr>
        <w:t>Dependent Variable</w:t>
      </w:r>
    </w:p>
    <w:p w14:paraId="7AB6CEAE" w14:textId="77777777" w:rsidR="004E7DA8" w:rsidRPr="000A7275" w:rsidRDefault="004E7DA8" w:rsidP="00D94EDB">
      <w:pPr>
        <w:spacing w:line="360" w:lineRule="auto"/>
        <w:rPr>
          <w:b/>
          <w:bCs/>
          <w:lang w:val="en-US"/>
        </w:rPr>
      </w:pPr>
    </w:p>
    <w:p w14:paraId="5223E54B" w14:textId="77777777" w:rsidR="00D94EDB" w:rsidRPr="000A7275" w:rsidRDefault="00D94EDB" w:rsidP="00D94EDB">
      <w:pPr>
        <w:spacing w:line="360" w:lineRule="auto"/>
        <w:rPr>
          <w:u w:val="single"/>
          <w:lang w:val="en-US"/>
        </w:rPr>
      </w:pPr>
      <w:r w:rsidRPr="000A7275">
        <w:rPr>
          <w:u w:val="single"/>
          <w:lang w:val="en-US"/>
        </w:rPr>
        <w:t xml:space="preserve">The Vote Percentage </w:t>
      </w:r>
      <w:r w:rsidR="004E7DA8" w:rsidRPr="000A7275">
        <w:rPr>
          <w:u w:val="single"/>
          <w:lang w:val="en-US"/>
        </w:rPr>
        <w:t xml:space="preserve">of </w:t>
      </w:r>
      <w:r w:rsidRPr="000A7275">
        <w:rPr>
          <w:u w:val="single"/>
          <w:lang w:val="en-US"/>
        </w:rPr>
        <w:t>AKP or its Alliance Front Acquired</w:t>
      </w:r>
    </w:p>
    <w:p w14:paraId="4620404B" w14:textId="77777777" w:rsidR="00810B06" w:rsidRPr="000A7275" w:rsidRDefault="00D94EDB" w:rsidP="00D94EDB">
      <w:pPr>
        <w:spacing w:line="360" w:lineRule="auto"/>
        <w:rPr>
          <w:lang w:val="en-US"/>
        </w:rPr>
      </w:pPr>
      <w:r w:rsidRPr="000A7275">
        <w:rPr>
          <w:lang w:val="en-US"/>
        </w:rPr>
        <w:t>The data of the vote percentage of AKP or its alliance force is obtained from Anadolu Agency (AA) which is the only source fo</w:t>
      </w:r>
      <w:r w:rsidR="004E7DA8" w:rsidRPr="000A7275">
        <w:rPr>
          <w:lang w:val="en-US"/>
        </w:rPr>
        <w:t>r elections in Turkey. We chose the AKP’s votes alone for the previous terms and the Cumhur Alliance’s votes (AKP + MHP) instead of AKP.</w:t>
      </w:r>
      <w:r w:rsidR="00810B06" w:rsidRPr="000A7275">
        <w:rPr>
          <w:lang w:val="en-US"/>
        </w:rPr>
        <w:t xml:space="preserve"> That is </w:t>
      </w:r>
      <w:r w:rsidR="00810B06" w:rsidRPr="000A7275">
        <w:rPr>
          <w:i/>
          <w:iCs/>
          <w:lang w:val="en-US"/>
        </w:rPr>
        <w:t xml:space="preserve">VoteGov </w:t>
      </w:r>
      <w:r w:rsidR="00810B06" w:rsidRPr="000A7275">
        <w:rPr>
          <w:lang w:val="en-US"/>
        </w:rPr>
        <w:t xml:space="preserve">being our dependent variable. The reason for that is, we have looked for how content the citizens are with those levels of welfare and if the recession (consequentially the above-mentioned macroeconomic variables) did make a significant impact on consent for the ruling government. </w:t>
      </w:r>
    </w:p>
    <w:p w14:paraId="5E4F531D" w14:textId="77777777" w:rsidR="00810B06" w:rsidRPr="000A7275" w:rsidRDefault="00810B06" w:rsidP="00810B06">
      <w:pPr>
        <w:spacing w:line="360" w:lineRule="auto"/>
        <w:rPr>
          <w:lang w:val="en-US"/>
        </w:rPr>
      </w:pPr>
    </w:p>
    <w:p w14:paraId="24345F85" w14:textId="76C03670" w:rsidR="008C73FC" w:rsidRPr="000A7275" w:rsidRDefault="00810B06" w:rsidP="00810B06">
      <w:pPr>
        <w:spacing w:line="360" w:lineRule="auto"/>
        <w:rPr>
          <w:lang w:val="en-US"/>
        </w:rPr>
      </w:pPr>
      <w:r w:rsidRPr="000A7275">
        <w:rPr>
          <w:lang w:val="en-US"/>
        </w:rPr>
        <w:t>The scope of the election data is the vote percentage changes of the government front in the two major cities Ankara and İstanbul in the sequential local and general elections</w:t>
      </w:r>
      <w:r w:rsidR="004E7DA8" w:rsidRPr="000A7275">
        <w:rPr>
          <w:lang w:val="en-US"/>
        </w:rPr>
        <w:t xml:space="preserve"> </w:t>
      </w:r>
      <w:r w:rsidRPr="000A7275">
        <w:rPr>
          <w:lang w:val="en-US"/>
        </w:rPr>
        <w:t xml:space="preserve">and referendums. </w:t>
      </w:r>
      <w:r w:rsidR="00294456" w:rsidRPr="000A7275">
        <w:rPr>
          <w:lang w:val="en-US"/>
        </w:rPr>
        <w:t xml:space="preserve">The vote percentage is the weighted average of the government’s vote percentage in those two cities according to their population size. </w:t>
      </w:r>
      <w:r w:rsidRPr="000A7275">
        <w:rPr>
          <w:lang w:val="en-US"/>
        </w:rPr>
        <w:t>The indicator we considered is “the percentage change from an election to the next one” is within a period of approximately a year. Because GDP per capita and CPI are announced annually and their impact on the society is expected to result in a year in macroeconomics</w:t>
      </w:r>
      <w:r w:rsidR="00C94D49" w:rsidRPr="000A7275">
        <w:rPr>
          <w:lang w:val="en-US"/>
        </w:rPr>
        <w:t>. Therefore, we match an election’s vote percentage change with the previous year’s explanatory variables.</w:t>
      </w:r>
    </w:p>
    <w:p w14:paraId="46F556C8" w14:textId="77777777" w:rsidR="00E571F1" w:rsidRPr="000A7275" w:rsidRDefault="00E571F1" w:rsidP="00810B06">
      <w:pPr>
        <w:spacing w:line="360" w:lineRule="auto"/>
        <w:rPr>
          <w:lang w:val="en-US"/>
        </w:rPr>
      </w:pPr>
    </w:p>
    <w:tbl>
      <w:tblPr>
        <w:tblW w:w="9379" w:type="dxa"/>
        <w:tblLook w:val="04A0" w:firstRow="1" w:lastRow="0" w:firstColumn="1" w:lastColumn="0" w:noHBand="0" w:noVBand="1"/>
      </w:tblPr>
      <w:tblGrid>
        <w:gridCol w:w="1696"/>
        <w:gridCol w:w="1751"/>
        <w:gridCol w:w="1696"/>
        <w:gridCol w:w="1751"/>
        <w:gridCol w:w="1493"/>
        <w:gridCol w:w="1180"/>
      </w:tblGrid>
      <w:tr w:rsidR="00E571F1" w:rsidRPr="000A7275" w14:paraId="7886A41C" w14:textId="77777777" w:rsidTr="00E571F1">
        <w:trPr>
          <w:trHeight w:val="299"/>
        </w:trPr>
        <w:tc>
          <w:tcPr>
            <w:tcW w:w="1696" w:type="dxa"/>
            <w:tcBorders>
              <w:top w:val="single" w:sz="12" w:space="0" w:color="auto"/>
              <w:left w:val="single" w:sz="12" w:space="0" w:color="auto"/>
              <w:bottom w:val="single" w:sz="4" w:space="0" w:color="auto"/>
              <w:right w:val="single" w:sz="4" w:space="0" w:color="auto"/>
            </w:tcBorders>
            <w:shd w:val="clear" w:color="000000" w:fill="A9D08E"/>
            <w:noWrap/>
            <w:vAlign w:val="bottom"/>
            <w:hideMark/>
          </w:tcPr>
          <w:p w14:paraId="3AE86C37" w14:textId="77777777" w:rsidR="00E571F1" w:rsidRPr="000A7275" w:rsidRDefault="00E571F1">
            <w:pPr>
              <w:rPr>
                <w:rFonts w:ascii="Calibri Light" w:hAnsi="Calibri Light" w:cs="Calibri Light"/>
                <w:b/>
                <w:bCs/>
                <w:color w:val="000000"/>
                <w:lang w:val="en-US"/>
              </w:rPr>
            </w:pPr>
            <w:r w:rsidRPr="000A7275">
              <w:rPr>
                <w:rFonts w:ascii="Calibri Light" w:hAnsi="Calibri Light" w:cs="Calibri Light"/>
                <w:b/>
                <w:bCs/>
                <w:color w:val="000000"/>
                <w:lang w:val="en-US"/>
              </w:rPr>
              <w:lastRenderedPageBreak/>
              <w:t>election</w:t>
            </w:r>
          </w:p>
        </w:tc>
        <w:tc>
          <w:tcPr>
            <w:tcW w:w="1751" w:type="dxa"/>
            <w:tcBorders>
              <w:top w:val="single" w:sz="12" w:space="0" w:color="auto"/>
              <w:left w:val="nil"/>
              <w:bottom w:val="single" w:sz="4" w:space="0" w:color="auto"/>
              <w:right w:val="nil"/>
            </w:tcBorders>
            <w:shd w:val="clear" w:color="000000" w:fill="8EA9DB"/>
            <w:noWrap/>
            <w:vAlign w:val="bottom"/>
            <w:hideMark/>
          </w:tcPr>
          <w:p w14:paraId="018C41B1" w14:textId="77777777" w:rsidR="00E571F1" w:rsidRPr="000A7275" w:rsidRDefault="00E571F1">
            <w:pPr>
              <w:rPr>
                <w:rFonts w:ascii="Calibri Light" w:hAnsi="Calibri Light" w:cs="Calibri Light"/>
                <w:b/>
                <w:bCs/>
                <w:color w:val="000000"/>
                <w:lang w:val="en-US"/>
              </w:rPr>
            </w:pPr>
            <w:r w:rsidRPr="000A7275">
              <w:rPr>
                <w:rFonts w:ascii="Calibri Light" w:hAnsi="Calibri Light" w:cs="Calibri Light"/>
                <w:b/>
                <w:bCs/>
                <w:color w:val="000000"/>
                <w:lang w:val="en-US"/>
              </w:rPr>
              <w:t>government votes</w:t>
            </w:r>
          </w:p>
        </w:tc>
        <w:tc>
          <w:tcPr>
            <w:tcW w:w="1563" w:type="dxa"/>
            <w:tcBorders>
              <w:top w:val="single" w:sz="12" w:space="0" w:color="auto"/>
              <w:left w:val="nil"/>
              <w:bottom w:val="single" w:sz="4" w:space="0" w:color="auto"/>
              <w:right w:val="nil"/>
            </w:tcBorders>
            <w:shd w:val="clear" w:color="000000" w:fill="8EA9DB"/>
            <w:noWrap/>
            <w:vAlign w:val="bottom"/>
            <w:hideMark/>
          </w:tcPr>
          <w:p w14:paraId="7CC0D041" w14:textId="77777777" w:rsidR="00E571F1" w:rsidRPr="000A7275" w:rsidRDefault="00E571F1">
            <w:pPr>
              <w:rPr>
                <w:rFonts w:ascii="Calibri Light" w:hAnsi="Calibri Light" w:cs="Calibri Light"/>
                <w:b/>
                <w:bCs/>
                <w:color w:val="000000"/>
                <w:lang w:val="en-US"/>
              </w:rPr>
            </w:pPr>
            <w:r w:rsidRPr="000A7275">
              <w:rPr>
                <w:rFonts w:ascii="Calibri Light" w:hAnsi="Calibri Light" w:cs="Calibri Light"/>
                <w:b/>
                <w:bCs/>
                <w:color w:val="000000"/>
                <w:lang w:val="en-US"/>
              </w:rPr>
              <w:t>unemployment</w:t>
            </w:r>
          </w:p>
        </w:tc>
        <w:tc>
          <w:tcPr>
            <w:tcW w:w="1751" w:type="dxa"/>
            <w:tcBorders>
              <w:top w:val="single" w:sz="12" w:space="0" w:color="auto"/>
              <w:left w:val="nil"/>
              <w:bottom w:val="single" w:sz="4" w:space="0" w:color="auto"/>
              <w:right w:val="nil"/>
            </w:tcBorders>
            <w:shd w:val="clear" w:color="000000" w:fill="8EA9DB"/>
            <w:noWrap/>
            <w:vAlign w:val="bottom"/>
            <w:hideMark/>
          </w:tcPr>
          <w:p w14:paraId="0C024D39" w14:textId="77777777" w:rsidR="00E571F1" w:rsidRPr="000A7275" w:rsidRDefault="00E571F1">
            <w:pPr>
              <w:rPr>
                <w:rFonts w:ascii="Calibri Light" w:hAnsi="Calibri Light" w:cs="Calibri Light"/>
                <w:b/>
                <w:bCs/>
                <w:color w:val="000000"/>
                <w:lang w:val="en-US"/>
              </w:rPr>
            </w:pPr>
            <w:r w:rsidRPr="000A7275">
              <w:rPr>
                <w:rFonts w:ascii="Calibri Light" w:hAnsi="Calibri Light" w:cs="Calibri Light"/>
                <w:b/>
                <w:bCs/>
                <w:color w:val="000000"/>
                <w:lang w:val="en-US"/>
              </w:rPr>
              <w:t>gdp per capita/cpi</w:t>
            </w:r>
          </w:p>
        </w:tc>
        <w:tc>
          <w:tcPr>
            <w:tcW w:w="1438" w:type="dxa"/>
            <w:tcBorders>
              <w:top w:val="single" w:sz="12" w:space="0" w:color="auto"/>
              <w:left w:val="nil"/>
              <w:bottom w:val="single" w:sz="4" w:space="0" w:color="auto"/>
              <w:right w:val="nil"/>
            </w:tcBorders>
            <w:shd w:val="clear" w:color="000000" w:fill="8EA9DB"/>
            <w:noWrap/>
            <w:vAlign w:val="bottom"/>
            <w:hideMark/>
          </w:tcPr>
          <w:p w14:paraId="4F59293F" w14:textId="77777777" w:rsidR="00E571F1" w:rsidRPr="000A7275" w:rsidRDefault="00E571F1">
            <w:pPr>
              <w:rPr>
                <w:rFonts w:ascii="Calibri Light" w:hAnsi="Calibri Light" w:cs="Calibri Light"/>
                <w:b/>
                <w:bCs/>
                <w:color w:val="000000"/>
                <w:lang w:val="en-US"/>
              </w:rPr>
            </w:pPr>
            <w:r w:rsidRPr="000A7275">
              <w:rPr>
                <w:rFonts w:ascii="Calibri Light" w:hAnsi="Calibri Light" w:cs="Calibri Light"/>
                <w:b/>
                <w:bCs/>
                <w:color w:val="000000"/>
                <w:lang w:val="en-US"/>
              </w:rPr>
              <w:t>ppp</w:t>
            </w:r>
          </w:p>
        </w:tc>
        <w:tc>
          <w:tcPr>
            <w:tcW w:w="1180" w:type="dxa"/>
            <w:tcBorders>
              <w:top w:val="single" w:sz="12" w:space="0" w:color="auto"/>
              <w:left w:val="nil"/>
              <w:bottom w:val="single" w:sz="4" w:space="0" w:color="auto"/>
              <w:right w:val="single" w:sz="12" w:space="0" w:color="auto"/>
            </w:tcBorders>
            <w:shd w:val="clear" w:color="000000" w:fill="8EA9DB"/>
            <w:noWrap/>
            <w:vAlign w:val="bottom"/>
            <w:hideMark/>
          </w:tcPr>
          <w:p w14:paraId="2A902FCD" w14:textId="77777777" w:rsidR="00E571F1" w:rsidRPr="000A7275" w:rsidRDefault="00E571F1">
            <w:pPr>
              <w:rPr>
                <w:rFonts w:ascii="Calibri Light" w:hAnsi="Calibri Light" w:cs="Calibri Light"/>
                <w:color w:val="000000"/>
                <w:lang w:val="en-US"/>
              </w:rPr>
            </w:pPr>
            <w:r w:rsidRPr="000A7275">
              <w:rPr>
                <w:rFonts w:ascii="Calibri Light" w:hAnsi="Calibri Light" w:cs="Calibri Light"/>
                <w:color w:val="000000"/>
                <w:lang w:val="en-US"/>
              </w:rPr>
              <w:t>median age</w:t>
            </w:r>
          </w:p>
        </w:tc>
      </w:tr>
      <w:tr w:rsidR="00E571F1" w:rsidRPr="000A7275" w14:paraId="21D12417"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6052C1CD"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2004 local</w:t>
            </w:r>
          </w:p>
        </w:tc>
        <w:tc>
          <w:tcPr>
            <w:tcW w:w="1751" w:type="dxa"/>
            <w:tcBorders>
              <w:top w:val="nil"/>
              <w:left w:val="nil"/>
              <w:bottom w:val="nil"/>
              <w:right w:val="nil"/>
            </w:tcBorders>
            <w:shd w:val="clear" w:color="000000" w:fill="D9E1F2"/>
            <w:noWrap/>
            <w:vAlign w:val="bottom"/>
            <w:hideMark/>
          </w:tcPr>
          <w:p w14:paraId="61E1CA95"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0,438682271</w:t>
            </w:r>
          </w:p>
        </w:tc>
        <w:tc>
          <w:tcPr>
            <w:tcW w:w="1563" w:type="dxa"/>
            <w:tcBorders>
              <w:top w:val="nil"/>
              <w:left w:val="nil"/>
              <w:bottom w:val="nil"/>
              <w:right w:val="nil"/>
            </w:tcBorders>
            <w:shd w:val="clear" w:color="000000" w:fill="D9E1F2"/>
            <w:noWrap/>
            <w:vAlign w:val="bottom"/>
            <w:hideMark/>
          </w:tcPr>
          <w:p w14:paraId="2E25B2A9"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0,105419998</w:t>
            </w:r>
          </w:p>
        </w:tc>
        <w:tc>
          <w:tcPr>
            <w:tcW w:w="1751" w:type="dxa"/>
            <w:tcBorders>
              <w:top w:val="nil"/>
              <w:left w:val="nil"/>
              <w:bottom w:val="nil"/>
              <w:right w:val="nil"/>
            </w:tcBorders>
            <w:shd w:val="clear" w:color="000000" w:fill="D9E1F2"/>
            <w:noWrap/>
            <w:vAlign w:val="bottom"/>
            <w:hideMark/>
          </w:tcPr>
          <w:p w14:paraId="7743D2E2"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70,07</w:t>
            </w:r>
          </w:p>
        </w:tc>
        <w:tc>
          <w:tcPr>
            <w:tcW w:w="1438" w:type="dxa"/>
            <w:tcBorders>
              <w:top w:val="nil"/>
              <w:left w:val="nil"/>
              <w:bottom w:val="nil"/>
              <w:right w:val="nil"/>
            </w:tcBorders>
            <w:shd w:val="clear" w:color="000000" w:fill="D9E1F2"/>
            <w:noWrap/>
            <w:vAlign w:val="bottom"/>
            <w:hideMark/>
          </w:tcPr>
          <w:p w14:paraId="7FFE31F7"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0,74</w:t>
            </w:r>
          </w:p>
        </w:tc>
        <w:tc>
          <w:tcPr>
            <w:tcW w:w="1180" w:type="dxa"/>
            <w:tcBorders>
              <w:top w:val="nil"/>
              <w:left w:val="nil"/>
              <w:bottom w:val="nil"/>
              <w:right w:val="single" w:sz="12" w:space="0" w:color="auto"/>
            </w:tcBorders>
            <w:shd w:val="clear" w:color="000000" w:fill="D9E1F2"/>
            <w:noWrap/>
            <w:vAlign w:val="bottom"/>
            <w:hideMark/>
          </w:tcPr>
          <w:p w14:paraId="55CFD953"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24,8</w:t>
            </w:r>
          </w:p>
        </w:tc>
      </w:tr>
      <w:tr w:rsidR="00E571F1" w:rsidRPr="000A7275" w14:paraId="4C72E088"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6F623F26"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2007 general</w:t>
            </w:r>
          </w:p>
        </w:tc>
        <w:tc>
          <w:tcPr>
            <w:tcW w:w="1751" w:type="dxa"/>
            <w:tcBorders>
              <w:top w:val="nil"/>
              <w:left w:val="nil"/>
              <w:bottom w:val="nil"/>
              <w:right w:val="nil"/>
            </w:tcBorders>
            <w:shd w:val="clear" w:color="000000" w:fill="D9E1F2"/>
            <w:noWrap/>
            <w:vAlign w:val="bottom"/>
            <w:hideMark/>
          </w:tcPr>
          <w:p w14:paraId="271D88DF"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0,458660464</w:t>
            </w:r>
          </w:p>
        </w:tc>
        <w:tc>
          <w:tcPr>
            <w:tcW w:w="1563" w:type="dxa"/>
            <w:tcBorders>
              <w:top w:val="nil"/>
              <w:left w:val="nil"/>
              <w:bottom w:val="nil"/>
              <w:right w:val="nil"/>
            </w:tcBorders>
            <w:shd w:val="clear" w:color="000000" w:fill="D9E1F2"/>
            <w:noWrap/>
            <w:vAlign w:val="bottom"/>
            <w:hideMark/>
          </w:tcPr>
          <w:p w14:paraId="3318946D"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0,08718</w:t>
            </w:r>
          </w:p>
        </w:tc>
        <w:tc>
          <w:tcPr>
            <w:tcW w:w="1751" w:type="dxa"/>
            <w:tcBorders>
              <w:top w:val="nil"/>
              <w:left w:val="nil"/>
              <w:bottom w:val="nil"/>
              <w:right w:val="nil"/>
            </w:tcBorders>
            <w:shd w:val="clear" w:color="000000" w:fill="D9E1F2"/>
            <w:noWrap/>
            <w:vAlign w:val="bottom"/>
            <w:hideMark/>
          </w:tcPr>
          <w:p w14:paraId="5102E307"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88</w:t>
            </w:r>
          </w:p>
        </w:tc>
        <w:tc>
          <w:tcPr>
            <w:tcW w:w="1438" w:type="dxa"/>
            <w:tcBorders>
              <w:top w:val="nil"/>
              <w:left w:val="nil"/>
              <w:bottom w:val="nil"/>
              <w:right w:val="nil"/>
            </w:tcBorders>
            <w:shd w:val="clear" w:color="000000" w:fill="D9E1F2"/>
            <w:noWrap/>
            <w:vAlign w:val="bottom"/>
            <w:hideMark/>
          </w:tcPr>
          <w:p w14:paraId="76CC5DAE"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0,84</w:t>
            </w:r>
          </w:p>
        </w:tc>
        <w:tc>
          <w:tcPr>
            <w:tcW w:w="1180" w:type="dxa"/>
            <w:tcBorders>
              <w:top w:val="nil"/>
              <w:left w:val="nil"/>
              <w:bottom w:val="nil"/>
              <w:right w:val="single" w:sz="12" w:space="0" w:color="auto"/>
            </w:tcBorders>
            <w:shd w:val="clear" w:color="000000" w:fill="D9E1F2"/>
            <w:noWrap/>
            <w:vAlign w:val="bottom"/>
            <w:hideMark/>
          </w:tcPr>
          <w:p w14:paraId="1932C9C2"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28,3</w:t>
            </w:r>
          </w:p>
        </w:tc>
      </w:tr>
      <w:tr w:rsidR="00E571F1" w:rsidRPr="000A7275" w14:paraId="123F80A6"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6E1C9F10"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2009 local</w:t>
            </w:r>
          </w:p>
        </w:tc>
        <w:tc>
          <w:tcPr>
            <w:tcW w:w="1751" w:type="dxa"/>
            <w:tcBorders>
              <w:top w:val="nil"/>
              <w:left w:val="nil"/>
              <w:bottom w:val="nil"/>
              <w:right w:val="nil"/>
            </w:tcBorders>
            <w:shd w:val="clear" w:color="000000" w:fill="D9E1F2"/>
            <w:noWrap/>
            <w:vAlign w:val="bottom"/>
            <w:hideMark/>
          </w:tcPr>
          <w:p w14:paraId="5B0F2AF6"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0,431053744</w:t>
            </w:r>
          </w:p>
        </w:tc>
        <w:tc>
          <w:tcPr>
            <w:tcW w:w="1563" w:type="dxa"/>
            <w:tcBorders>
              <w:top w:val="nil"/>
              <w:left w:val="nil"/>
              <w:bottom w:val="nil"/>
              <w:right w:val="nil"/>
            </w:tcBorders>
            <w:shd w:val="clear" w:color="000000" w:fill="D9E1F2"/>
            <w:noWrap/>
            <w:vAlign w:val="bottom"/>
            <w:hideMark/>
          </w:tcPr>
          <w:p w14:paraId="6FF00CD6"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0,09710</w:t>
            </w:r>
          </w:p>
        </w:tc>
        <w:tc>
          <w:tcPr>
            <w:tcW w:w="1751" w:type="dxa"/>
            <w:tcBorders>
              <w:top w:val="nil"/>
              <w:left w:val="nil"/>
              <w:bottom w:val="nil"/>
              <w:right w:val="nil"/>
            </w:tcBorders>
            <w:shd w:val="clear" w:color="000000" w:fill="D9E1F2"/>
            <w:noWrap/>
            <w:vAlign w:val="bottom"/>
            <w:hideMark/>
          </w:tcPr>
          <w:p w14:paraId="6729560A"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90,52760895</w:t>
            </w:r>
          </w:p>
        </w:tc>
        <w:tc>
          <w:tcPr>
            <w:tcW w:w="1438" w:type="dxa"/>
            <w:tcBorders>
              <w:top w:val="nil"/>
              <w:left w:val="nil"/>
              <w:bottom w:val="nil"/>
              <w:right w:val="nil"/>
            </w:tcBorders>
            <w:shd w:val="clear" w:color="000000" w:fill="D9E1F2"/>
            <w:noWrap/>
            <w:vAlign w:val="bottom"/>
            <w:hideMark/>
          </w:tcPr>
          <w:p w14:paraId="37D6B7D7"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0,88</w:t>
            </w:r>
          </w:p>
        </w:tc>
        <w:tc>
          <w:tcPr>
            <w:tcW w:w="1180" w:type="dxa"/>
            <w:tcBorders>
              <w:top w:val="nil"/>
              <w:left w:val="nil"/>
              <w:bottom w:val="nil"/>
              <w:right w:val="single" w:sz="12" w:space="0" w:color="auto"/>
            </w:tcBorders>
            <w:shd w:val="clear" w:color="000000" w:fill="D9E1F2"/>
            <w:noWrap/>
            <w:vAlign w:val="bottom"/>
            <w:hideMark/>
          </w:tcPr>
          <w:p w14:paraId="435796C3"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28,5</w:t>
            </w:r>
          </w:p>
        </w:tc>
      </w:tr>
      <w:tr w:rsidR="00E571F1" w:rsidRPr="000A7275" w14:paraId="6EBD58AC"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2937108F" w14:textId="5CFB5E03"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 xml:space="preserve">2010 </w:t>
            </w:r>
            <w:r w:rsidR="000A7275" w:rsidRPr="000A7275">
              <w:rPr>
                <w:rFonts w:ascii="Calibri Light" w:hAnsi="Calibri Light" w:cs="Calibri Light"/>
                <w:color w:val="000000"/>
                <w:sz w:val="20"/>
                <w:szCs w:val="20"/>
                <w:lang w:val="en-US"/>
              </w:rPr>
              <w:t>referendum</w:t>
            </w:r>
          </w:p>
        </w:tc>
        <w:tc>
          <w:tcPr>
            <w:tcW w:w="1751" w:type="dxa"/>
            <w:tcBorders>
              <w:top w:val="nil"/>
              <w:left w:val="nil"/>
              <w:bottom w:val="nil"/>
              <w:right w:val="nil"/>
            </w:tcBorders>
            <w:shd w:val="clear" w:color="000000" w:fill="D9E1F2"/>
            <w:noWrap/>
            <w:vAlign w:val="bottom"/>
            <w:hideMark/>
          </w:tcPr>
          <w:p w14:paraId="408316E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0,546388351</w:t>
            </w:r>
          </w:p>
        </w:tc>
        <w:tc>
          <w:tcPr>
            <w:tcW w:w="1563" w:type="dxa"/>
            <w:tcBorders>
              <w:top w:val="nil"/>
              <w:left w:val="nil"/>
              <w:bottom w:val="nil"/>
              <w:right w:val="nil"/>
            </w:tcBorders>
            <w:shd w:val="clear" w:color="000000" w:fill="D9E1F2"/>
            <w:noWrap/>
            <w:vAlign w:val="bottom"/>
            <w:hideMark/>
          </w:tcPr>
          <w:p w14:paraId="0011F39C" w14:textId="77777777" w:rsidR="00E571F1" w:rsidRPr="000A7275" w:rsidRDefault="00E571F1">
            <w:pPr>
              <w:jc w:val="right"/>
              <w:rPr>
                <w:rFonts w:ascii="Calibri Light" w:hAnsi="Calibri Light" w:cs="Calibri Light"/>
                <w:color w:val="222222"/>
                <w:lang w:val="en-US"/>
              </w:rPr>
            </w:pPr>
            <w:r w:rsidRPr="000A7275">
              <w:rPr>
                <w:rFonts w:ascii="Calibri Light" w:hAnsi="Calibri Light" w:cs="Calibri Light"/>
                <w:color w:val="222222"/>
                <w:lang w:val="en-US"/>
              </w:rPr>
              <w:t>0,125520001</w:t>
            </w:r>
          </w:p>
        </w:tc>
        <w:tc>
          <w:tcPr>
            <w:tcW w:w="1751" w:type="dxa"/>
            <w:tcBorders>
              <w:top w:val="nil"/>
              <w:left w:val="nil"/>
              <w:bottom w:val="nil"/>
              <w:right w:val="nil"/>
            </w:tcBorders>
            <w:shd w:val="clear" w:color="000000" w:fill="D9E1F2"/>
            <w:noWrap/>
            <w:vAlign w:val="bottom"/>
            <w:hideMark/>
          </w:tcPr>
          <w:p w14:paraId="4BBB65C9" w14:textId="77777777" w:rsidR="00E571F1" w:rsidRPr="000A7275" w:rsidRDefault="00E571F1">
            <w:pPr>
              <w:jc w:val="right"/>
              <w:rPr>
                <w:rFonts w:ascii="Calibri Light" w:hAnsi="Calibri Light" w:cs="Calibri Light"/>
                <w:color w:val="222222"/>
                <w:lang w:val="en-US"/>
              </w:rPr>
            </w:pPr>
            <w:r w:rsidRPr="000A7275">
              <w:rPr>
                <w:rFonts w:ascii="Calibri Light" w:hAnsi="Calibri Light" w:cs="Calibri Light"/>
                <w:color w:val="222222"/>
                <w:lang w:val="en-US"/>
              </w:rPr>
              <w:t>84,40847128</w:t>
            </w:r>
          </w:p>
        </w:tc>
        <w:tc>
          <w:tcPr>
            <w:tcW w:w="1438" w:type="dxa"/>
            <w:tcBorders>
              <w:top w:val="nil"/>
              <w:left w:val="nil"/>
              <w:bottom w:val="nil"/>
              <w:right w:val="nil"/>
            </w:tcBorders>
            <w:shd w:val="clear" w:color="000000" w:fill="D9E1F2"/>
            <w:noWrap/>
            <w:vAlign w:val="bottom"/>
            <w:hideMark/>
          </w:tcPr>
          <w:p w14:paraId="6F3CC01C" w14:textId="77777777" w:rsidR="00E571F1" w:rsidRPr="000A7275" w:rsidRDefault="00E571F1">
            <w:pPr>
              <w:jc w:val="right"/>
              <w:rPr>
                <w:rFonts w:ascii="Calibri Light" w:hAnsi="Calibri Light" w:cs="Calibri Light"/>
                <w:color w:val="222222"/>
                <w:lang w:val="en-US"/>
              </w:rPr>
            </w:pPr>
            <w:r w:rsidRPr="000A7275">
              <w:rPr>
                <w:rFonts w:ascii="Calibri Light" w:hAnsi="Calibri Light" w:cs="Calibri Light"/>
                <w:color w:val="222222"/>
                <w:lang w:val="en-US"/>
              </w:rPr>
              <w:t>0,9</w:t>
            </w:r>
          </w:p>
        </w:tc>
        <w:tc>
          <w:tcPr>
            <w:tcW w:w="1180" w:type="dxa"/>
            <w:tcBorders>
              <w:top w:val="nil"/>
              <w:left w:val="nil"/>
              <w:bottom w:val="nil"/>
              <w:right w:val="single" w:sz="12" w:space="0" w:color="auto"/>
            </w:tcBorders>
            <w:shd w:val="clear" w:color="000000" w:fill="D9E1F2"/>
            <w:noWrap/>
            <w:vAlign w:val="bottom"/>
            <w:hideMark/>
          </w:tcPr>
          <w:p w14:paraId="08A2F5D3"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28,8</w:t>
            </w:r>
          </w:p>
        </w:tc>
      </w:tr>
      <w:tr w:rsidR="00E571F1" w:rsidRPr="000A7275" w14:paraId="4B54D593"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70FFA116"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2011 general</w:t>
            </w:r>
          </w:p>
        </w:tc>
        <w:tc>
          <w:tcPr>
            <w:tcW w:w="1751" w:type="dxa"/>
            <w:tcBorders>
              <w:top w:val="nil"/>
              <w:left w:val="nil"/>
              <w:bottom w:val="nil"/>
              <w:right w:val="nil"/>
            </w:tcBorders>
            <w:shd w:val="clear" w:color="000000" w:fill="D9E1F2"/>
            <w:noWrap/>
            <w:vAlign w:val="bottom"/>
            <w:hideMark/>
          </w:tcPr>
          <w:p w14:paraId="19D3CAB2"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0,493434173</w:t>
            </w:r>
          </w:p>
        </w:tc>
        <w:tc>
          <w:tcPr>
            <w:tcW w:w="1563" w:type="dxa"/>
            <w:tcBorders>
              <w:top w:val="nil"/>
              <w:left w:val="nil"/>
              <w:bottom w:val="nil"/>
              <w:right w:val="nil"/>
            </w:tcBorders>
            <w:shd w:val="clear" w:color="000000" w:fill="D9E1F2"/>
            <w:noWrap/>
            <w:vAlign w:val="bottom"/>
            <w:hideMark/>
          </w:tcPr>
          <w:p w14:paraId="6D13D252" w14:textId="77777777" w:rsidR="00E571F1" w:rsidRPr="000A7275" w:rsidRDefault="00E571F1">
            <w:pPr>
              <w:jc w:val="right"/>
              <w:rPr>
                <w:rFonts w:ascii="Calibri Light" w:hAnsi="Calibri Light" w:cs="Calibri Light"/>
                <w:color w:val="222222"/>
                <w:lang w:val="en-US"/>
              </w:rPr>
            </w:pPr>
            <w:r w:rsidRPr="000A7275">
              <w:rPr>
                <w:rFonts w:ascii="Calibri Light" w:hAnsi="Calibri Light" w:cs="Calibri Light"/>
                <w:color w:val="222222"/>
                <w:lang w:val="en-US"/>
              </w:rPr>
              <w:t>0,106599998</w:t>
            </w:r>
          </w:p>
        </w:tc>
        <w:tc>
          <w:tcPr>
            <w:tcW w:w="1751" w:type="dxa"/>
            <w:tcBorders>
              <w:top w:val="nil"/>
              <w:left w:val="nil"/>
              <w:bottom w:val="nil"/>
              <w:right w:val="nil"/>
            </w:tcBorders>
            <w:shd w:val="clear" w:color="000000" w:fill="D9E1F2"/>
            <w:noWrap/>
            <w:vAlign w:val="bottom"/>
            <w:hideMark/>
          </w:tcPr>
          <w:p w14:paraId="2C7894D1"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88,90134529</w:t>
            </w:r>
          </w:p>
        </w:tc>
        <w:tc>
          <w:tcPr>
            <w:tcW w:w="1438" w:type="dxa"/>
            <w:tcBorders>
              <w:top w:val="nil"/>
              <w:left w:val="nil"/>
              <w:bottom w:val="nil"/>
              <w:right w:val="nil"/>
            </w:tcBorders>
            <w:shd w:val="clear" w:color="000000" w:fill="D9E1F2"/>
            <w:noWrap/>
            <w:vAlign w:val="bottom"/>
            <w:hideMark/>
          </w:tcPr>
          <w:p w14:paraId="28F1E7AD" w14:textId="77777777" w:rsidR="00E571F1" w:rsidRPr="000A7275" w:rsidRDefault="00E571F1">
            <w:pPr>
              <w:jc w:val="right"/>
              <w:rPr>
                <w:rFonts w:ascii="Calibri Light" w:hAnsi="Calibri Light" w:cs="Calibri Light"/>
                <w:color w:val="222222"/>
                <w:lang w:val="en-US"/>
              </w:rPr>
            </w:pPr>
            <w:r w:rsidRPr="000A7275">
              <w:rPr>
                <w:rFonts w:ascii="Calibri Light" w:hAnsi="Calibri Light" w:cs="Calibri Light"/>
                <w:color w:val="222222"/>
                <w:lang w:val="en-US"/>
              </w:rPr>
              <w:t>0,92</w:t>
            </w:r>
          </w:p>
        </w:tc>
        <w:tc>
          <w:tcPr>
            <w:tcW w:w="1180" w:type="dxa"/>
            <w:tcBorders>
              <w:top w:val="nil"/>
              <w:left w:val="nil"/>
              <w:bottom w:val="nil"/>
              <w:right w:val="single" w:sz="12" w:space="0" w:color="auto"/>
            </w:tcBorders>
            <w:shd w:val="clear" w:color="000000" w:fill="D9E1F2"/>
            <w:noWrap/>
            <w:vAlign w:val="bottom"/>
            <w:hideMark/>
          </w:tcPr>
          <w:p w14:paraId="635191D7"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29,2</w:t>
            </w:r>
          </w:p>
        </w:tc>
      </w:tr>
      <w:tr w:rsidR="00E571F1" w:rsidRPr="000A7275" w14:paraId="764E841B"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10923488"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2014 local</w:t>
            </w:r>
          </w:p>
        </w:tc>
        <w:tc>
          <w:tcPr>
            <w:tcW w:w="1751" w:type="dxa"/>
            <w:tcBorders>
              <w:top w:val="nil"/>
              <w:left w:val="nil"/>
              <w:bottom w:val="nil"/>
              <w:right w:val="nil"/>
            </w:tcBorders>
            <w:shd w:val="clear" w:color="000000" w:fill="D9E1F2"/>
            <w:noWrap/>
            <w:vAlign w:val="bottom"/>
            <w:hideMark/>
          </w:tcPr>
          <w:p w14:paraId="53F60DDC"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0,405515506</w:t>
            </w:r>
          </w:p>
        </w:tc>
        <w:tc>
          <w:tcPr>
            <w:tcW w:w="1563" w:type="dxa"/>
            <w:tcBorders>
              <w:top w:val="nil"/>
              <w:left w:val="nil"/>
              <w:bottom w:val="nil"/>
              <w:right w:val="nil"/>
            </w:tcBorders>
            <w:shd w:val="clear" w:color="000000" w:fill="D9E1F2"/>
            <w:noWrap/>
            <w:vAlign w:val="bottom"/>
            <w:hideMark/>
          </w:tcPr>
          <w:p w14:paraId="217EA390"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0,087320004</w:t>
            </w:r>
          </w:p>
        </w:tc>
        <w:tc>
          <w:tcPr>
            <w:tcW w:w="1751" w:type="dxa"/>
            <w:tcBorders>
              <w:top w:val="nil"/>
              <w:left w:val="nil"/>
              <w:bottom w:val="nil"/>
              <w:right w:val="nil"/>
            </w:tcBorders>
            <w:shd w:val="clear" w:color="000000" w:fill="D9E1F2"/>
            <w:noWrap/>
            <w:vAlign w:val="bottom"/>
            <w:hideMark/>
          </w:tcPr>
          <w:p w14:paraId="1255A1B5"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106,8951558</w:t>
            </w:r>
          </w:p>
        </w:tc>
        <w:tc>
          <w:tcPr>
            <w:tcW w:w="1438" w:type="dxa"/>
            <w:tcBorders>
              <w:top w:val="nil"/>
              <w:left w:val="nil"/>
              <w:bottom w:val="nil"/>
              <w:right w:val="nil"/>
            </w:tcBorders>
            <w:shd w:val="clear" w:color="000000" w:fill="D9E1F2"/>
            <w:noWrap/>
            <w:vAlign w:val="bottom"/>
            <w:hideMark/>
          </w:tcPr>
          <w:p w14:paraId="7A2960C9"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1,07</w:t>
            </w:r>
          </w:p>
        </w:tc>
        <w:tc>
          <w:tcPr>
            <w:tcW w:w="1180" w:type="dxa"/>
            <w:tcBorders>
              <w:top w:val="nil"/>
              <w:left w:val="nil"/>
              <w:bottom w:val="nil"/>
              <w:right w:val="single" w:sz="12" w:space="0" w:color="auto"/>
            </w:tcBorders>
            <w:shd w:val="clear" w:color="000000" w:fill="D9E1F2"/>
            <w:noWrap/>
            <w:vAlign w:val="bottom"/>
            <w:hideMark/>
          </w:tcPr>
          <w:p w14:paraId="2072FC87"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30,4</w:t>
            </w:r>
          </w:p>
        </w:tc>
      </w:tr>
      <w:tr w:rsidR="00E571F1" w:rsidRPr="000A7275" w14:paraId="6E525849"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3D2F016F"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2015 general</w:t>
            </w:r>
          </w:p>
        </w:tc>
        <w:tc>
          <w:tcPr>
            <w:tcW w:w="1751" w:type="dxa"/>
            <w:tcBorders>
              <w:top w:val="nil"/>
              <w:left w:val="nil"/>
              <w:bottom w:val="nil"/>
              <w:right w:val="nil"/>
            </w:tcBorders>
            <w:shd w:val="clear" w:color="000000" w:fill="D9E1F2"/>
            <w:noWrap/>
            <w:vAlign w:val="bottom"/>
            <w:hideMark/>
          </w:tcPr>
          <w:p w14:paraId="4F56E27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0,440503563</w:t>
            </w:r>
          </w:p>
        </w:tc>
        <w:tc>
          <w:tcPr>
            <w:tcW w:w="1563" w:type="dxa"/>
            <w:tcBorders>
              <w:top w:val="nil"/>
              <w:left w:val="nil"/>
              <w:bottom w:val="nil"/>
              <w:right w:val="nil"/>
            </w:tcBorders>
            <w:shd w:val="clear" w:color="000000" w:fill="D9E1F2"/>
            <w:noWrap/>
            <w:vAlign w:val="bottom"/>
            <w:hideMark/>
          </w:tcPr>
          <w:p w14:paraId="533A61E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0,09880</w:t>
            </w:r>
          </w:p>
        </w:tc>
        <w:tc>
          <w:tcPr>
            <w:tcW w:w="1751" w:type="dxa"/>
            <w:tcBorders>
              <w:top w:val="nil"/>
              <w:left w:val="nil"/>
              <w:bottom w:val="nil"/>
              <w:right w:val="nil"/>
            </w:tcBorders>
            <w:shd w:val="clear" w:color="000000" w:fill="D9E1F2"/>
            <w:noWrap/>
            <w:vAlign w:val="bottom"/>
            <w:hideMark/>
          </w:tcPr>
          <w:p w14:paraId="01CA5B4C"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109,4496323</w:t>
            </w:r>
          </w:p>
        </w:tc>
        <w:tc>
          <w:tcPr>
            <w:tcW w:w="1438" w:type="dxa"/>
            <w:tcBorders>
              <w:top w:val="nil"/>
              <w:left w:val="nil"/>
              <w:bottom w:val="nil"/>
              <w:right w:val="nil"/>
            </w:tcBorders>
            <w:shd w:val="clear" w:color="000000" w:fill="D9E1F2"/>
            <w:noWrap/>
            <w:vAlign w:val="bottom"/>
            <w:hideMark/>
          </w:tcPr>
          <w:p w14:paraId="4B1D2290"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1,1</w:t>
            </w:r>
          </w:p>
        </w:tc>
        <w:tc>
          <w:tcPr>
            <w:tcW w:w="1180" w:type="dxa"/>
            <w:tcBorders>
              <w:top w:val="nil"/>
              <w:left w:val="nil"/>
              <w:bottom w:val="nil"/>
              <w:right w:val="single" w:sz="12" w:space="0" w:color="auto"/>
            </w:tcBorders>
            <w:shd w:val="clear" w:color="000000" w:fill="D9E1F2"/>
            <w:noWrap/>
            <w:vAlign w:val="bottom"/>
            <w:hideMark/>
          </w:tcPr>
          <w:p w14:paraId="37C3D1BF"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30,7</w:t>
            </w:r>
          </w:p>
        </w:tc>
      </w:tr>
      <w:tr w:rsidR="00E571F1" w:rsidRPr="000A7275" w14:paraId="20213C5C"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6811E8CB" w14:textId="203DE411"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 xml:space="preserve">2017 </w:t>
            </w:r>
            <w:r w:rsidR="000A7275" w:rsidRPr="000A7275">
              <w:rPr>
                <w:rFonts w:ascii="Calibri Light" w:hAnsi="Calibri Light" w:cs="Calibri Light"/>
                <w:color w:val="000000"/>
                <w:sz w:val="20"/>
                <w:szCs w:val="20"/>
                <w:lang w:val="en-US"/>
              </w:rPr>
              <w:t>referendum</w:t>
            </w:r>
          </w:p>
        </w:tc>
        <w:tc>
          <w:tcPr>
            <w:tcW w:w="1751" w:type="dxa"/>
            <w:tcBorders>
              <w:top w:val="nil"/>
              <w:left w:val="nil"/>
              <w:bottom w:val="nil"/>
              <w:right w:val="nil"/>
            </w:tcBorders>
            <w:shd w:val="clear" w:color="000000" w:fill="D9E1F2"/>
            <w:noWrap/>
            <w:vAlign w:val="bottom"/>
            <w:hideMark/>
          </w:tcPr>
          <w:p w14:paraId="121CB2C1"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0,487023467</w:t>
            </w:r>
          </w:p>
        </w:tc>
        <w:tc>
          <w:tcPr>
            <w:tcW w:w="1563" w:type="dxa"/>
            <w:tcBorders>
              <w:top w:val="nil"/>
              <w:left w:val="nil"/>
              <w:bottom w:val="nil"/>
              <w:right w:val="nil"/>
            </w:tcBorders>
            <w:shd w:val="clear" w:color="000000" w:fill="D9E1F2"/>
            <w:noWrap/>
            <w:vAlign w:val="bottom"/>
            <w:hideMark/>
          </w:tcPr>
          <w:p w14:paraId="7202450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0,108389998</w:t>
            </w:r>
          </w:p>
        </w:tc>
        <w:tc>
          <w:tcPr>
            <w:tcW w:w="1751" w:type="dxa"/>
            <w:tcBorders>
              <w:top w:val="nil"/>
              <w:left w:val="nil"/>
              <w:bottom w:val="nil"/>
              <w:right w:val="nil"/>
            </w:tcBorders>
            <w:shd w:val="clear" w:color="000000" w:fill="D9E1F2"/>
            <w:noWrap/>
            <w:vAlign w:val="bottom"/>
            <w:hideMark/>
          </w:tcPr>
          <w:p w14:paraId="5C1E9F6A"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117,1586256</w:t>
            </w:r>
          </w:p>
        </w:tc>
        <w:tc>
          <w:tcPr>
            <w:tcW w:w="1438" w:type="dxa"/>
            <w:tcBorders>
              <w:top w:val="nil"/>
              <w:left w:val="nil"/>
              <w:bottom w:val="nil"/>
              <w:right w:val="nil"/>
            </w:tcBorders>
            <w:shd w:val="clear" w:color="000000" w:fill="D9E1F2"/>
            <w:noWrap/>
            <w:vAlign w:val="bottom"/>
            <w:hideMark/>
          </w:tcPr>
          <w:p w14:paraId="1DD6942E"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1,25</w:t>
            </w:r>
          </w:p>
        </w:tc>
        <w:tc>
          <w:tcPr>
            <w:tcW w:w="1180" w:type="dxa"/>
            <w:tcBorders>
              <w:top w:val="nil"/>
              <w:left w:val="nil"/>
              <w:bottom w:val="nil"/>
              <w:right w:val="single" w:sz="12" w:space="0" w:color="auto"/>
            </w:tcBorders>
            <w:shd w:val="clear" w:color="000000" w:fill="D9E1F2"/>
            <w:noWrap/>
            <w:vAlign w:val="bottom"/>
            <w:hideMark/>
          </w:tcPr>
          <w:p w14:paraId="4BFF670D"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31,4</w:t>
            </w:r>
          </w:p>
        </w:tc>
      </w:tr>
      <w:tr w:rsidR="00E571F1" w:rsidRPr="000A7275" w14:paraId="58BA675F" w14:textId="77777777" w:rsidTr="00E571F1">
        <w:trPr>
          <w:trHeight w:val="281"/>
        </w:trPr>
        <w:tc>
          <w:tcPr>
            <w:tcW w:w="1696" w:type="dxa"/>
            <w:tcBorders>
              <w:top w:val="nil"/>
              <w:left w:val="single" w:sz="12" w:space="0" w:color="auto"/>
              <w:bottom w:val="nil"/>
              <w:right w:val="single" w:sz="4" w:space="0" w:color="auto"/>
            </w:tcBorders>
            <w:shd w:val="clear" w:color="000000" w:fill="C6E0B4"/>
            <w:noWrap/>
            <w:vAlign w:val="bottom"/>
            <w:hideMark/>
          </w:tcPr>
          <w:p w14:paraId="361558B5"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2018 general</w:t>
            </w:r>
          </w:p>
        </w:tc>
        <w:tc>
          <w:tcPr>
            <w:tcW w:w="1751" w:type="dxa"/>
            <w:tcBorders>
              <w:top w:val="nil"/>
              <w:left w:val="nil"/>
              <w:bottom w:val="nil"/>
              <w:right w:val="nil"/>
            </w:tcBorders>
            <w:shd w:val="clear" w:color="000000" w:fill="D9E1F2"/>
            <w:noWrap/>
            <w:vAlign w:val="bottom"/>
            <w:hideMark/>
          </w:tcPr>
          <w:p w14:paraId="6BF8F5F0"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0,516614572</w:t>
            </w:r>
          </w:p>
        </w:tc>
        <w:tc>
          <w:tcPr>
            <w:tcW w:w="1563" w:type="dxa"/>
            <w:tcBorders>
              <w:top w:val="nil"/>
              <w:left w:val="nil"/>
              <w:bottom w:val="nil"/>
              <w:right w:val="nil"/>
            </w:tcBorders>
            <w:shd w:val="clear" w:color="000000" w:fill="D9E1F2"/>
            <w:noWrap/>
            <w:vAlign w:val="bottom"/>
            <w:hideMark/>
          </w:tcPr>
          <w:p w14:paraId="48FFDE6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0,108190002</w:t>
            </w:r>
          </w:p>
        </w:tc>
        <w:tc>
          <w:tcPr>
            <w:tcW w:w="1751" w:type="dxa"/>
            <w:tcBorders>
              <w:top w:val="nil"/>
              <w:left w:val="nil"/>
              <w:bottom w:val="nil"/>
              <w:right w:val="nil"/>
            </w:tcBorders>
            <w:shd w:val="clear" w:color="000000" w:fill="D9E1F2"/>
            <w:noWrap/>
            <w:vAlign w:val="bottom"/>
            <w:hideMark/>
          </w:tcPr>
          <w:p w14:paraId="1B0372E1"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123,9187544</w:t>
            </w:r>
          </w:p>
        </w:tc>
        <w:tc>
          <w:tcPr>
            <w:tcW w:w="1438" w:type="dxa"/>
            <w:tcBorders>
              <w:top w:val="nil"/>
              <w:left w:val="nil"/>
              <w:bottom w:val="nil"/>
              <w:right w:val="nil"/>
            </w:tcBorders>
            <w:shd w:val="clear" w:color="000000" w:fill="D9E1F2"/>
            <w:noWrap/>
            <w:vAlign w:val="bottom"/>
            <w:hideMark/>
          </w:tcPr>
          <w:p w14:paraId="6E5ADF54"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1,37</w:t>
            </w:r>
          </w:p>
        </w:tc>
        <w:tc>
          <w:tcPr>
            <w:tcW w:w="1180" w:type="dxa"/>
            <w:tcBorders>
              <w:top w:val="nil"/>
              <w:left w:val="nil"/>
              <w:bottom w:val="nil"/>
              <w:right w:val="single" w:sz="12" w:space="0" w:color="auto"/>
            </w:tcBorders>
            <w:shd w:val="clear" w:color="000000" w:fill="D9E1F2"/>
            <w:noWrap/>
            <w:vAlign w:val="bottom"/>
            <w:hideMark/>
          </w:tcPr>
          <w:p w14:paraId="2F367F32"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31,7</w:t>
            </w:r>
          </w:p>
        </w:tc>
      </w:tr>
      <w:tr w:rsidR="00E571F1" w:rsidRPr="000A7275" w14:paraId="792AC7E2" w14:textId="77777777" w:rsidTr="00E571F1">
        <w:trPr>
          <w:trHeight w:val="299"/>
        </w:trPr>
        <w:tc>
          <w:tcPr>
            <w:tcW w:w="1696" w:type="dxa"/>
            <w:tcBorders>
              <w:top w:val="nil"/>
              <w:left w:val="single" w:sz="12" w:space="0" w:color="auto"/>
              <w:bottom w:val="single" w:sz="12" w:space="0" w:color="auto"/>
              <w:right w:val="single" w:sz="4" w:space="0" w:color="auto"/>
            </w:tcBorders>
            <w:shd w:val="clear" w:color="000000" w:fill="C6E0B4"/>
            <w:noWrap/>
            <w:vAlign w:val="bottom"/>
            <w:hideMark/>
          </w:tcPr>
          <w:p w14:paraId="021C88EC" w14:textId="77777777" w:rsidR="00E571F1" w:rsidRPr="000A7275" w:rsidRDefault="00E571F1">
            <w:pPr>
              <w:rPr>
                <w:rFonts w:ascii="Calibri Light" w:hAnsi="Calibri Light" w:cs="Calibri Light"/>
                <w:color w:val="000000"/>
                <w:sz w:val="20"/>
                <w:szCs w:val="20"/>
                <w:lang w:val="en-US"/>
              </w:rPr>
            </w:pPr>
            <w:r w:rsidRPr="000A7275">
              <w:rPr>
                <w:rFonts w:ascii="Calibri Light" w:hAnsi="Calibri Light" w:cs="Calibri Light"/>
                <w:color w:val="000000"/>
                <w:sz w:val="20"/>
                <w:szCs w:val="20"/>
                <w:lang w:val="en-US"/>
              </w:rPr>
              <w:t>2019 local</w:t>
            </w:r>
          </w:p>
        </w:tc>
        <w:tc>
          <w:tcPr>
            <w:tcW w:w="1751" w:type="dxa"/>
            <w:tcBorders>
              <w:top w:val="nil"/>
              <w:left w:val="nil"/>
              <w:bottom w:val="single" w:sz="12" w:space="0" w:color="auto"/>
              <w:right w:val="nil"/>
            </w:tcBorders>
            <w:shd w:val="clear" w:color="000000" w:fill="D9E1F2"/>
            <w:noWrap/>
            <w:vAlign w:val="bottom"/>
            <w:hideMark/>
          </w:tcPr>
          <w:p w14:paraId="1BBD7E4F"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0,481551009</w:t>
            </w:r>
          </w:p>
        </w:tc>
        <w:tc>
          <w:tcPr>
            <w:tcW w:w="1563" w:type="dxa"/>
            <w:tcBorders>
              <w:top w:val="nil"/>
              <w:left w:val="nil"/>
              <w:bottom w:val="single" w:sz="12" w:space="0" w:color="auto"/>
              <w:right w:val="nil"/>
            </w:tcBorders>
            <w:shd w:val="clear" w:color="000000" w:fill="D9E1F2"/>
            <w:noWrap/>
            <w:vAlign w:val="bottom"/>
            <w:hideMark/>
          </w:tcPr>
          <w:p w14:paraId="4FA3557F"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0,108950005</w:t>
            </w:r>
          </w:p>
        </w:tc>
        <w:tc>
          <w:tcPr>
            <w:tcW w:w="1751" w:type="dxa"/>
            <w:tcBorders>
              <w:top w:val="nil"/>
              <w:left w:val="nil"/>
              <w:bottom w:val="single" w:sz="12" w:space="0" w:color="auto"/>
              <w:right w:val="nil"/>
            </w:tcBorders>
            <w:shd w:val="clear" w:color="000000" w:fill="D9E1F2"/>
            <w:noWrap/>
            <w:vAlign w:val="bottom"/>
            <w:hideMark/>
          </w:tcPr>
          <w:p w14:paraId="4813CDD7"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125,1975876</w:t>
            </w:r>
          </w:p>
        </w:tc>
        <w:tc>
          <w:tcPr>
            <w:tcW w:w="1438" w:type="dxa"/>
            <w:tcBorders>
              <w:top w:val="nil"/>
              <w:left w:val="nil"/>
              <w:bottom w:val="single" w:sz="12" w:space="0" w:color="auto"/>
              <w:right w:val="nil"/>
            </w:tcBorders>
            <w:shd w:val="clear" w:color="000000" w:fill="D9E1F2"/>
            <w:noWrap/>
            <w:vAlign w:val="bottom"/>
            <w:hideMark/>
          </w:tcPr>
          <w:p w14:paraId="3ACC8FBE" w14:textId="77777777" w:rsidR="00E571F1" w:rsidRPr="000A7275" w:rsidRDefault="00E571F1">
            <w:pPr>
              <w:jc w:val="right"/>
              <w:rPr>
                <w:rFonts w:ascii="Calibri Light" w:hAnsi="Calibri Light" w:cs="Calibri Light"/>
                <w:color w:val="000000"/>
                <w:lang w:val="en-US"/>
              </w:rPr>
            </w:pPr>
            <w:r w:rsidRPr="000A7275">
              <w:rPr>
                <w:rFonts w:ascii="Calibri Light" w:hAnsi="Calibri Light" w:cs="Calibri Light"/>
                <w:color w:val="000000"/>
                <w:lang w:val="en-US"/>
              </w:rPr>
              <w:t>1,56</w:t>
            </w:r>
          </w:p>
        </w:tc>
        <w:tc>
          <w:tcPr>
            <w:tcW w:w="1180" w:type="dxa"/>
            <w:tcBorders>
              <w:top w:val="nil"/>
              <w:left w:val="nil"/>
              <w:bottom w:val="single" w:sz="12" w:space="0" w:color="auto"/>
              <w:right w:val="single" w:sz="12" w:space="0" w:color="auto"/>
            </w:tcBorders>
            <w:shd w:val="clear" w:color="000000" w:fill="D9E1F2"/>
            <w:noWrap/>
            <w:vAlign w:val="bottom"/>
            <w:hideMark/>
          </w:tcPr>
          <w:p w14:paraId="54B32F4F" w14:textId="77777777" w:rsidR="00E571F1" w:rsidRPr="000A7275" w:rsidRDefault="00E571F1">
            <w:pPr>
              <w:jc w:val="right"/>
              <w:rPr>
                <w:rFonts w:ascii="Calibri Light" w:hAnsi="Calibri Light" w:cs="Calibri Light"/>
                <w:lang w:val="en-US"/>
              </w:rPr>
            </w:pPr>
            <w:r w:rsidRPr="000A7275">
              <w:rPr>
                <w:rFonts w:ascii="Calibri Light" w:hAnsi="Calibri Light" w:cs="Calibri Light"/>
                <w:lang w:val="en-US"/>
              </w:rPr>
              <w:t>32,0</w:t>
            </w:r>
          </w:p>
        </w:tc>
      </w:tr>
      <w:tr w:rsidR="00E571F1" w:rsidRPr="000A7275" w14:paraId="4084A66B" w14:textId="77777777" w:rsidTr="00E571F1">
        <w:trPr>
          <w:trHeight w:val="299"/>
        </w:trPr>
        <w:tc>
          <w:tcPr>
            <w:tcW w:w="1696" w:type="dxa"/>
            <w:tcBorders>
              <w:top w:val="nil"/>
              <w:left w:val="nil"/>
              <w:bottom w:val="nil"/>
              <w:right w:val="nil"/>
            </w:tcBorders>
            <w:shd w:val="clear" w:color="auto" w:fill="auto"/>
            <w:noWrap/>
            <w:vAlign w:val="bottom"/>
            <w:hideMark/>
          </w:tcPr>
          <w:p w14:paraId="79430F4D" w14:textId="77777777" w:rsidR="00E571F1" w:rsidRPr="000A7275" w:rsidRDefault="00E571F1">
            <w:pPr>
              <w:jc w:val="right"/>
              <w:rPr>
                <w:rFonts w:ascii="Calibri Light" w:hAnsi="Calibri Light" w:cs="Calibri Light"/>
                <w:lang w:val="en-US"/>
              </w:rPr>
            </w:pPr>
          </w:p>
        </w:tc>
        <w:tc>
          <w:tcPr>
            <w:tcW w:w="1751" w:type="dxa"/>
            <w:tcBorders>
              <w:top w:val="nil"/>
              <w:left w:val="nil"/>
              <w:bottom w:val="nil"/>
              <w:right w:val="nil"/>
            </w:tcBorders>
            <w:shd w:val="clear" w:color="auto" w:fill="auto"/>
            <w:noWrap/>
            <w:vAlign w:val="bottom"/>
            <w:hideMark/>
          </w:tcPr>
          <w:p w14:paraId="1CAEF3E3" w14:textId="77777777" w:rsidR="00E571F1" w:rsidRPr="000A7275" w:rsidRDefault="00E571F1">
            <w:pPr>
              <w:rPr>
                <w:sz w:val="20"/>
                <w:szCs w:val="20"/>
                <w:lang w:val="en-US"/>
              </w:rPr>
            </w:pPr>
          </w:p>
        </w:tc>
        <w:tc>
          <w:tcPr>
            <w:tcW w:w="1563" w:type="dxa"/>
            <w:tcBorders>
              <w:top w:val="nil"/>
              <w:left w:val="nil"/>
              <w:bottom w:val="nil"/>
              <w:right w:val="nil"/>
            </w:tcBorders>
            <w:shd w:val="clear" w:color="auto" w:fill="auto"/>
            <w:noWrap/>
            <w:vAlign w:val="bottom"/>
            <w:hideMark/>
          </w:tcPr>
          <w:p w14:paraId="7ECF0921" w14:textId="77777777" w:rsidR="00E571F1" w:rsidRPr="000A7275" w:rsidRDefault="00E571F1">
            <w:pPr>
              <w:rPr>
                <w:sz w:val="20"/>
                <w:szCs w:val="20"/>
                <w:lang w:val="en-US"/>
              </w:rPr>
            </w:pPr>
          </w:p>
        </w:tc>
        <w:tc>
          <w:tcPr>
            <w:tcW w:w="1751" w:type="dxa"/>
            <w:tcBorders>
              <w:top w:val="nil"/>
              <w:left w:val="nil"/>
              <w:bottom w:val="nil"/>
              <w:right w:val="nil"/>
            </w:tcBorders>
            <w:shd w:val="clear" w:color="auto" w:fill="auto"/>
            <w:noWrap/>
            <w:vAlign w:val="bottom"/>
            <w:hideMark/>
          </w:tcPr>
          <w:p w14:paraId="679E23A2" w14:textId="77777777" w:rsidR="00E571F1" w:rsidRPr="000A7275" w:rsidRDefault="00E571F1">
            <w:pPr>
              <w:rPr>
                <w:sz w:val="20"/>
                <w:szCs w:val="20"/>
                <w:lang w:val="en-US"/>
              </w:rPr>
            </w:pPr>
          </w:p>
        </w:tc>
        <w:tc>
          <w:tcPr>
            <w:tcW w:w="1438" w:type="dxa"/>
            <w:tcBorders>
              <w:top w:val="nil"/>
              <w:left w:val="nil"/>
              <w:bottom w:val="nil"/>
              <w:right w:val="nil"/>
            </w:tcBorders>
            <w:shd w:val="clear" w:color="auto" w:fill="auto"/>
            <w:noWrap/>
            <w:vAlign w:val="bottom"/>
            <w:hideMark/>
          </w:tcPr>
          <w:p w14:paraId="38C9E661" w14:textId="77777777" w:rsidR="00E571F1" w:rsidRPr="000A7275" w:rsidRDefault="00E571F1">
            <w:pPr>
              <w:rPr>
                <w:sz w:val="20"/>
                <w:szCs w:val="20"/>
                <w:lang w:val="en-US"/>
              </w:rPr>
            </w:pPr>
          </w:p>
        </w:tc>
        <w:tc>
          <w:tcPr>
            <w:tcW w:w="1180" w:type="dxa"/>
            <w:tcBorders>
              <w:top w:val="nil"/>
              <w:left w:val="nil"/>
              <w:bottom w:val="nil"/>
              <w:right w:val="nil"/>
            </w:tcBorders>
            <w:shd w:val="clear" w:color="auto" w:fill="auto"/>
            <w:noWrap/>
            <w:vAlign w:val="bottom"/>
            <w:hideMark/>
          </w:tcPr>
          <w:p w14:paraId="3497D9A0" w14:textId="77777777" w:rsidR="00E571F1" w:rsidRPr="000A7275" w:rsidRDefault="00E571F1">
            <w:pPr>
              <w:rPr>
                <w:sz w:val="20"/>
                <w:szCs w:val="20"/>
                <w:lang w:val="en-US"/>
              </w:rPr>
            </w:pPr>
          </w:p>
        </w:tc>
      </w:tr>
      <w:tr w:rsidR="00E571F1" w:rsidRPr="000A7275" w14:paraId="27614B5C" w14:textId="77777777" w:rsidTr="00E571F1">
        <w:trPr>
          <w:trHeight w:val="299"/>
        </w:trPr>
        <w:tc>
          <w:tcPr>
            <w:tcW w:w="1696" w:type="dxa"/>
            <w:tcBorders>
              <w:top w:val="nil"/>
              <w:left w:val="nil"/>
              <w:bottom w:val="nil"/>
              <w:right w:val="nil"/>
            </w:tcBorders>
            <w:shd w:val="clear" w:color="auto" w:fill="auto"/>
            <w:noWrap/>
            <w:vAlign w:val="bottom"/>
            <w:hideMark/>
          </w:tcPr>
          <w:p w14:paraId="3BF121CD" w14:textId="77777777" w:rsidR="00E571F1" w:rsidRPr="000A7275" w:rsidRDefault="00E571F1">
            <w:pPr>
              <w:rPr>
                <w:sz w:val="20"/>
                <w:szCs w:val="20"/>
                <w:lang w:val="en-US"/>
              </w:rPr>
            </w:pPr>
          </w:p>
        </w:tc>
        <w:tc>
          <w:tcPr>
            <w:tcW w:w="1751" w:type="dxa"/>
            <w:tcBorders>
              <w:top w:val="nil"/>
              <w:left w:val="nil"/>
              <w:bottom w:val="nil"/>
              <w:right w:val="nil"/>
            </w:tcBorders>
            <w:shd w:val="clear" w:color="auto" w:fill="auto"/>
            <w:noWrap/>
            <w:vAlign w:val="bottom"/>
            <w:hideMark/>
          </w:tcPr>
          <w:p w14:paraId="2CAA8187" w14:textId="77777777" w:rsidR="00E571F1" w:rsidRPr="000A7275" w:rsidRDefault="00E571F1">
            <w:pPr>
              <w:rPr>
                <w:sz w:val="20"/>
                <w:szCs w:val="20"/>
                <w:lang w:val="en-US"/>
              </w:rPr>
            </w:pPr>
          </w:p>
        </w:tc>
        <w:tc>
          <w:tcPr>
            <w:tcW w:w="1563" w:type="dxa"/>
            <w:tcBorders>
              <w:top w:val="nil"/>
              <w:left w:val="nil"/>
              <w:bottom w:val="nil"/>
              <w:right w:val="nil"/>
            </w:tcBorders>
            <w:shd w:val="clear" w:color="auto" w:fill="auto"/>
            <w:noWrap/>
            <w:vAlign w:val="bottom"/>
            <w:hideMark/>
          </w:tcPr>
          <w:p w14:paraId="2437D988" w14:textId="77777777" w:rsidR="00E571F1" w:rsidRPr="000A7275" w:rsidRDefault="00E571F1">
            <w:pPr>
              <w:rPr>
                <w:sz w:val="20"/>
                <w:szCs w:val="20"/>
                <w:lang w:val="en-US"/>
              </w:rPr>
            </w:pPr>
          </w:p>
        </w:tc>
        <w:tc>
          <w:tcPr>
            <w:tcW w:w="1751" w:type="dxa"/>
            <w:tcBorders>
              <w:top w:val="nil"/>
              <w:left w:val="nil"/>
              <w:bottom w:val="nil"/>
              <w:right w:val="nil"/>
            </w:tcBorders>
            <w:shd w:val="clear" w:color="auto" w:fill="auto"/>
            <w:noWrap/>
            <w:vAlign w:val="bottom"/>
            <w:hideMark/>
          </w:tcPr>
          <w:p w14:paraId="0DA106CF" w14:textId="77777777" w:rsidR="00E571F1" w:rsidRPr="000A7275" w:rsidRDefault="00E571F1">
            <w:pPr>
              <w:rPr>
                <w:sz w:val="20"/>
                <w:szCs w:val="20"/>
                <w:lang w:val="en-US"/>
              </w:rPr>
            </w:pPr>
          </w:p>
        </w:tc>
        <w:tc>
          <w:tcPr>
            <w:tcW w:w="1438" w:type="dxa"/>
            <w:tcBorders>
              <w:top w:val="nil"/>
              <w:left w:val="nil"/>
              <w:bottom w:val="nil"/>
              <w:right w:val="nil"/>
            </w:tcBorders>
            <w:shd w:val="clear" w:color="auto" w:fill="auto"/>
            <w:noWrap/>
            <w:vAlign w:val="bottom"/>
            <w:hideMark/>
          </w:tcPr>
          <w:p w14:paraId="758EE2DA" w14:textId="77777777" w:rsidR="00E571F1" w:rsidRPr="000A7275" w:rsidRDefault="00E571F1">
            <w:pPr>
              <w:rPr>
                <w:sz w:val="20"/>
                <w:szCs w:val="20"/>
                <w:lang w:val="en-US"/>
              </w:rPr>
            </w:pPr>
          </w:p>
        </w:tc>
        <w:tc>
          <w:tcPr>
            <w:tcW w:w="1180" w:type="dxa"/>
            <w:tcBorders>
              <w:top w:val="nil"/>
              <w:left w:val="nil"/>
              <w:bottom w:val="nil"/>
              <w:right w:val="nil"/>
            </w:tcBorders>
            <w:shd w:val="clear" w:color="auto" w:fill="auto"/>
            <w:noWrap/>
            <w:vAlign w:val="bottom"/>
            <w:hideMark/>
          </w:tcPr>
          <w:p w14:paraId="05A1B31E" w14:textId="77777777" w:rsidR="00E571F1" w:rsidRPr="000A7275" w:rsidRDefault="00E571F1">
            <w:pPr>
              <w:rPr>
                <w:sz w:val="20"/>
                <w:szCs w:val="20"/>
                <w:lang w:val="en-US"/>
              </w:rPr>
            </w:pPr>
          </w:p>
        </w:tc>
      </w:tr>
      <w:tr w:rsidR="00E571F1" w:rsidRPr="000A7275" w14:paraId="7299E9A9" w14:textId="77777777" w:rsidTr="00E571F1">
        <w:trPr>
          <w:trHeight w:val="281"/>
        </w:trPr>
        <w:tc>
          <w:tcPr>
            <w:tcW w:w="1696" w:type="dxa"/>
            <w:tcBorders>
              <w:top w:val="single" w:sz="8" w:space="0" w:color="auto"/>
              <w:left w:val="single" w:sz="12" w:space="0" w:color="auto"/>
              <w:bottom w:val="single" w:sz="4" w:space="0" w:color="auto"/>
              <w:right w:val="nil"/>
            </w:tcBorders>
            <w:shd w:val="clear" w:color="000000" w:fill="F8CBAD"/>
            <w:noWrap/>
            <w:vAlign w:val="bottom"/>
            <w:hideMark/>
          </w:tcPr>
          <w:p w14:paraId="5A94CA82"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 </w:t>
            </w:r>
          </w:p>
        </w:tc>
        <w:tc>
          <w:tcPr>
            <w:tcW w:w="1751" w:type="dxa"/>
            <w:tcBorders>
              <w:top w:val="single" w:sz="8" w:space="0" w:color="auto"/>
              <w:left w:val="nil"/>
              <w:bottom w:val="single" w:sz="4" w:space="0" w:color="auto"/>
              <w:right w:val="nil"/>
            </w:tcBorders>
            <w:shd w:val="clear" w:color="000000" w:fill="F8CBAD"/>
            <w:noWrap/>
            <w:vAlign w:val="bottom"/>
            <w:hideMark/>
          </w:tcPr>
          <w:p w14:paraId="1929BF03"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Column 1</w:t>
            </w:r>
          </w:p>
        </w:tc>
        <w:tc>
          <w:tcPr>
            <w:tcW w:w="1563" w:type="dxa"/>
            <w:tcBorders>
              <w:top w:val="single" w:sz="8" w:space="0" w:color="auto"/>
              <w:left w:val="nil"/>
              <w:bottom w:val="single" w:sz="4" w:space="0" w:color="auto"/>
              <w:right w:val="nil"/>
            </w:tcBorders>
            <w:shd w:val="clear" w:color="000000" w:fill="F8CBAD"/>
            <w:noWrap/>
            <w:vAlign w:val="bottom"/>
            <w:hideMark/>
          </w:tcPr>
          <w:p w14:paraId="71918B23"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Column 2</w:t>
            </w:r>
          </w:p>
        </w:tc>
        <w:tc>
          <w:tcPr>
            <w:tcW w:w="1751" w:type="dxa"/>
            <w:tcBorders>
              <w:top w:val="single" w:sz="8" w:space="0" w:color="auto"/>
              <w:left w:val="nil"/>
              <w:bottom w:val="single" w:sz="4" w:space="0" w:color="auto"/>
              <w:right w:val="nil"/>
            </w:tcBorders>
            <w:shd w:val="clear" w:color="000000" w:fill="F8CBAD"/>
            <w:noWrap/>
            <w:vAlign w:val="bottom"/>
            <w:hideMark/>
          </w:tcPr>
          <w:p w14:paraId="7793AEA1"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Column 3</w:t>
            </w:r>
          </w:p>
        </w:tc>
        <w:tc>
          <w:tcPr>
            <w:tcW w:w="1438" w:type="dxa"/>
            <w:tcBorders>
              <w:top w:val="single" w:sz="8" w:space="0" w:color="auto"/>
              <w:left w:val="nil"/>
              <w:bottom w:val="single" w:sz="4" w:space="0" w:color="auto"/>
              <w:right w:val="nil"/>
            </w:tcBorders>
            <w:shd w:val="clear" w:color="000000" w:fill="F8CBAD"/>
            <w:noWrap/>
            <w:vAlign w:val="bottom"/>
            <w:hideMark/>
          </w:tcPr>
          <w:p w14:paraId="779F4C7F"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Column 4</w:t>
            </w:r>
          </w:p>
        </w:tc>
        <w:tc>
          <w:tcPr>
            <w:tcW w:w="1180" w:type="dxa"/>
            <w:tcBorders>
              <w:top w:val="single" w:sz="8" w:space="0" w:color="auto"/>
              <w:left w:val="nil"/>
              <w:bottom w:val="single" w:sz="4" w:space="0" w:color="auto"/>
              <w:right w:val="single" w:sz="12" w:space="0" w:color="auto"/>
            </w:tcBorders>
            <w:shd w:val="clear" w:color="000000" w:fill="F8CBAD"/>
            <w:noWrap/>
            <w:vAlign w:val="bottom"/>
            <w:hideMark/>
          </w:tcPr>
          <w:p w14:paraId="3546A7A3" w14:textId="77777777" w:rsidR="00E571F1" w:rsidRPr="000A7275" w:rsidRDefault="00E571F1">
            <w:pPr>
              <w:jc w:val="center"/>
              <w:rPr>
                <w:rFonts w:ascii="Calibri" w:hAnsi="Calibri" w:cs="Calibri"/>
                <w:i/>
                <w:iCs/>
                <w:color w:val="000000"/>
                <w:lang w:val="en-US"/>
              </w:rPr>
            </w:pPr>
            <w:r w:rsidRPr="000A7275">
              <w:rPr>
                <w:rFonts w:ascii="Calibri" w:hAnsi="Calibri" w:cs="Calibri"/>
                <w:i/>
                <w:iCs/>
                <w:color w:val="000000"/>
                <w:lang w:val="en-US"/>
              </w:rPr>
              <w:t>Column 5</w:t>
            </w:r>
          </w:p>
        </w:tc>
      </w:tr>
      <w:tr w:rsidR="00E571F1" w:rsidRPr="000A7275" w14:paraId="4134390E" w14:textId="77777777" w:rsidTr="00E571F1">
        <w:trPr>
          <w:trHeight w:val="281"/>
        </w:trPr>
        <w:tc>
          <w:tcPr>
            <w:tcW w:w="1696" w:type="dxa"/>
            <w:tcBorders>
              <w:top w:val="nil"/>
              <w:left w:val="single" w:sz="12" w:space="0" w:color="auto"/>
              <w:bottom w:val="nil"/>
              <w:right w:val="nil"/>
            </w:tcBorders>
            <w:shd w:val="clear" w:color="000000" w:fill="F8CBAD"/>
            <w:noWrap/>
            <w:vAlign w:val="bottom"/>
            <w:hideMark/>
          </w:tcPr>
          <w:p w14:paraId="15A5E33F"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Column 1</w:t>
            </w:r>
          </w:p>
        </w:tc>
        <w:tc>
          <w:tcPr>
            <w:tcW w:w="1751" w:type="dxa"/>
            <w:tcBorders>
              <w:top w:val="nil"/>
              <w:left w:val="nil"/>
              <w:bottom w:val="nil"/>
              <w:right w:val="nil"/>
            </w:tcBorders>
            <w:shd w:val="clear" w:color="000000" w:fill="F8CBAD"/>
            <w:noWrap/>
            <w:vAlign w:val="bottom"/>
            <w:hideMark/>
          </w:tcPr>
          <w:p w14:paraId="180B9C44"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1</w:t>
            </w:r>
          </w:p>
        </w:tc>
        <w:tc>
          <w:tcPr>
            <w:tcW w:w="1563" w:type="dxa"/>
            <w:tcBorders>
              <w:top w:val="nil"/>
              <w:left w:val="nil"/>
              <w:bottom w:val="nil"/>
              <w:right w:val="nil"/>
            </w:tcBorders>
            <w:shd w:val="clear" w:color="000000" w:fill="F8CBAD"/>
            <w:noWrap/>
            <w:vAlign w:val="bottom"/>
            <w:hideMark/>
          </w:tcPr>
          <w:p w14:paraId="10768EE9"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751" w:type="dxa"/>
            <w:tcBorders>
              <w:top w:val="nil"/>
              <w:left w:val="nil"/>
              <w:bottom w:val="nil"/>
              <w:right w:val="nil"/>
            </w:tcBorders>
            <w:shd w:val="clear" w:color="000000" w:fill="F8CBAD"/>
            <w:noWrap/>
            <w:vAlign w:val="bottom"/>
            <w:hideMark/>
          </w:tcPr>
          <w:p w14:paraId="2F552895"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438" w:type="dxa"/>
            <w:tcBorders>
              <w:top w:val="nil"/>
              <w:left w:val="nil"/>
              <w:bottom w:val="nil"/>
              <w:right w:val="nil"/>
            </w:tcBorders>
            <w:shd w:val="clear" w:color="000000" w:fill="F8CBAD"/>
            <w:noWrap/>
            <w:vAlign w:val="bottom"/>
            <w:hideMark/>
          </w:tcPr>
          <w:p w14:paraId="7102AED9"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180" w:type="dxa"/>
            <w:tcBorders>
              <w:top w:val="nil"/>
              <w:left w:val="nil"/>
              <w:bottom w:val="nil"/>
              <w:right w:val="single" w:sz="12" w:space="0" w:color="auto"/>
            </w:tcBorders>
            <w:shd w:val="clear" w:color="000000" w:fill="F8CBAD"/>
            <w:noWrap/>
            <w:vAlign w:val="bottom"/>
            <w:hideMark/>
          </w:tcPr>
          <w:p w14:paraId="0EFAA90E"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r>
      <w:tr w:rsidR="00E571F1" w:rsidRPr="000A7275" w14:paraId="78A8FA44" w14:textId="77777777" w:rsidTr="00E571F1">
        <w:trPr>
          <w:trHeight w:val="281"/>
        </w:trPr>
        <w:tc>
          <w:tcPr>
            <w:tcW w:w="1696" w:type="dxa"/>
            <w:tcBorders>
              <w:top w:val="nil"/>
              <w:left w:val="single" w:sz="12" w:space="0" w:color="auto"/>
              <w:bottom w:val="nil"/>
              <w:right w:val="nil"/>
            </w:tcBorders>
            <w:shd w:val="clear" w:color="000000" w:fill="F8CBAD"/>
            <w:noWrap/>
            <w:vAlign w:val="bottom"/>
            <w:hideMark/>
          </w:tcPr>
          <w:p w14:paraId="0B7DA60E"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Column 2</w:t>
            </w:r>
          </w:p>
        </w:tc>
        <w:tc>
          <w:tcPr>
            <w:tcW w:w="1751" w:type="dxa"/>
            <w:tcBorders>
              <w:top w:val="nil"/>
              <w:left w:val="nil"/>
              <w:bottom w:val="nil"/>
              <w:right w:val="nil"/>
            </w:tcBorders>
            <w:shd w:val="clear" w:color="000000" w:fill="F8CBAD"/>
            <w:noWrap/>
            <w:vAlign w:val="bottom"/>
            <w:hideMark/>
          </w:tcPr>
          <w:p w14:paraId="6E582400"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0,835039489</w:t>
            </w:r>
          </w:p>
        </w:tc>
        <w:tc>
          <w:tcPr>
            <w:tcW w:w="1563" w:type="dxa"/>
            <w:tcBorders>
              <w:top w:val="nil"/>
              <w:left w:val="nil"/>
              <w:bottom w:val="nil"/>
              <w:right w:val="nil"/>
            </w:tcBorders>
            <w:shd w:val="clear" w:color="000000" w:fill="F8CBAD"/>
            <w:noWrap/>
            <w:vAlign w:val="bottom"/>
            <w:hideMark/>
          </w:tcPr>
          <w:p w14:paraId="466A07B0"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1</w:t>
            </w:r>
          </w:p>
        </w:tc>
        <w:tc>
          <w:tcPr>
            <w:tcW w:w="1751" w:type="dxa"/>
            <w:tcBorders>
              <w:top w:val="nil"/>
              <w:left w:val="nil"/>
              <w:bottom w:val="nil"/>
              <w:right w:val="nil"/>
            </w:tcBorders>
            <w:shd w:val="clear" w:color="000000" w:fill="F8CBAD"/>
            <w:noWrap/>
            <w:vAlign w:val="bottom"/>
            <w:hideMark/>
          </w:tcPr>
          <w:p w14:paraId="6CB5D628"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438" w:type="dxa"/>
            <w:tcBorders>
              <w:top w:val="nil"/>
              <w:left w:val="nil"/>
              <w:bottom w:val="nil"/>
              <w:right w:val="nil"/>
            </w:tcBorders>
            <w:shd w:val="clear" w:color="000000" w:fill="F8CBAD"/>
            <w:noWrap/>
            <w:vAlign w:val="bottom"/>
            <w:hideMark/>
          </w:tcPr>
          <w:p w14:paraId="16E5B9F7"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180" w:type="dxa"/>
            <w:tcBorders>
              <w:top w:val="nil"/>
              <w:left w:val="nil"/>
              <w:bottom w:val="nil"/>
              <w:right w:val="single" w:sz="12" w:space="0" w:color="auto"/>
            </w:tcBorders>
            <w:shd w:val="clear" w:color="000000" w:fill="F8CBAD"/>
            <w:noWrap/>
            <w:vAlign w:val="bottom"/>
            <w:hideMark/>
          </w:tcPr>
          <w:p w14:paraId="061BEEE8"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r>
      <w:tr w:rsidR="00E571F1" w:rsidRPr="000A7275" w14:paraId="13CA9D63" w14:textId="77777777" w:rsidTr="00E571F1">
        <w:trPr>
          <w:trHeight w:val="281"/>
        </w:trPr>
        <w:tc>
          <w:tcPr>
            <w:tcW w:w="1696" w:type="dxa"/>
            <w:tcBorders>
              <w:top w:val="nil"/>
              <w:left w:val="single" w:sz="12" w:space="0" w:color="auto"/>
              <w:bottom w:val="nil"/>
              <w:right w:val="nil"/>
            </w:tcBorders>
            <w:shd w:val="clear" w:color="000000" w:fill="F8CBAD"/>
            <w:noWrap/>
            <w:vAlign w:val="bottom"/>
            <w:hideMark/>
          </w:tcPr>
          <w:p w14:paraId="0596078E"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Column 3</w:t>
            </w:r>
          </w:p>
        </w:tc>
        <w:tc>
          <w:tcPr>
            <w:tcW w:w="1751" w:type="dxa"/>
            <w:tcBorders>
              <w:top w:val="nil"/>
              <w:left w:val="nil"/>
              <w:bottom w:val="nil"/>
              <w:right w:val="nil"/>
            </w:tcBorders>
            <w:shd w:val="clear" w:color="000000" w:fill="F8CBAD"/>
            <w:noWrap/>
            <w:vAlign w:val="bottom"/>
            <w:hideMark/>
          </w:tcPr>
          <w:p w14:paraId="67AC8802"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0,133394193</w:t>
            </w:r>
          </w:p>
        </w:tc>
        <w:tc>
          <w:tcPr>
            <w:tcW w:w="1563" w:type="dxa"/>
            <w:tcBorders>
              <w:top w:val="nil"/>
              <w:left w:val="nil"/>
              <w:bottom w:val="nil"/>
              <w:right w:val="nil"/>
            </w:tcBorders>
            <w:shd w:val="clear" w:color="000000" w:fill="F8CBAD"/>
            <w:noWrap/>
            <w:vAlign w:val="bottom"/>
            <w:hideMark/>
          </w:tcPr>
          <w:p w14:paraId="60EAA21F"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-0,004145421</w:t>
            </w:r>
          </w:p>
        </w:tc>
        <w:tc>
          <w:tcPr>
            <w:tcW w:w="1751" w:type="dxa"/>
            <w:tcBorders>
              <w:top w:val="nil"/>
              <w:left w:val="nil"/>
              <w:bottom w:val="nil"/>
              <w:right w:val="nil"/>
            </w:tcBorders>
            <w:shd w:val="clear" w:color="000000" w:fill="F8CBAD"/>
            <w:noWrap/>
            <w:vAlign w:val="bottom"/>
            <w:hideMark/>
          </w:tcPr>
          <w:p w14:paraId="245A6098"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1</w:t>
            </w:r>
          </w:p>
        </w:tc>
        <w:tc>
          <w:tcPr>
            <w:tcW w:w="1438" w:type="dxa"/>
            <w:tcBorders>
              <w:top w:val="nil"/>
              <w:left w:val="nil"/>
              <w:bottom w:val="nil"/>
              <w:right w:val="nil"/>
            </w:tcBorders>
            <w:shd w:val="clear" w:color="000000" w:fill="F8CBAD"/>
            <w:noWrap/>
            <w:vAlign w:val="bottom"/>
            <w:hideMark/>
          </w:tcPr>
          <w:p w14:paraId="3A387F2F"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c>
          <w:tcPr>
            <w:tcW w:w="1180" w:type="dxa"/>
            <w:tcBorders>
              <w:top w:val="nil"/>
              <w:left w:val="nil"/>
              <w:bottom w:val="nil"/>
              <w:right w:val="single" w:sz="12" w:space="0" w:color="auto"/>
            </w:tcBorders>
            <w:shd w:val="clear" w:color="000000" w:fill="F8CBAD"/>
            <w:noWrap/>
            <w:vAlign w:val="bottom"/>
            <w:hideMark/>
          </w:tcPr>
          <w:p w14:paraId="2474115B"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r>
      <w:tr w:rsidR="00E571F1" w:rsidRPr="000A7275" w14:paraId="55C4491D" w14:textId="77777777" w:rsidTr="00E571F1">
        <w:trPr>
          <w:trHeight w:val="281"/>
        </w:trPr>
        <w:tc>
          <w:tcPr>
            <w:tcW w:w="1696" w:type="dxa"/>
            <w:tcBorders>
              <w:top w:val="nil"/>
              <w:left w:val="single" w:sz="12" w:space="0" w:color="auto"/>
              <w:bottom w:val="nil"/>
              <w:right w:val="nil"/>
            </w:tcBorders>
            <w:shd w:val="clear" w:color="000000" w:fill="F8CBAD"/>
            <w:noWrap/>
            <w:vAlign w:val="bottom"/>
            <w:hideMark/>
          </w:tcPr>
          <w:p w14:paraId="5F04A3D3"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Column 4</w:t>
            </w:r>
          </w:p>
        </w:tc>
        <w:tc>
          <w:tcPr>
            <w:tcW w:w="1751" w:type="dxa"/>
            <w:tcBorders>
              <w:top w:val="nil"/>
              <w:left w:val="nil"/>
              <w:bottom w:val="nil"/>
              <w:right w:val="nil"/>
            </w:tcBorders>
            <w:shd w:val="clear" w:color="000000" w:fill="F8CBAD"/>
            <w:noWrap/>
            <w:vAlign w:val="bottom"/>
            <w:hideMark/>
          </w:tcPr>
          <w:p w14:paraId="500DACB8"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0,254283057</w:t>
            </w:r>
          </w:p>
        </w:tc>
        <w:tc>
          <w:tcPr>
            <w:tcW w:w="1563" w:type="dxa"/>
            <w:tcBorders>
              <w:top w:val="nil"/>
              <w:left w:val="nil"/>
              <w:bottom w:val="nil"/>
              <w:right w:val="nil"/>
            </w:tcBorders>
            <w:shd w:val="clear" w:color="000000" w:fill="F8CBAD"/>
            <w:noWrap/>
            <w:vAlign w:val="bottom"/>
            <w:hideMark/>
          </w:tcPr>
          <w:p w14:paraId="37A7EB3B"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0,184756161</w:t>
            </w:r>
          </w:p>
        </w:tc>
        <w:tc>
          <w:tcPr>
            <w:tcW w:w="1751" w:type="dxa"/>
            <w:tcBorders>
              <w:top w:val="nil"/>
              <w:left w:val="nil"/>
              <w:bottom w:val="nil"/>
              <w:right w:val="nil"/>
            </w:tcBorders>
            <w:shd w:val="clear" w:color="000000" w:fill="F8CBAD"/>
            <w:noWrap/>
            <w:vAlign w:val="bottom"/>
            <w:hideMark/>
          </w:tcPr>
          <w:p w14:paraId="3FF80ED9"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0,951180398</w:t>
            </w:r>
          </w:p>
        </w:tc>
        <w:tc>
          <w:tcPr>
            <w:tcW w:w="1438" w:type="dxa"/>
            <w:tcBorders>
              <w:top w:val="nil"/>
              <w:left w:val="nil"/>
              <w:bottom w:val="nil"/>
              <w:right w:val="nil"/>
            </w:tcBorders>
            <w:shd w:val="clear" w:color="000000" w:fill="F8CBAD"/>
            <w:noWrap/>
            <w:vAlign w:val="bottom"/>
            <w:hideMark/>
          </w:tcPr>
          <w:p w14:paraId="2A5E818F"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1</w:t>
            </w:r>
          </w:p>
        </w:tc>
        <w:tc>
          <w:tcPr>
            <w:tcW w:w="1180" w:type="dxa"/>
            <w:tcBorders>
              <w:top w:val="nil"/>
              <w:left w:val="nil"/>
              <w:bottom w:val="nil"/>
              <w:right w:val="single" w:sz="12" w:space="0" w:color="auto"/>
            </w:tcBorders>
            <w:shd w:val="clear" w:color="000000" w:fill="F8CBAD"/>
            <w:noWrap/>
            <w:vAlign w:val="bottom"/>
            <w:hideMark/>
          </w:tcPr>
          <w:p w14:paraId="069D25EA"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 </w:t>
            </w:r>
          </w:p>
        </w:tc>
      </w:tr>
      <w:tr w:rsidR="00E571F1" w:rsidRPr="000A7275" w14:paraId="5B94CE6E" w14:textId="77777777" w:rsidTr="00E571F1">
        <w:trPr>
          <w:trHeight w:val="299"/>
        </w:trPr>
        <w:tc>
          <w:tcPr>
            <w:tcW w:w="1696" w:type="dxa"/>
            <w:tcBorders>
              <w:top w:val="nil"/>
              <w:left w:val="single" w:sz="12" w:space="0" w:color="auto"/>
              <w:bottom w:val="single" w:sz="8" w:space="0" w:color="auto"/>
              <w:right w:val="nil"/>
            </w:tcBorders>
            <w:shd w:val="clear" w:color="000000" w:fill="F8CBAD"/>
            <w:noWrap/>
            <w:vAlign w:val="bottom"/>
            <w:hideMark/>
          </w:tcPr>
          <w:p w14:paraId="6635C5D5" w14:textId="77777777" w:rsidR="00E571F1" w:rsidRPr="000A7275" w:rsidRDefault="00E571F1">
            <w:pPr>
              <w:rPr>
                <w:rFonts w:ascii="Calibri" w:hAnsi="Calibri" w:cs="Calibri"/>
                <w:color w:val="000000"/>
                <w:lang w:val="en-US"/>
              </w:rPr>
            </w:pPr>
            <w:r w:rsidRPr="000A7275">
              <w:rPr>
                <w:rFonts w:ascii="Calibri" w:hAnsi="Calibri" w:cs="Calibri"/>
                <w:color w:val="000000"/>
                <w:lang w:val="en-US"/>
              </w:rPr>
              <w:t>Column 5</w:t>
            </w:r>
          </w:p>
        </w:tc>
        <w:tc>
          <w:tcPr>
            <w:tcW w:w="1751" w:type="dxa"/>
            <w:tcBorders>
              <w:top w:val="nil"/>
              <w:left w:val="nil"/>
              <w:bottom w:val="single" w:sz="8" w:space="0" w:color="auto"/>
              <w:right w:val="nil"/>
            </w:tcBorders>
            <w:shd w:val="clear" w:color="000000" w:fill="F8CBAD"/>
            <w:noWrap/>
            <w:vAlign w:val="bottom"/>
            <w:hideMark/>
          </w:tcPr>
          <w:p w14:paraId="37F37696"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0,250744625</w:t>
            </w:r>
          </w:p>
        </w:tc>
        <w:tc>
          <w:tcPr>
            <w:tcW w:w="1563" w:type="dxa"/>
            <w:tcBorders>
              <w:top w:val="nil"/>
              <w:left w:val="nil"/>
              <w:bottom w:val="single" w:sz="8" w:space="0" w:color="auto"/>
              <w:right w:val="nil"/>
            </w:tcBorders>
            <w:shd w:val="clear" w:color="000000" w:fill="F8CBAD"/>
            <w:noWrap/>
            <w:vAlign w:val="bottom"/>
            <w:hideMark/>
          </w:tcPr>
          <w:p w14:paraId="12193C26"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0,063275666</w:t>
            </w:r>
          </w:p>
        </w:tc>
        <w:tc>
          <w:tcPr>
            <w:tcW w:w="1751" w:type="dxa"/>
            <w:tcBorders>
              <w:top w:val="nil"/>
              <w:left w:val="nil"/>
              <w:bottom w:val="single" w:sz="8" w:space="0" w:color="auto"/>
              <w:right w:val="nil"/>
            </w:tcBorders>
            <w:shd w:val="clear" w:color="000000" w:fill="F8CBAD"/>
            <w:noWrap/>
            <w:vAlign w:val="bottom"/>
            <w:hideMark/>
          </w:tcPr>
          <w:p w14:paraId="6D25479B"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0,949722558</w:t>
            </w:r>
          </w:p>
        </w:tc>
        <w:tc>
          <w:tcPr>
            <w:tcW w:w="1438" w:type="dxa"/>
            <w:tcBorders>
              <w:top w:val="nil"/>
              <w:left w:val="nil"/>
              <w:bottom w:val="single" w:sz="8" w:space="0" w:color="auto"/>
              <w:right w:val="nil"/>
            </w:tcBorders>
            <w:shd w:val="clear" w:color="000000" w:fill="F8CBAD"/>
            <w:noWrap/>
            <w:vAlign w:val="bottom"/>
            <w:hideMark/>
          </w:tcPr>
          <w:p w14:paraId="4A39024A"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0,878698968</w:t>
            </w:r>
          </w:p>
        </w:tc>
        <w:tc>
          <w:tcPr>
            <w:tcW w:w="1180" w:type="dxa"/>
            <w:tcBorders>
              <w:top w:val="nil"/>
              <w:left w:val="nil"/>
              <w:bottom w:val="single" w:sz="8" w:space="0" w:color="auto"/>
              <w:right w:val="single" w:sz="12" w:space="0" w:color="auto"/>
            </w:tcBorders>
            <w:shd w:val="clear" w:color="000000" w:fill="F8CBAD"/>
            <w:noWrap/>
            <w:vAlign w:val="bottom"/>
            <w:hideMark/>
          </w:tcPr>
          <w:p w14:paraId="0819A9D4" w14:textId="77777777" w:rsidR="00E571F1" w:rsidRPr="000A7275" w:rsidRDefault="00E571F1">
            <w:pPr>
              <w:jc w:val="right"/>
              <w:rPr>
                <w:rFonts w:ascii="Calibri" w:hAnsi="Calibri" w:cs="Calibri"/>
                <w:color w:val="000000"/>
                <w:lang w:val="en-US"/>
              </w:rPr>
            </w:pPr>
            <w:r w:rsidRPr="000A7275">
              <w:rPr>
                <w:rFonts w:ascii="Calibri" w:hAnsi="Calibri" w:cs="Calibri"/>
                <w:color w:val="000000"/>
                <w:lang w:val="en-US"/>
              </w:rPr>
              <w:t>1</w:t>
            </w:r>
          </w:p>
        </w:tc>
      </w:tr>
    </w:tbl>
    <w:p w14:paraId="674ED948" w14:textId="77777777" w:rsidR="00E571F1" w:rsidRPr="000A7275" w:rsidRDefault="00E571F1" w:rsidP="00810B06">
      <w:pPr>
        <w:spacing w:line="360" w:lineRule="auto"/>
        <w:rPr>
          <w:lang w:val="en-US"/>
        </w:rPr>
      </w:pPr>
    </w:p>
    <w:p w14:paraId="08413EF2" w14:textId="77777777" w:rsidR="00C94D49" w:rsidRPr="000A7275" w:rsidRDefault="00C94D49" w:rsidP="00810B06">
      <w:pPr>
        <w:spacing w:line="360" w:lineRule="auto"/>
        <w:rPr>
          <w:lang w:val="en-US"/>
        </w:rPr>
      </w:pPr>
    </w:p>
    <w:p w14:paraId="4A188448" w14:textId="77777777" w:rsidR="00C94D49" w:rsidRPr="000A7275" w:rsidRDefault="00C94D49" w:rsidP="00810B06">
      <w:pPr>
        <w:spacing w:line="360" w:lineRule="auto"/>
        <w:rPr>
          <w:b/>
          <w:bCs/>
          <w:lang w:val="en-US"/>
        </w:rPr>
      </w:pPr>
      <w:r w:rsidRPr="000A7275">
        <w:rPr>
          <w:b/>
          <w:bCs/>
          <w:lang w:val="en-US"/>
        </w:rPr>
        <w:t>Control Variables</w:t>
      </w:r>
    </w:p>
    <w:p w14:paraId="2997AB1B" w14:textId="77777777" w:rsidR="00C94D49" w:rsidRPr="000A7275" w:rsidRDefault="00C94D49" w:rsidP="00810B06">
      <w:pPr>
        <w:spacing w:line="360" w:lineRule="auto"/>
        <w:rPr>
          <w:b/>
          <w:bCs/>
          <w:lang w:val="en-US"/>
        </w:rPr>
      </w:pPr>
    </w:p>
    <w:p w14:paraId="3A8BE255" w14:textId="77777777" w:rsidR="00C94D49" w:rsidRPr="000A7275" w:rsidRDefault="00C94D49" w:rsidP="00810B06">
      <w:pPr>
        <w:spacing w:line="360" w:lineRule="auto"/>
        <w:rPr>
          <w:u w:val="single"/>
          <w:lang w:val="en-US"/>
        </w:rPr>
      </w:pPr>
      <w:r w:rsidRPr="000A7275">
        <w:rPr>
          <w:u w:val="single"/>
          <w:lang w:val="en-US"/>
        </w:rPr>
        <w:t>Purchasing Power Parity</w:t>
      </w:r>
    </w:p>
    <w:p w14:paraId="2376A136" w14:textId="604A7D9F" w:rsidR="000A4313" w:rsidRPr="000A7275" w:rsidRDefault="000A4313" w:rsidP="00810B06">
      <w:pPr>
        <w:spacing w:line="360" w:lineRule="auto"/>
        <w:rPr>
          <w:lang w:val="en-US"/>
        </w:rPr>
      </w:pPr>
      <w:r w:rsidRPr="000A7275">
        <w:rPr>
          <w:lang w:val="en-US"/>
        </w:rPr>
        <w:t xml:space="preserve">The data of Purchasing Power Parity (PPP) of turkey is also obtained from TÜİK. “Purchasing power parity (PPP) is a way of measuring economic variables in different countries so that irrelevant exchange rate variations do not distort comparisons. Purchasing power exchange rates are such that it would cost exactly the same number of, for example, US dollars to buy euros and then buy a basket of goods in the market as it would cost to purchase the same goods directly with dollars. The purchasing power exchange rate used in this conversion equals the ratio of the currencies' respective purchasing powers (reciprocals of their price levels).” (Investopedia, The Economist) We have focused on the PPP of Turkey compared to the OECD countries as a control variable so that we could ensure the correlation of the change in the PPP, another forthcoming </w:t>
      </w:r>
      <w:r w:rsidR="00DF27A2" w:rsidRPr="000A7275">
        <w:rPr>
          <w:lang w:val="en-US"/>
        </w:rPr>
        <w:t xml:space="preserve">macroeconomic </w:t>
      </w:r>
      <w:r w:rsidRPr="000A7275">
        <w:rPr>
          <w:lang w:val="en-US"/>
        </w:rPr>
        <w:t xml:space="preserve">variable that measures relative </w:t>
      </w:r>
      <w:r w:rsidR="00DF27A2" w:rsidRPr="000A7275">
        <w:rPr>
          <w:lang w:val="en-US"/>
        </w:rPr>
        <w:t xml:space="preserve">purchasing power, and the vote percentages of the governments if the findings were parallel with </w:t>
      </w:r>
      <w:r w:rsidR="00DF27A2" w:rsidRPr="000A7275">
        <w:rPr>
          <w:i/>
          <w:iCs/>
          <w:lang w:val="en-US"/>
        </w:rPr>
        <w:t>GDP per Capita/CPI</w:t>
      </w:r>
      <w:r w:rsidR="00DF27A2" w:rsidRPr="000A7275">
        <w:rPr>
          <w:lang w:val="en-US"/>
        </w:rPr>
        <w:t>. In the recent quarter, Turkey has experienced an official recession and thus, its populations’ living standards are supposed to decline compared to the rest of the world.</w:t>
      </w:r>
    </w:p>
    <w:p w14:paraId="24C22C68" w14:textId="77777777" w:rsidR="00DA415A" w:rsidRPr="000A7275" w:rsidRDefault="00DA415A" w:rsidP="00810B06">
      <w:pPr>
        <w:spacing w:line="360" w:lineRule="auto"/>
        <w:rPr>
          <w:lang w:val="en-US"/>
        </w:rPr>
      </w:pPr>
    </w:p>
    <w:p w14:paraId="19134F4A" w14:textId="77777777" w:rsidR="00DF27A2" w:rsidRPr="000A7275" w:rsidRDefault="00DF27A2" w:rsidP="00810B06">
      <w:pPr>
        <w:spacing w:line="360" w:lineRule="auto"/>
        <w:rPr>
          <w:lang w:val="en-US"/>
        </w:rPr>
      </w:pPr>
    </w:p>
    <w:p w14:paraId="14D585FA" w14:textId="77777777" w:rsidR="00DF27A2" w:rsidRPr="000A7275" w:rsidRDefault="00DF27A2" w:rsidP="00810B06">
      <w:pPr>
        <w:spacing w:line="360" w:lineRule="auto"/>
        <w:rPr>
          <w:lang w:val="en-US"/>
        </w:rPr>
      </w:pPr>
      <w:r w:rsidRPr="000A7275">
        <w:rPr>
          <w:lang w:val="en-US"/>
        </w:rPr>
        <w:t xml:space="preserve">On the other hand, there is other factors that make noticeable impact on government votes in Turkey other than economics. The social elements such as religious figures, the leader Erdoğan’s charisma and public opinion about his competence and authority are very significant on public’s decision making for voting. Another factor, correlated with those mentioned factors, is the feeling of security. Security and terrorism are somehow generally hot topic issues in Turkey compared to its peer countries. The roles they played in the politics were pretty obvious. The public generally has an incentive to appeal for the government </w:t>
      </w:r>
      <w:r w:rsidR="00E15DE4" w:rsidRPr="000A7275">
        <w:rPr>
          <w:lang w:val="en-US"/>
        </w:rPr>
        <w:t>in case of an instability.</w:t>
      </w:r>
    </w:p>
    <w:p w14:paraId="5E819538" w14:textId="77777777" w:rsidR="00E15DE4" w:rsidRPr="000A7275" w:rsidRDefault="00E15DE4" w:rsidP="00810B06">
      <w:pPr>
        <w:spacing w:line="360" w:lineRule="auto"/>
        <w:rPr>
          <w:lang w:val="en-US"/>
        </w:rPr>
      </w:pPr>
    </w:p>
    <w:p w14:paraId="153EA4D2" w14:textId="77777777" w:rsidR="00CD681D" w:rsidRPr="000A7275" w:rsidRDefault="00E15DE4" w:rsidP="00810B06">
      <w:pPr>
        <w:spacing w:line="360" w:lineRule="auto"/>
        <w:rPr>
          <w:lang w:val="en-US"/>
        </w:rPr>
      </w:pPr>
      <w:r w:rsidRPr="000A7275">
        <w:rPr>
          <w:lang w:val="en-US"/>
        </w:rPr>
        <w:t xml:space="preserve">Another factor that determines the poles of the government is right wing and left wing. The division of the society and polarization has become clearer along the time and especially by the new application of alliance system. It is not very easy for an electorate to switch from a wing to another in Turkey’s political ground. </w:t>
      </w:r>
    </w:p>
    <w:p w14:paraId="52FFC6AF" w14:textId="77777777" w:rsidR="00CD681D" w:rsidRPr="000A7275" w:rsidRDefault="00CD681D" w:rsidP="00810B06">
      <w:pPr>
        <w:spacing w:line="360" w:lineRule="auto"/>
        <w:rPr>
          <w:lang w:val="en-US"/>
        </w:rPr>
      </w:pPr>
    </w:p>
    <w:p w14:paraId="37BFDA04" w14:textId="1F45C769" w:rsidR="00CD681D" w:rsidRPr="000A7275" w:rsidRDefault="00CD681D" w:rsidP="00810B06">
      <w:pPr>
        <w:spacing w:line="360" w:lineRule="auto"/>
        <w:rPr>
          <w:lang w:val="en-US"/>
        </w:rPr>
      </w:pPr>
      <w:r w:rsidRPr="000A7275">
        <w:rPr>
          <w:u w:val="single"/>
          <w:lang w:val="en-US"/>
        </w:rPr>
        <w:t>Median Age</w:t>
      </w:r>
    </w:p>
    <w:p w14:paraId="2C467789" w14:textId="482E5DFC" w:rsidR="00E15DE4" w:rsidRPr="000A7275" w:rsidRDefault="00E15DE4" w:rsidP="00810B06">
      <w:pPr>
        <w:spacing w:line="360" w:lineRule="auto"/>
        <w:rPr>
          <w:lang w:val="en-US"/>
        </w:rPr>
      </w:pPr>
      <w:r w:rsidRPr="000A7275">
        <w:rPr>
          <w:lang w:val="en-US"/>
        </w:rPr>
        <w:t>Moreover, in the period of 17 years of ruling, new generations have emerged as electorates. It is likely that the new generation electorates changing the demographical balances. In other words, the new generation might increase the number of the left-wing population or the right-wing population. Furthermore, since the government has been ruling for so long, some electorates did not experience any government change and that could be another factor that make the voters’ decision making stickier, that more risk averse for changing the government with a new party.</w:t>
      </w:r>
      <w:r w:rsidR="00CD681D" w:rsidRPr="000A7275">
        <w:rPr>
          <w:lang w:val="en-US"/>
        </w:rPr>
        <w:t xml:space="preserve"> Thus, </w:t>
      </w:r>
      <w:r w:rsidR="00CD681D" w:rsidRPr="000A7275">
        <w:rPr>
          <w:i/>
          <w:iCs/>
          <w:lang w:val="en-US"/>
        </w:rPr>
        <w:t xml:space="preserve">MedianAge </w:t>
      </w:r>
      <w:r w:rsidR="00CD681D" w:rsidRPr="000A7275">
        <w:rPr>
          <w:lang w:val="en-US"/>
        </w:rPr>
        <w:t xml:space="preserve">has been used as another control variable. That is the median age of the electorates is supposed to give inference about the age distribution of the </w:t>
      </w:r>
      <w:r w:rsidR="00DA415A" w:rsidRPr="000A7275">
        <w:rPr>
          <w:lang w:val="en-US"/>
        </w:rPr>
        <w:t xml:space="preserve">electorate </w:t>
      </w:r>
      <w:r w:rsidR="00CD681D" w:rsidRPr="000A7275">
        <w:rPr>
          <w:lang w:val="en-US"/>
        </w:rPr>
        <w:t>population and the skewedness of it.</w:t>
      </w:r>
    </w:p>
    <w:p w14:paraId="35D85BF9" w14:textId="77777777" w:rsidR="00DA415A" w:rsidRPr="000A7275" w:rsidRDefault="00DA415A" w:rsidP="00810B06">
      <w:pPr>
        <w:spacing w:line="360" w:lineRule="auto"/>
        <w:rPr>
          <w:lang w:val="en-US"/>
        </w:rPr>
      </w:pPr>
    </w:p>
    <w:p w14:paraId="266495B8" w14:textId="77777777" w:rsidR="000A4313" w:rsidRPr="000A7275" w:rsidRDefault="000A4313" w:rsidP="00810B06">
      <w:pPr>
        <w:spacing w:line="360" w:lineRule="auto"/>
        <w:rPr>
          <w:lang w:val="en-US"/>
        </w:rPr>
      </w:pPr>
    </w:p>
    <w:p w14:paraId="7BD06A3D" w14:textId="49B4AC92" w:rsidR="00A11435" w:rsidRPr="000A7275" w:rsidRDefault="00A11435" w:rsidP="00810B06">
      <w:pPr>
        <w:spacing w:line="360" w:lineRule="auto"/>
        <w:rPr>
          <w:lang w:val="en-US"/>
        </w:rPr>
      </w:pPr>
      <w:r w:rsidRPr="000A7275">
        <w:rPr>
          <w:lang w:val="en-US"/>
        </w:rPr>
        <w:t xml:space="preserve">Consequently, the above-mentioned social factors </w:t>
      </w:r>
      <w:r w:rsidR="007F61E1" w:rsidRPr="000A7275">
        <w:rPr>
          <w:lang w:val="en-US"/>
        </w:rPr>
        <w:t>have the potential to</w:t>
      </w:r>
      <w:r w:rsidRPr="000A7275">
        <w:rPr>
          <w:lang w:val="en-US"/>
        </w:rPr>
        <w:t xml:space="preserve"> affect the government’s vote percentage </w:t>
      </w:r>
      <w:r w:rsidR="007F61E1" w:rsidRPr="000A7275">
        <w:rPr>
          <w:lang w:val="en-US"/>
        </w:rPr>
        <w:t xml:space="preserve">at least as much as the economic factors. Since we cannot have separate experiments for those, it is impossible to measure the sole effect of economic welfare on public consent for government. </w:t>
      </w:r>
      <w:r w:rsidR="00DA415A" w:rsidRPr="000A7275">
        <w:rPr>
          <w:lang w:val="en-US"/>
        </w:rPr>
        <w:t xml:space="preserve">Also, it is not really easy to come up with all of those intangible factors that have a causal effect on government’s votes. </w:t>
      </w:r>
      <w:r w:rsidR="007F61E1" w:rsidRPr="000A7275">
        <w:rPr>
          <w:lang w:val="en-US"/>
        </w:rPr>
        <w:t xml:space="preserve">In case of a significant </w:t>
      </w:r>
      <w:r w:rsidR="007F61E1" w:rsidRPr="000A7275">
        <w:rPr>
          <w:lang w:val="en-US"/>
        </w:rPr>
        <w:lastRenderedPageBreak/>
        <w:t xml:space="preserve">altering in those social factors, our hypothesis might suffer from “Omitted Variable Bias (OVB)” problem. </w:t>
      </w:r>
    </w:p>
    <w:p w14:paraId="74BEC145" w14:textId="550957CC" w:rsidR="007116D3" w:rsidRPr="000A7275" w:rsidRDefault="007116D3" w:rsidP="00810B06">
      <w:pPr>
        <w:spacing w:line="360" w:lineRule="auto"/>
        <w:rPr>
          <w:lang w:val="en-US"/>
        </w:rPr>
      </w:pPr>
    </w:p>
    <w:p w14:paraId="6279FDF5" w14:textId="62081A9D" w:rsidR="007116D3" w:rsidRPr="000A7275" w:rsidRDefault="007116D3" w:rsidP="00810B06">
      <w:pPr>
        <w:spacing w:line="360" w:lineRule="auto"/>
        <w:rPr>
          <w:rFonts w:asciiTheme="minorHAnsi" w:hAnsiTheme="minorHAnsi" w:cstheme="minorHAnsi"/>
          <w:b/>
          <w:bCs/>
          <w:color w:val="2F5496" w:themeColor="accent1" w:themeShade="BF"/>
          <w:sz w:val="28"/>
          <w:szCs w:val="28"/>
          <w:lang w:val="en-US"/>
        </w:rPr>
      </w:pPr>
      <w:r w:rsidRPr="000A7275">
        <w:rPr>
          <w:rFonts w:asciiTheme="minorHAnsi" w:hAnsiTheme="minorHAnsi" w:cstheme="minorHAnsi"/>
          <w:b/>
          <w:bCs/>
          <w:color w:val="2F5496" w:themeColor="accent1" w:themeShade="BF"/>
          <w:sz w:val="28"/>
          <w:szCs w:val="28"/>
          <w:lang w:val="en-US"/>
        </w:rPr>
        <w:t>Empirical Method</w:t>
      </w:r>
    </w:p>
    <w:p w14:paraId="6BF1D27F" w14:textId="0DD45902" w:rsidR="007116D3" w:rsidRPr="000A7275" w:rsidRDefault="007116D3" w:rsidP="00810B06">
      <w:pPr>
        <w:spacing w:line="360" w:lineRule="auto"/>
        <w:rPr>
          <w:b/>
          <w:bCs/>
          <w:lang w:val="en-US"/>
        </w:rPr>
      </w:pPr>
      <w:r w:rsidRPr="000A7275">
        <w:rPr>
          <w:b/>
          <w:bCs/>
          <w:lang w:val="en-US"/>
        </w:rPr>
        <w:t>Econometric Modelling</w:t>
      </w:r>
    </w:p>
    <w:p w14:paraId="26674D7D" w14:textId="492AE6DA" w:rsidR="007116D3" w:rsidRPr="000A7275" w:rsidRDefault="007116D3" w:rsidP="00810B06">
      <w:pPr>
        <w:spacing w:line="360" w:lineRule="auto"/>
        <w:rPr>
          <w:lang w:val="en-US"/>
        </w:rPr>
      </w:pPr>
      <w:r w:rsidRPr="000A7275">
        <w:rPr>
          <w:lang w:val="en-US"/>
        </w:rPr>
        <w:t xml:space="preserve">We used </w:t>
      </w:r>
      <w:r w:rsidR="006375D4" w:rsidRPr="000A7275">
        <w:rPr>
          <w:i/>
          <w:iCs/>
          <w:lang w:val="en-US"/>
        </w:rPr>
        <w:t>M</w:t>
      </w:r>
      <w:r w:rsidRPr="000A7275">
        <w:rPr>
          <w:i/>
          <w:iCs/>
          <w:lang w:val="en-US"/>
        </w:rPr>
        <w:t xml:space="preserve">ultivariate </w:t>
      </w:r>
      <w:r w:rsidR="006375D4" w:rsidRPr="000A7275">
        <w:rPr>
          <w:i/>
          <w:iCs/>
          <w:lang w:val="en-US"/>
        </w:rPr>
        <w:t>L</w:t>
      </w:r>
      <w:r w:rsidRPr="000A7275">
        <w:rPr>
          <w:i/>
          <w:iCs/>
          <w:lang w:val="en-US"/>
        </w:rPr>
        <w:t xml:space="preserve">inear </w:t>
      </w:r>
      <w:r w:rsidR="006375D4" w:rsidRPr="000A7275">
        <w:rPr>
          <w:i/>
          <w:iCs/>
          <w:lang w:val="en-US"/>
        </w:rPr>
        <w:t>R</w:t>
      </w:r>
      <w:r w:rsidRPr="000A7275">
        <w:rPr>
          <w:i/>
          <w:iCs/>
          <w:lang w:val="en-US"/>
        </w:rPr>
        <w:t>egression</w:t>
      </w:r>
      <w:r w:rsidR="006375D4" w:rsidRPr="000A7275">
        <w:rPr>
          <w:i/>
          <w:iCs/>
          <w:lang w:val="en-US"/>
        </w:rPr>
        <w:t xml:space="preserve"> M</w:t>
      </w:r>
      <w:r w:rsidRPr="000A7275">
        <w:rPr>
          <w:i/>
          <w:iCs/>
          <w:lang w:val="en-US"/>
        </w:rPr>
        <w:t>odel</w:t>
      </w:r>
      <w:r w:rsidRPr="000A7275">
        <w:rPr>
          <w:lang w:val="en-US"/>
        </w:rPr>
        <w:t xml:space="preserve"> for expressing the </w:t>
      </w:r>
      <w:r w:rsidR="005533BD" w:rsidRPr="000A7275">
        <w:rPr>
          <w:lang w:val="en-US"/>
        </w:rPr>
        <w:t xml:space="preserve">causal </w:t>
      </w:r>
      <w:r w:rsidRPr="000A7275">
        <w:rPr>
          <w:lang w:val="en-US"/>
        </w:rPr>
        <w:t xml:space="preserve">effect of purchasing power and unemployment on the government’s votes. </w:t>
      </w:r>
      <w:r w:rsidR="006375D4" w:rsidRPr="000A7275">
        <w:rPr>
          <w:lang w:val="en-US"/>
        </w:rPr>
        <w:t xml:space="preserve">Although we have been considering using Gaussian Process as the model, we have switched to Multivariate Linear Regression Model. Because the data we obtained resulted a linear correlation with multiple independent variables rather than a skewed curve and we did not require any machine learning predictions. </w:t>
      </w:r>
    </w:p>
    <w:p w14:paraId="3DCFC347" w14:textId="66833E4D" w:rsidR="005533BD" w:rsidRPr="000A7275" w:rsidRDefault="005533BD" w:rsidP="00810B06">
      <w:pPr>
        <w:spacing w:line="360" w:lineRule="auto"/>
        <w:rPr>
          <w:lang w:val="en-US"/>
        </w:rPr>
      </w:pPr>
    </w:p>
    <w:p w14:paraId="53FA0310" w14:textId="5225185B" w:rsidR="005533BD" w:rsidRPr="000A7275" w:rsidRDefault="005533BD" w:rsidP="00810B06">
      <w:pPr>
        <w:spacing w:line="360" w:lineRule="auto"/>
        <w:rPr>
          <w:lang w:val="en-US"/>
        </w:rPr>
      </w:pPr>
      <w:r w:rsidRPr="000A7275">
        <w:rPr>
          <w:lang w:val="en-US"/>
        </w:rPr>
        <w:t>In order to check whether the analysis is valid, we have run the regression using Python and the data we have obtained from the TÜİK. The figure below illustrates the Python output for regression values.</w:t>
      </w:r>
      <w:r w:rsidRPr="000A7275">
        <w:rPr>
          <w:lang w:val="en-US"/>
        </w:rPr>
        <w:drawing>
          <wp:inline distT="0" distB="0" distL="0" distR="0" wp14:anchorId="7C0E6E20" wp14:editId="3898515D">
            <wp:extent cx="5756910" cy="308673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5 at 20.47.36.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086735"/>
                    </a:xfrm>
                    <a:prstGeom prst="rect">
                      <a:avLst/>
                    </a:prstGeom>
                  </pic:spPr>
                </pic:pic>
              </a:graphicData>
            </a:graphic>
          </wp:inline>
        </w:drawing>
      </w:r>
    </w:p>
    <w:p w14:paraId="3FA76EF8" w14:textId="7B6D4F9E" w:rsidR="005533BD" w:rsidRPr="000A7275" w:rsidRDefault="00CD681D" w:rsidP="00810B06">
      <w:pPr>
        <w:spacing w:line="360" w:lineRule="auto"/>
        <w:rPr>
          <w:lang w:val="en-US"/>
        </w:rPr>
      </w:pPr>
      <w:r w:rsidRPr="000A7275">
        <w:rPr>
          <w:lang w:val="en-US"/>
        </w:rPr>
        <w:t>So</w:t>
      </w:r>
      <w:r w:rsidR="00DA415A" w:rsidRPr="000A7275">
        <w:rPr>
          <w:lang w:val="en-US"/>
        </w:rPr>
        <w:t>,</w:t>
      </w:r>
      <w:r w:rsidRPr="000A7275">
        <w:rPr>
          <w:lang w:val="en-US"/>
        </w:rPr>
        <w:t xml:space="preserve"> the estimation we have got from data that Python provides is the following linear model: </w:t>
      </w:r>
    </w:p>
    <w:p w14:paraId="3630710A" w14:textId="77777777" w:rsidR="00DA415A" w:rsidRPr="000A7275" w:rsidRDefault="00DA415A" w:rsidP="00810B06">
      <w:pPr>
        <w:spacing w:line="360" w:lineRule="auto"/>
        <w:rPr>
          <w:i/>
          <w:iCs/>
          <w:lang w:val="en-US"/>
        </w:rPr>
      </w:pPr>
    </w:p>
    <w:p w14:paraId="1EBE02AD" w14:textId="4BDCA24B" w:rsidR="00CD681D" w:rsidRPr="000A7275" w:rsidRDefault="00CD681D" w:rsidP="00DA415A">
      <w:pPr>
        <w:spacing w:line="360" w:lineRule="auto"/>
        <w:jc w:val="center"/>
        <w:rPr>
          <w:sz w:val="22"/>
          <w:szCs w:val="22"/>
          <w:lang w:val="en-US"/>
        </w:rPr>
      </w:pPr>
      <w:r w:rsidRPr="000A7275">
        <w:rPr>
          <w:i/>
          <w:iCs/>
          <w:sz w:val="22"/>
          <w:szCs w:val="22"/>
          <w:lang w:val="en-US"/>
        </w:rPr>
        <w:t>VoteGov</w:t>
      </w:r>
      <w:r w:rsidRPr="000A7275">
        <w:rPr>
          <w:i/>
          <w:iCs/>
          <w:sz w:val="22"/>
          <w:szCs w:val="22"/>
          <w:lang w:val="en-US"/>
        </w:rPr>
        <w:t xml:space="preserve">: = </w:t>
      </w: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0</m:t>
            </m:r>
          </m:sub>
        </m:sSub>
        <m:r>
          <w:rPr>
            <w:rFonts w:ascii="Cambria Math" w:eastAsiaTheme="minorEastAsia" w:hAnsi="Cambria Math"/>
            <w:sz w:val="22"/>
            <w:szCs w:val="22"/>
            <w:lang w:val="en-US"/>
          </w:rPr>
          <m:t xml:space="preserve">+ </m:t>
        </m:r>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1</m:t>
            </m:r>
          </m:sub>
        </m:sSub>
        <m:r>
          <w:rPr>
            <w:rFonts w:ascii="Cambria Math" w:hAnsi="Cambria Math"/>
            <w:sz w:val="22"/>
            <w:szCs w:val="22"/>
            <w:lang w:val="en-US"/>
          </w:rPr>
          <m:t xml:space="preserve">xGDP per Capita / CPI </m:t>
        </m:r>
      </m:oMath>
      <w:r w:rsidRPr="000A7275">
        <w:rPr>
          <w:rFonts w:eastAsiaTheme="minorEastAsia"/>
          <w:i/>
          <w:iCs/>
          <w:sz w:val="22"/>
          <w:szCs w:val="22"/>
          <w:lang w:val="en-US"/>
        </w:rPr>
        <w:t>+</w:t>
      </w: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2</m:t>
            </m:r>
          </m:sub>
        </m:sSub>
        <m:r>
          <w:rPr>
            <w:rFonts w:ascii="Cambria Math" w:hAnsi="Cambria Math"/>
            <w:sz w:val="22"/>
            <w:szCs w:val="22"/>
            <w:lang w:val="en-US"/>
          </w:rPr>
          <m:t>x</m:t>
        </m:r>
      </m:oMath>
      <w:r w:rsidRPr="000A7275">
        <w:rPr>
          <w:i/>
          <w:iCs/>
          <w:sz w:val="22"/>
          <w:szCs w:val="22"/>
          <w:lang w:val="en-US"/>
        </w:rPr>
        <w:t xml:space="preserve"> </w:t>
      </w:r>
      <w:r w:rsidRPr="000A7275">
        <w:rPr>
          <w:i/>
          <w:iCs/>
          <w:sz w:val="22"/>
          <w:szCs w:val="22"/>
          <w:lang w:val="en-US"/>
        </w:rPr>
        <w:t>Unemp</w:t>
      </w:r>
      <w:r w:rsidRPr="000A7275">
        <w:rPr>
          <w:i/>
          <w:iCs/>
          <w:sz w:val="22"/>
          <w:szCs w:val="22"/>
          <w:lang w:val="en-US"/>
        </w:rPr>
        <w:t>+</w:t>
      </w: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3</m:t>
            </m:r>
          </m:sub>
        </m:sSub>
        <m:r>
          <w:rPr>
            <w:rFonts w:ascii="Cambria Math" w:hAnsi="Cambria Math"/>
            <w:sz w:val="22"/>
            <w:szCs w:val="22"/>
            <w:lang w:val="en-US"/>
          </w:rPr>
          <m:t>x</m:t>
        </m:r>
        <m:r>
          <w:rPr>
            <w:rFonts w:ascii="Cambria Math" w:hAnsi="Cambria Math"/>
            <w:sz w:val="22"/>
            <w:szCs w:val="22"/>
            <w:lang w:val="en-US"/>
          </w:rPr>
          <m:t>PPP</m:t>
        </m:r>
        <m:r>
          <w:rPr>
            <w:rFonts w:ascii="Cambria Math" w:hAnsi="Cambria Math"/>
            <w:sz w:val="22"/>
            <w:szCs w:val="22"/>
            <w:lang w:val="en-US"/>
          </w:rPr>
          <m:t>+</m:t>
        </m:r>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4</m:t>
            </m:r>
          </m:sub>
        </m:sSub>
        <m:r>
          <w:rPr>
            <w:rFonts w:ascii="Cambria Math" w:hAnsi="Cambria Math"/>
            <w:sz w:val="22"/>
            <w:szCs w:val="22"/>
            <w:lang w:val="en-US"/>
          </w:rPr>
          <m:t>x</m:t>
        </m:r>
        <m:r>
          <w:rPr>
            <w:rFonts w:ascii="Cambria Math" w:hAnsi="Cambria Math"/>
            <w:sz w:val="22"/>
            <w:szCs w:val="22"/>
            <w:lang w:val="en-US"/>
          </w:rPr>
          <m:t>MedianAge</m:t>
        </m:r>
        <m:r>
          <w:rPr>
            <w:rFonts w:ascii="Cambria Math" w:hAnsi="Cambria Math"/>
            <w:sz w:val="22"/>
            <w:szCs w:val="22"/>
            <w:lang w:val="en-US"/>
          </w:rPr>
          <m:t>+</m:t>
        </m:r>
        <m:sSub>
          <m:sSubPr>
            <m:ctrlPr>
              <w:rPr>
                <w:rFonts w:ascii="Cambria Math" w:hAnsi="Cambria Math"/>
                <w:iCs/>
                <w:sz w:val="22"/>
                <w:szCs w:val="22"/>
                <w:lang w:val="en-US"/>
              </w:rPr>
            </m:ctrlPr>
          </m:sSubPr>
          <m:e>
            <m:r>
              <w:rPr>
                <w:rFonts w:ascii="Cambria Math" w:hAnsi="Cambria Math"/>
                <w:i/>
                <w:iCs/>
                <w:sz w:val="22"/>
                <w:szCs w:val="22"/>
                <w:lang w:val="en-US"/>
              </w:rPr>
              <w:sym w:font="Symbol" w:char="F065"/>
            </m:r>
          </m:e>
          <m:sub>
            <m:r>
              <w:rPr>
                <w:rFonts w:ascii="Cambria Math" w:hAnsi="Cambria Math"/>
                <w:sz w:val="22"/>
                <w:szCs w:val="22"/>
                <w:lang w:val="en-US"/>
              </w:rPr>
              <m:t>i</m:t>
            </m:r>
          </m:sub>
        </m:sSub>
      </m:oMath>
    </w:p>
    <w:p w14:paraId="3FA257B1" w14:textId="1859AF18" w:rsidR="005533BD" w:rsidRPr="000A7275" w:rsidRDefault="005533BD" w:rsidP="00810B06">
      <w:pPr>
        <w:spacing w:line="360" w:lineRule="auto"/>
        <w:rPr>
          <w:lang w:val="en-US"/>
        </w:rPr>
      </w:pPr>
    </w:p>
    <w:p w14:paraId="439EE856" w14:textId="2EABBD44" w:rsidR="00DA415A" w:rsidRPr="000A7275" w:rsidRDefault="00DA415A" w:rsidP="00810B06">
      <w:pPr>
        <w:spacing w:line="360" w:lineRule="auto"/>
        <w:rPr>
          <w:rFonts w:eastAsiaTheme="minorEastAsia"/>
          <w:iCs/>
          <w:sz w:val="22"/>
          <w:szCs w:val="22"/>
          <w:lang w:val="en-US"/>
        </w:rPr>
      </w:pP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0</m:t>
            </m:r>
          </m:sub>
        </m:sSub>
      </m:oMath>
      <w:r w:rsidRPr="000A7275">
        <w:rPr>
          <w:rFonts w:eastAsiaTheme="minorEastAsia"/>
          <w:iCs/>
          <w:sz w:val="22"/>
          <w:szCs w:val="22"/>
          <w:lang w:val="en-US"/>
        </w:rPr>
        <w:t xml:space="preserve"> = -0.15</w:t>
      </w:r>
      <w:r w:rsidR="0077653B" w:rsidRPr="000A7275">
        <w:rPr>
          <w:rFonts w:eastAsiaTheme="minorEastAsia"/>
          <w:iCs/>
          <w:sz w:val="22"/>
          <w:szCs w:val="22"/>
          <w:lang w:val="en-US"/>
        </w:rPr>
        <w:t xml:space="preserve"> (intercept)</w:t>
      </w:r>
    </w:p>
    <w:p w14:paraId="1242D917" w14:textId="13AF2175" w:rsidR="00DA415A" w:rsidRPr="000A7275" w:rsidRDefault="00DA415A" w:rsidP="00810B06">
      <w:pPr>
        <w:spacing w:line="360" w:lineRule="auto"/>
        <w:rPr>
          <w:rFonts w:eastAsiaTheme="minorEastAsia"/>
          <w:iCs/>
          <w:sz w:val="22"/>
          <w:szCs w:val="22"/>
          <w:lang w:val="en-US"/>
        </w:rPr>
      </w:pP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1</m:t>
            </m:r>
          </m:sub>
        </m:sSub>
      </m:oMath>
      <w:r w:rsidRPr="000A7275">
        <w:rPr>
          <w:rFonts w:eastAsiaTheme="minorEastAsia"/>
          <w:iCs/>
          <w:sz w:val="22"/>
          <w:szCs w:val="22"/>
          <w:lang w:val="en-US"/>
        </w:rPr>
        <w:t xml:space="preserve"> = 2.97</w:t>
      </w:r>
    </w:p>
    <w:p w14:paraId="40A33323" w14:textId="46C4C89B" w:rsidR="0015062F" w:rsidRPr="000A7275" w:rsidRDefault="0015062F" w:rsidP="00810B06">
      <w:pPr>
        <w:spacing w:line="360" w:lineRule="auto"/>
        <w:rPr>
          <w:rFonts w:eastAsiaTheme="minorEastAsia"/>
          <w:iCs/>
          <w:sz w:val="22"/>
          <w:szCs w:val="22"/>
          <w:lang w:val="en-US"/>
        </w:rPr>
      </w:pP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2</m:t>
            </m:r>
          </m:sub>
        </m:sSub>
      </m:oMath>
      <w:r w:rsidRPr="000A7275">
        <w:rPr>
          <w:rFonts w:eastAsiaTheme="minorEastAsia"/>
          <w:iCs/>
          <w:sz w:val="22"/>
          <w:szCs w:val="22"/>
          <w:lang w:val="en-US"/>
        </w:rPr>
        <w:t xml:space="preserve"> = -0.0014</w:t>
      </w:r>
    </w:p>
    <w:p w14:paraId="5B7DEA30" w14:textId="0A5AE32F" w:rsidR="0015062F" w:rsidRPr="000A7275" w:rsidRDefault="00DA415A" w:rsidP="00810B06">
      <w:pPr>
        <w:spacing w:line="360" w:lineRule="auto"/>
        <w:rPr>
          <w:rFonts w:eastAsiaTheme="minorEastAsia"/>
          <w:iCs/>
          <w:sz w:val="22"/>
          <w:szCs w:val="22"/>
          <w:lang w:val="en-US"/>
        </w:rPr>
      </w:pP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3</m:t>
            </m:r>
          </m:sub>
        </m:sSub>
        <m:r>
          <w:rPr>
            <w:rFonts w:ascii="Cambria Math" w:hAnsi="Cambria Math"/>
            <w:sz w:val="22"/>
            <w:szCs w:val="22"/>
            <w:lang w:val="en-US"/>
          </w:rPr>
          <m:t xml:space="preserve">= </m:t>
        </m:r>
      </m:oMath>
      <w:r w:rsidR="0015062F" w:rsidRPr="000A7275">
        <w:rPr>
          <w:rFonts w:eastAsiaTheme="minorEastAsia"/>
          <w:iCs/>
          <w:sz w:val="22"/>
          <w:szCs w:val="22"/>
          <w:lang w:val="en-US"/>
        </w:rPr>
        <w:t>0.015</w:t>
      </w:r>
    </w:p>
    <w:p w14:paraId="0588A16C" w14:textId="4E0D1CD0" w:rsidR="00C94D49" w:rsidRPr="000A7275" w:rsidRDefault="00DA415A" w:rsidP="00810B06">
      <w:pPr>
        <w:spacing w:line="360" w:lineRule="auto"/>
        <w:rPr>
          <w:rFonts w:eastAsiaTheme="minorEastAsia"/>
          <w:iCs/>
          <w:sz w:val="22"/>
          <w:szCs w:val="22"/>
          <w:lang w:val="en-US"/>
        </w:rPr>
      </w:pP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4</m:t>
            </m:r>
          </m:sub>
        </m:sSub>
      </m:oMath>
      <w:r w:rsidRPr="000A7275">
        <w:rPr>
          <w:rFonts w:eastAsiaTheme="minorEastAsia"/>
          <w:iCs/>
          <w:sz w:val="22"/>
          <w:szCs w:val="22"/>
          <w:lang w:val="en-US"/>
        </w:rPr>
        <w:t xml:space="preserve"> = </w:t>
      </w:r>
      <w:r w:rsidR="0015062F" w:rsidRPr="000A7275">
        <w:rPr>
          <w:rFonts w:eastAsiaTheme="minorEastAsia"/>
          <w:iCs/>
          <w:sz w:val="22"/>
          <w:szCs w:val="22"/>
          <w:lang w:val="en-US"/>
        </w:rPr>
        <w:t>0.001</w:t>
      </w:r>
    </w:p>
    <w:p w14:paraId="3D4420F2" w14:textId="005C334E" w:rsidR="0015062F" w:rsidRPr="000A7275" w:rsidRDefault="00DA415A" w:rsidP="0015062F">
      <w:pPr>
        <w:rPr>
          <w:lang w:val="en-US"/>
        </w:rPr>
      </w:pPr>
      <m:oMath>
        <m:sSub>
          <m:sSubPr>
            <m:ctrlPr>
              <w:rPr>
                <w:rFonts w:ascii="Cambria Math" w:hAnsi="Cambria Math"/>
                <w:iCs/>
                <w:sz w:val="22"/>
                <w:szCs w:val="22"/>
                <w:lang w:val="en-US"/>
              </w:rPr>
            </m:ctrlPr>
          </m:sSubPr>
          <m:e>
            <m:r>
              <w:rPr>
                <w:rFonts w:ascii="Cambria Math" w:hAnsi="Cambria Math"/>
                <w:i/>
                <w:iCs/>
                <w:sz w:val="22"/>
                <w:szCs w:val="22"/>
                <w:lang w:val="en-US"/>
              </w:rPr>
              <w:sym w:font="Symbol" w:char="F065"/>
            </m:r>
          </m:e>
          <m:sub>
            <m:r>
              <w:rPr>
                <w:rFonts w:ascii="Cambria Math" w:hAnsi="Cambria Math"/>
                <w:sz w:val="22"/>
                <w:szCs w:val="22"/>
                <w:lang w:val="en-US"/>
              </w:rPr>
              <m:t>i</m:t>
            </m:r>
          </m:sub>
        </m:sSub>
      </m:oMath>
      <w:r w:rsidR="0015062F" w:rsidRPr="000A7275">
        <w:rPr>
          <w:rFonts w:eastAsiaTheme="minorEastAsia"/>
          <w:iCs/>
          <w:sz w:val="22"/>
          <w:szCs w:val="22"/>
          <w:lang w:val="en-US"/>
        </w:rPr>
        <w:t xml:space="preserve">: </w:t>
      </w:r>
      <w:r w:rsidR="0015062F" w:rsidRPr="000A7275">
        <w:rPr>
          <w:lang w:val="en-US"/>
        </w:rPr>
        <w:t>R</w:t>
      </w:r>
      <w:r w:rsidR="0015062F" w:rsidRPr="000A7275">
        <w:rPr>
          <w:lang w:val="en-US"/>
        </w:rPr>
        <w:t xml:space="preserve">obust error that captures unobserved </w:t>
      </w:r>
      <w:r w:rsidR="0015062F" w:rsidRPr="000A7275">
        <w:rPr>
          <w:lang w:val="en-US"/>
        </w:rPr>
        <w:t xml:space="preserve">social </w:t>
      </w:r>
      <w:r w:rsidR="0015062F" w:rsidRPr="000A7275">
        <w:rPr>
          <w:lang w:val="en-US"/>
        </w:rPr>
        <w:t xml:space="preserve">determinants of voting </w:t>
      </w:r>
    </w:p>
    <w:p w14:paraId="23BA2A80" w14:textId="556EDE85" w:rsidR="00DA415A" w:rsidRPr="000A7275" w:rsidRDefault="00DA415A" w:rsidP="00810B06">
      <w:pPr>
        <w:spacing w:line="360" w:lineRule="auto"/>
        <w:rPr>
          <w:rFonts w:eastAsiaTheme="minorEastAsia"/>
          <w:iCs/>
          <w:sz w:val="22"/>
          <w:szCs w:val="22"/>
          <w:lang w:val="en-US"/>
        </w:rPr>
      </w:pPr>
    </w:p>
    <w:p w14:paraId="52717495" w14:textId="5091343B" w:rsidR="00DA415A" w:rsidRPr="000A7275" w:rsidRDefault="0077653B" w:rsidP="00810B06">
      <w:pPr>
        <w:spacing w:line="360" w:lineRule="auto"/>
        <w:rPr>
          <w:rFonts w:asciiTheme="minorHAnsi" w:eastAsiaTheme="minorEastAsia" w:hAnsiTheme="minorHAnsi" w:cstheme="minorHAnsi"/>
          <w:b/>
          <w:bCs/>
          <w:iCs/>
          <w:color w:val="2F5496" w:themeColor="accent1" w:themeShade="BF"/>
          <w:sz w:val="28"/>
          <w:szCs w:val="28"/>
          <w:lang w:val="en-US"/>
        </w:rPr>
      </w:pPr>
      <w:r w:rsidRPr="000A7275">
        <w:rPr>
          <w:rFonts w:asciiTheme="minorHAnsi" w:eastAsiaTheme="minorEastAsia" w:hAnsiTheme="minorHAnsi" w:cstheme="minorHAnsi"/>
          <w:b/>
          <w:bCs/>
          <w:iCs/>
          <w:color w:val="2F5496" w:themeColor="accent1" w:themeShade="BF"/>
          <w:sz w:val="28"/>
          <w:szCs w:val="28"/>
          <w:lang w:val="en-US"/>
        </w:rPr>
        <w:t>Findings and Evaluation of the Hypothesis</w:t>
      </w:r>
    </w:p>
    <w:p w14:paraId="3BA6EE83" w14:textId="5BF6C290" w:rsidR="00DA415A" w:rsidRPr="000A7275" w:rsidRDefault="0077653B" w:rsidP="00810B06">
      <w:pPr>
        <w:spacing w:line="360" w:lineRule="auto"/>
        <w:rPr>
          <w:rFonts w:eastAsiaTheme="minorEastAsia"/>
          <w:iCs/>
          <w:sz w:val="22"/>
          <w:szCs w:val="22"/>
          <w:lang w:val="en-US"/>
        </w:rPr>
      </w:pPr>
      <w:r w:rsidRPr="000A7275">
        <w:rPr>
          <w:rFonts w:eastAsiaTheme="minorEastAsia"/>
          <w:iCs/>
          <w:sz w:val="22"/>
          <w:szCs w:val="22"/>
          <w:lang w:val="en-US"/>
        </w:rPr>
        <w:t xml:space="preserve">The only significant </w:t>
      </w:r>
      <w:r w:rsidR="006C265C" w:rsidRPr="000A7275">
        <w:rPr>
          <w:rFonts w:eastAsiaTheme="minorEastAsia"/>
          <w:iCs/>
          <w:sz w:val="22"/>
          <w:szCs w:val="22"/>
          <w:lang w:val="en-US"/>
        </w:rPr>
        <w:t xml:space="preserve">explanatory variable turns out to be </w:t>
      </w:r>
      <w:r w:rsidR="006C265C" w:rsidRPr="000A7275">
        <w:rPr>
          <w:rFonts w:eastAsiaTheme="minorEastAsia"/>
          <w:i/>
          <w:sz w:val="22"/>
          <w:szCs w:val="22"/>
          <w:lang w:val="en-US"/>
        </w:rPr>
        <w:t>Unemp</w:t>
      </w:r>
      <w:r w:rsidR="006C265C" w:rsidRPr="000A7275">
        <w:rPr>
          <w:rFonts w:eastAsiaTheme="minorEastAsia"/>
          <w:iCs/>
          <w:sz w:val="22"/>
          <w:szCs w:val="22"/>
          <w:lang w:val="en-US"/>
        </w:rPr>
        <w:t xml:space="preserve"> with </w:t>
      </w: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1</m:t>
            </m:r>
          </m:sub>
        </m:sSub>
      </m:oMath>
      <w:r w:rsidR="006C265C" w:rsidRPr="000A7275">
        <w:rPr>
          <w:rFonts w:eastAsiaTheme="minorEastAsia"/>
          <w:iCs/>
          <w:sz w:val="22"/>
          <w:szCs w:val="22"/>
          <w:lang w:val="en-US"/>
        </w:rPr>
        <w:t xml:space="preserve"> = 2.97</w:t>
      </w:r>
      <w:r w:rsidR="006C265C" w:rsidRPr="000A7275">
        <w:rPr>
          <w:rFonts w:eastAsiaTheme="minorEastAsia"/>
          <w:iCs/>
          <w:sz w:val="22"/>
          <w:szCs w:val="22"/>
          <w:lang w:val="en-US"/>
        </w:rPr>
        <w:t xml:space="preserve">, however its causal effect is in positive relation with government votes. </w:t>
      </w:r>
    </w:p>
    <w:p w14:paraId="42A1F847" w14:textId="5ABEA045" w:rsidR="006C265C" w:rsidRPr="000A7275" w:rsidRDefault="006C265C" w:rsidP="00810B06">
      <w:pPr>
        <w:spacing w:line="360" w:lineRule="auto"/>
        <w:rPr>
          <w:rFonts w:eastAsiaTheme="minorEastAsia"/>
          <w:iCs/>
          <w:sz w:val="22"/>
          <w:szCs w:val="22"/>
          <w:lang w:val="en-US"/>
        </w:rPr>
      </w:pPr>
    </w:p>
    <w:p w14:paraId="5E176728" w14:textId="36B45BAA" w:rsidR="006C265C" w:rsidRPr="000A7275" w:rsidRDefault="006C265C" w:rsidP="00810B06">
      <w:pPr>
        <w:spacing w:line="360" w:lineRule="auto"/>
        <w:rPr>
          <w:rFonts w:eastAsiaTheme="minorEastAsia"/>
          <w:iCs/>
          <w:sz w:val="22"/>
          <w:szCs w:val="22"/>
          <w:lang w:val="en-US"/>
        </w:rPr>
      </w:pPr>
      <w:r w:rsidRPr="000A7275">
        <w:rPr>
          <w:rFonts w:eastAsiaTheme="minorEastAsia"/>
          <w:iCs/>
          <w:sz w:val="22"/>
          <w:szCs w:val="22"/>
          <w:lang w:val="en-US"/>
        </w:rPr>
        <w:t xml:space="preserve">The only explanatory variable that is in positive relation with the dependent variable is </w:t>
      </w:r>
      <w:r w:rsidRPr="000A7275">
        <w:rPr>
          <w:rFonts w:eastAsiaTheme="minorEastAsia"/>
          <w:i/>
          <w:sz w:val="22"/>
          <w:szCs w:val="22"/>
          <w:lang w:val="en-US"/>
        </w:rPr>
        <w:t xml:space="preserve">GDP per Capita /CPI </w:t>
      </w:r>
      <w:r w:rsidRPr="000A7275">
        <w:rPr>
          <w:rFonts w:eastAsiaTheme="minorEastAsia"/>
          <w:iCs/>
          <w:sz w:val="22"/>
          <w:szCs w:val="22"/>
          <w:lang w:val="en-US"/>
        </w:rPr>
        <w:t xml:space="preserve">which is consistent with our hypothesis. However, it has </w:t>
      </w:r>
      <m:oMath>
        <m:sSub>
          <m:sSubPr>
            <m:ctrlPr>
              <w:rPr>
                <w:rFonts w:ascii="Cambria Math" w:hAnsi="Cambria Math"/>
                <w:iCs/>
                <w:sz w:val="22"/>
                <w:szCs w:val="22"/>
                <w:lang w:val="en-US"/>
              </w:rPr>
            </m:ctrlPr>
          </m:sSubPr>
          <m:e>
            <m:r>
              <w:rPr>
                <w:rFonts w:ascii="Cambria Math" w:hAnsi="Cambria Math"/>
                <w:sz w:val="22"/>
                <w:szCs w:val="22"/>
                <w:lang w:val="en-US"/>
              </w:rPr>
              <m:t>ß</m:t>
            </m:r>
          </m:e>
          <m:sub>
            <m:r>
              <w:rPr>
                <w:rFonts w:ascii="Cambria Math" w:hAnsi="Cambria Math"/>
                <w:sz w:val="22"/>
                <w:szCs w:val="22"/>
                <w:lang w:val="en-US"/>
              </w:rPr>
              <m:t>2</m:t>
            </m:r>
          </m:sub>
        </m:sSub>
      </m:oMath>
      <w:r w:rsidRPr="000A7275">
        <w:rPr>
          <w:rFonts w:eastAsiaTheme="minorEastAsia"/>
          <w:iCs/>
          <w:sz w:val="22"/>
          <w:szCs w:val="22"/>
          <w:lang w:val="en-US"/>
        </w:rPr>
        <w:t xml:space="preserve"> = -0.0014</w:t>
      </w:r>
      <w:r w:rsidRPr="000A7275">
        <w:rPr>
          <w:rFonts w:eastAsiaTheme="minorEastAsia"/>
          <w:iCs/>
          <w:sz w:val="22"/>
          <w:szCs w:val="22"/>
          <w:lang w:val="en-US"/>
        </w:rPr>
        <w:t xml:space="preserve"> which is insignificant impact on government votes.</w:t>
      </w:r>
    </w:p>
    <w:p w14:paraId="402D4A06" w14:textId="247D8F24" w:rsidR="006C265C" w:rsidRPr="000A7275" w:rsidRDefault="006C265C" w:rsidP="00810B06">
      <w:pPr>
        <w:spacing w:line="360" w:lineRule="auto"/>
        <w:rPr>
          <w:rFonts w:eastAsiaTheme="minorEastAsia"/>
          <w:iCs/>
          <w:sz w:val="22"/>
          <w:szCs w:val="22"/>
          <w:lang w:val="en-US"/>
        </w:rPr>
      </w:pPr>
    </w:p>
    <w:p w14:paraId="7FE90C13" w14:textId="5208B988" w:rsidR="006C265C" w:rsidRPr="000A7275" w:rsidRDefault="006C265C" w:rsidP="00810B06">
      <w:pPr>
        <w:spacing w:line="360" w:lineRule="auto"/>
        <w:rPr>
          <w:rFonts w:eastAsiaTheme="minorEastAsia"/>
          <w:iCs/>
          <w:sz w:val="22"/>
          <w:szCs w:val="22"/>
          <w:lang w:val="en-US"/>
        </w:rPr>
      </w:pPr>
      <w:r w:rsidRPr="000A7275">
        <w:rPr>
          <w:rFonts w:eastAsiaTheme="minorEastAsia"/>
          <w:iCs/>
          <w:sz w:val="22"/>
          <w:szCs w:val="22"/>
          <w:lang w:val="en-US"/>
        </w:rPr>
        <w:t xml:space="preserve">The control variable </w:t>
      </w:r>
      <w:r w:rsidRPr="000A7275">
        <w:rPr>
          <w:rFonts w:eastAsiaTheme="minorEastAsia"/>
          <w:i/>
          <w:sz w:val="22"/>
          <w:szCs w:val="22"/>
          <w:lang w:val="en-US"/>
        </w:rPr>
        <w:t xml:space="preserve">PPP </w:t>
      </w:r>
      <w:r w:rsidRPr="000A7275">
        <w:rPr>
          <w:rFonts w:eastAsiaTheme="minorEastAsia"/>
          <w:iCs/>
          <w:sz w:val="22"/>
          <w:szCs w:val="22"/>
          <w:lang w:val="en-US"/>
        </w:rPr>
        <w:t>is also in a positive</w:t>
      </w:r>
      <w:r w:rsidRPr="000A7275">
        <w:rPr>
          <w:rFonts w:eastAsiaTheme="minorEastAsia"/>
          <w:i/>
          <w:sz w:val="22"/>
          <w:szCs w:val="22"/>
          <w:lang w:val="en-US"/>
        </w:rPr>
        <w:t xml:space="preserve"> </w:t>
      </w:r>
      <w:r w:rsidRPr="000A7275">
        <w:rPr>
          <w:rFonts w:eastAsiaTheme="minorEastAsia"/>
          <w:iCs/>
          <w:sz w:val="22"/>
          <w:szCs w:val="22"/>
          <w:lang w:val="en-US"/>
        </w:rPr>
        <w:t xml:space="preserve">relation with the dependent variable, </w:t>
      </w:r>
      <w:r w:rsidR="00BB2104" w:rsidRPr="000A7275">
        <w:rPr>
          <w:rFonts w:eastAsiaTheme="minorEastAsia"/>
          <w:iCs/>
          <w:sz w:val="22"/>
          <w:szCs w:val="22"/>
          <w:lang w:val="en-US"/>
        </w:rPr>
        <w:t>which also disproves our hypothesis. Its significance is very slight yet still noticeable.</w:t>
      </w:r>
    </w:p>
    <w:p w14:paraId="18355743" w14:textId="51616EFE" w:rsidR="00BB2104" w:rsidRPr="000A7275" w:rsidRDefault="00BB2104" w:rsidP="00810B06">
      <w:pPr>
        <w:spacing w:line="360" w:lineRule="auto"/>
        <w:rPr>
          <w:rFonts w:eastAsiaTheme="minorEastAsia"/>
          <w:iCs/>
          <w:sz w:val="22"/>
          <w:szCs w:val="22"/>
          <w:lang w:val="en-US"/>
        </w:rPr>
      </w:pPr>
    </w:p>
    <w:p w14:paraId="21EBF552" w14:textId="7E039081" w:rsidR="00BB2104" w:rsidRPr="000A7275" w:rsidRDefault="00BB2104" w:rsidP="00810B06">
      <w:pPr>
        <w:spacing w:line="360" w:lineRule="auto"/>
        <w:rPr>
          <w:rFonts w:eastAsiaTheme="minorEastAsia"/>
          <w:iCs/>
          <w:sz w:val="22"/>
          <w:szCs w:val="22"/>
          <w:lang w:val="en-US"/>
        </w:rPr>
      </w:pPr>
      <w:r w:rsidRPr="000A7275">
        <w:rPr>
          <w:rFonts w:eastAsiaTheme="minorEastAsia"/>
          <w:iCs/>
          <w:sz w:val="22"/>
          <w:szCs w:val="22"/>
          <w:lang w:val="en-US"/>
        </w:rPr>
        <w:t xml:space="preserve">The other control variable </w:t>
      </w:r>
      <w:r w:rsidRPr="000A7275">
        <w:rPr>
          <w:rFonts w:eastAsiaTheme="minorEastAsia"/>
          <w:i/>
          <w:sz w:val="22"/>
          <w:szCs w:val="22"/>
          <w:lang w:val="en-US"/>
        </w:rPr>
        <w:t xml:space="preserve">MedianAge </w:t>
      </w:r>
      <w:r w:rsidRPr="000A7275">
        <w:rPr>
          <w:rFonts w:eastAsiaTheme="minorEastAsia"/>
          <w:iCs/>
          <w:sz w:val="22"/>
          <w:szCs w:val="22"/>
          <w:lang w:val="en-US"/>
        </w:rPr>
        <w:t>also has a very insignificant impact and is in a positive relation with the votes. Therefore, the control variable does not really have a causal effect on the votes.</w:t>
      </w:r>
    </w:p>
    <w:p w14:paraId="6EFE2E9A" w14:textId="04EB5841" w:rsidR="00DA415A" w:rsidRPr="000A7275" w:rsidRDefault="00DA415A" w:rsidP="00810B06">
      <w:pPr>
        <w:spacing w:line="360" w:lineRule="auto"/>
        <w:rPr>
          <w:lang w:val="en-US"/>
        </w:rPr>
      </w:pPr>
    </w:p>
    <w:p w14:paraId="53A56F4F" w14:textId="74C1CD4C" w:rsidR="00BB2104" w:rsidRPr="000A7275" w:rsidRDefault="00BB2104" w:rsidP="00810B06">
      <w:pPr>
        <w:spacing w:line="360" w:lineRule="auto"/>
        <w:rPr>
          <w:lang w:val="en-US"/>
        </w:rPr>
      </w:pPr>
      <w:r w:rsidRPr="000A7275">
        <w:rPr>
          <w:lang w:val="en-US"/>
        </w:rPr>
        <w:t>Consequently, we can say the hypothesis, “</w:t>
      </w:r>
      <w:r w:rsidR="00E571F1" w:rsidRPr="000A7275">
        <w:rPr>
          <w:lang w:val="en-US"/>
        </w:rPr>
        <w:t>T</w:t>
      </w:r>
      <w:r w:rsidRPr="000A7275">
        <w:rPr>
          <w:lang w:val="en-US"/>
        </w:rPr>
        <w:t xml:space="preserve">he decline in the government front’s vote percentage is due to </w:t>
      </w:r>
      <w:r w:rsidR="00E571F1" w:rsidRPr="000A7275">
        <w:rPr>
          <w:lang w:val="en-US"/>
        </w:rPr>
        <w:t xml:space="preserve">the decline in the public prosperity” </w:t>
      </w:r>
      <w:r w:rsidRPr="000A7275">
        <w:rPr>
          <w:lang w:val="en-US"/>
        </w:rPr>
        <w:t>is neither consistent nor valid. The reason for the failure</w:t>
      </w:r>
      <w:r w:rsidR="00E571F1" w:rsidRPr="000A7275">
        <w:rPr>
          <w:lang w:val="en-US"/>
        </w:rPr>
        <w:t xml:space="preserve"> is very likely to be</w:t>
      </w:r>
      <w:r w:rsidRPr="000A7275">
        <w:rPr>
          <w:lang w:val="en-US"/>
        </w:rPr>
        <w:t xml:space="preserve"> other social factors that we were able to or not predict</w:t>
      </w:r>
      <w:r w:rsidR="00E571F1" w:rsidRPr="000A7275">
        <w:rPr>
          <w:lang w:val="en-US"/>
        </w:rPr>
        <w:t xml:space="preserve"> rather than the economic factors.</w:t>
      </w:r>
    </w:p>
    <w:p w14:paraId="6AB01B18" w14:textId="010C4635" w:rsidR="0077653B" w:rsidRPr="000A7275" w:rsidRDefault="0077653B" w:rsidP="00810B06">
      <w:pPr>
        <w:spacing w:line="360" w:lineRule="auto"/>
        <w:rPr>
          <w:lang w:val="en-US"/>
        </w:rPr>
      </w:pPr>
    </w:p>
    <w:p w14:paraId="1913D673" w14:textId="77777777" w:rsidR="00E571F1" w:rsidRPr="000A7275" w:rsidRDefault="00E571F1" w:rsidP="00810B06">
      <w:pPr>
        <w:spacing w:line="360" w:lineRule="auto"/>
        <w:rPr>
          <w:b/>
          <w:bCs/>
          <w:lang w:val="en-US"/>
        </w:rPr>
      </w:pPr>
    </w:p>
    <w:p w14:paraId="4EEE149A" w14:textId="51D95161" w:rsidR="0077653B" w:rsidRPr="000A7275" w:rsidRDefault="00E571F1" w:rsidP="00810B06">
      <w:pPr>
        <w:spacing w:line="360" w:lineRule="auto"/>
        <w:rPr>
          <w:b/>
          <w:bCs/>
          <w:lang w:val="en-US"/>
        </w:rPr>
      </w:pPr>
      <w:r w:rsidRPr="000A7275">
        <w:rPr>
          <w:b/>
          <w:bCs/>
          <w:lang w:val="en-US"/>
        </w:rPr>
        <w:t>References for Definitions</w:t>
      </w:r>
    </w:p>
    <w:p w14:paraId="65A55811" w14:textId="77777777" w:rsidR="008C73FC" w:rsidRPr="000A7275" w:rsidRDefault="00B344F8" w:rsidP="00D94EDB">
      <w:pPr>
        <w:spacing w:line="360" w:lineRule="auto"/>
        <w:rPr>
          <w:lang w:val="en-US"/>
        </w:rPr>
      </w:pPr>
      <w:hyperlink r:id="rId7" w:history="1">
        <w:r w:rsidR="008C73FC" w:rsidRPr="000A7275">
          <w:rPr>
            <w:color w:val="0000FF"/>
            <w:u w:val="single"/>
            <w:lang w:val="en-US"/>
          </w:rPr>
          <w:t>http://data.imf.org/?sk=4FFB52B2-3653-409A-B471-D47B46D904B5</w:t>
        </w:r>
      </w:hyperlink>
    </w:p>
    <w:p w14:paraId="133067FC" w14:textId="77777777" w:rsidR="00D94EDB" w:rsidRPr="000A7275" w:rsidRDefault="00B344F8" w:rsidP="00D94EDB">
      <w:pPr>
        <w:spacing w:line="360" w:lineRule="auto"/>
        <w:rPr>
          <w:lang w:val="en-US"/>
        </w:rPr>
      </w:pPr>
      <w:hyperlink r:id="rId8" w:history="1">
        <w:r w:rsidR="00D94EDB" w:rsidRPr="000A7275">
          <w:rPr>
            <w:color w:val="0000FF"/>
            <w:u w:val="single"/>
            <w:lang w:val="en-US"/>
          </w:rPr>
          <w:t>https://www.investopedia.com/terms/g/gdp.asp</w:t>
        </w:r>
      </w:hyperlink>
    </w:p>
    <w:p w14:paraId="4311DFED" w14:textId="77777777" w:rsidR="00D94EDB" w:rsidRPr="000A7275" w:rsidRDefault="00B344F8" w:rsidP="00D94EDB">
      <w:pPr>
        <w:spacing w:line="360" w:lineRule="auto"/>
        <w:rPr>
          <w:lang w:val="en-US"/>
        </w:rPr>
      </w:pPr>
      <w:hyperlink r:id="rId9" w:history="1">
        <w:r w:rsidR="00D94EDB" w:rsidRPr="000A7275">
          <w:rPr>
            <w:color w:val="0000FF"/>
            <w:u w:val="single"/>
            <w:lang w:val="en-US"/>
          </w:rPr>
          <w:t>https://www.focus-economics.com/economic-indicator/unemployment-rate</w:t>
        </w:r>
      </w:hyperlink>
    </w:p>
    <w:p w14:paraId="1FC8557A" w14:textId="77777777" w:rsidR="000A4313" w:rsidRPr="000A7275" w:rsidRDefault="00B344F8" w:rsidP="000A4313">
      <w:pPr>
        <w:rPr>
          <w:lang w:val="en-US"/>
        </w:rPr>
      </w:pPr>
      <w:hyperlink r:id="rId10" w:history="1">
        <w:r w:rsidR="000A4313" w:rsidRPr="000A7275">
          <w:rPr>
            <w:color w:val="0000FF"/>
            <w:u w:val="single"/>
            <w:lang w:val="en-US"/>
          </w:rPr>
          <w:t>https://www.economist.com/news/2019/01/10/the-big-mac-index</w:t>
        </w:r>
      </w:hyperlink>
    </w:p>
    <w:p w14:paraId="6383DCA5" w14:textId="77777777" w:rsidR="008C73FC" w:rsidRPr="000A7275" w:rsidRDefault="008C73FC" w:rsidP="00D94EDB">
      <w:pPr>
        <w:spacing w:line="360" w:lineRule="auto"/>
        <w:rPr>
          <w:lang w:val="en-US"/>
        </w:rPr>
      </w:pPr>
    </w:p>
    <w:sectPr w:rsidR="008C73FC" w:rsidRPr="000A7275" w:rsidSect="00D15C5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94983" w14:textId="77777777" w:rsidR="00B344F8" w:rsidRDefault="00B344F8" w:rsidP="00761960">
      <w:r>
        <w:separator/>
      </w:r>
    </w:p>
  </w:endnote>
  <w:endnote w:type="continuationSeparator" w:id="0">
    <w:p w14:paraId="788D2EAB" w14:textId="77777777" w:rsidR="00B344F8" w:rsidRDefault="00B344F8" w:rsidP="0076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6910D" w14:textId="77777777" w:rsidR="00B344F8" w:rsidRDefault="00B344F8" w:rsidP="00761960">
      <w:r>
        <w:separator/>
      </w:r>
    </w:p>
  </w:footnote>
  <w:footnote w:type="continuationSeparator" w:id="0">
    <w:p w14:paraId="24192504" w14:textId="77777777" w:rsidR="00B344F8" w:rsidRDefault="00B344F8" w:rsidP="007619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60"/>
    <w:rsid w:val="000A4313"/>
    <w:rsid w:val="000A7275"/>
    <w:rsid w:val="000B32A1"/>
    <w:rsid w:val="0015062F"/>
    <w:rsid w:val="001811DB"/>
    <w:rsid w:val="00294456"/>
    <w:rsid w:val="00323094"/>
    <w:rsid w:val="00471269"/>
    <w:rsid w:val="004A29A5"/>
    <w:rsid w:val="004E7DA8"/>
    <w:rsid w:val="005533BD"/>
    <w:rsid w:val="00590494"/>
    <w:rsid w:val="006375D4"/>
    <w:rsid w:val="006C265C"/>
    <w:rsid w:val="007116D3"/>
    <w:rsid w:val="00761960"/>
    <w:rsid w:val="0077653B"/>
    <w:rsid w:val="007F61E1"/>
    <w:rsid w:val="00810B06"/>
    <w:rsid w:val="008C73FC"/>
    <w:rsid w:val="00A11435"/>
    <w:rsid w:val="00B344F8"/>
    <w:rsid w:val="00B841BD"/>
    <w:rsid w:val="00BB2104"/>
    <w:rsid w:val="00C94D49"/>
    <w:rsid w:val="00CD681D"/>
    <w:rsid w:val="00D15C5A"/>
    <w:rsid w:val="00D74AC5"/>
    <w:rsid w:val="00D94EDB"/>
    <w:rsid w:val="00DA415A"/>
    <w:rsid w:val="00DF27A2"/>
    <w:rsid w:val="00E15DE4"/>
    <w:rsid w:val="00E571F1"/>
    <w:rsid w:val="00F046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13CFE34"/>
  <w15:chartTrackingRefBased/>
  <w15:docId w15:val="{EA178784-8123-4C47-A1A1-DEA8AFD5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F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960"/>
    <w:pPr>
      <w:tabs>
        <w:tab w:val="center" w:pos="4703"/>
        <w:tab w:val="right" w:pos="9406"/>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761960"/>
  </w:style>
  <w:style w:type="paragraph" w:styleId="Footer">
    <w:name w:val="footer"/>
    <w:basedOn w:val="Normal"/>
    <w:link w:val="FooterChar"/>
    <w:uiPriority w:val="99"/>
    <w:unhideWhenUsed/>
    <w:rsid w:val="00761960"/>
    <w:pPr>
      <w:tabs>
        <w:tab w:val="center" w:pos="4703"/>
        <w:tab w:val="right" w:pos="9406"/>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761960"/>
  </w:style>
  <w:style w:type="character" w:styleId="Hyperlink">
    <w:name w:val="Hyperlink"/>
    <w:basedOn w:val="DefaultParagraphFont"/>
    <w:uiPriority w:val="99"/>
    <w:semiHidden/>
    <w:unhideWhenUsed/>
    <w:rsid w:val="008C73FC"/>
    <w:rPr>
      <w:color w:val="0000FF"/>
      <w:u w:val="single"/>
    </w:rPr>
  </w:style>
  <w:style w:type="paragraph" w:styleId="BalloonText">
    <w:name w:val="Balloon Text"/>
    <w:basedOn w:val="Normal"/>
    <w:link w:val="BalloonTextChar"/>
    <w:uiPriority w:val="99"/>
    <w:semiHidden/>
    <w:unhideWhenUsed/>
    <w:rsid w:val="005533BD"/>
    <w:rPr>
      <w:rFonts w:eastAsiaTheme="minorHAnsi"/>
      <w:sz w:val="18"/>
      <w:szCs w:val="18"/>
      <w:lang w:val="en-US"/>
    </w:rPr>
  </w:style>
  <w:style w:type="character" w:customStyle="1" w:styleId="BalloonTextChar">
    <w:name w:val="Balloon Text Char"/>
    <w:basedOn w:val="DefaultParagraphFont"/>
    <w:link w:val="BalloonText"/>
    <w:uiPriority w:val="99"/>
    <w:semiHidden/>
    <w:rsid w:val="005533BD"/>
    <w:rPr>
      <w:rFonts w:ascii="Times New Roman" w:hAnsi="Times New Roman" w:cs="Times New Roman"/>
      <w:sz w:val="18"/>
      <w:szCs w:val="18"/>
      <w:lang w:val="en-US"/>
    </w:rPr>
  </w:style>
  <w:style w:type="character" w:styleId="PlaceholderText">
    <w:name w:val="Placeholder Text"/>
    <w:basedOn w:val="DefaultParagraphFont"/>
    <w:uiPriority w:val="99"/>
    <w:semiHidden/>
    <w:rsid w:val="00CD68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251">
      <w:bodyDiv w:val="1"/>
      <w:marLeft w:val="0"/>
      <w:marRight w:val="0"/>
      <w:marTop w:val="0"/>
      <w:marBottom w:val="0"/>
      <w:divBdr>
        <w:top w:val="none" w:sz="0" w:space="0" w:color="auto"/>
        <w:left w:val="none" w:sz="0" w:space="0" w:color="auto"/>
        <w:bottom w:val="none" w:sz="0" w:space="0" w:color="auto"/>
        <w:right w:val="none" w:sz="0" w:space="0" w:color="auto"/>
      </w:divBdr>
    </w:div>
    <w:div w:id="298196154">
      <w:bodyDiv w:val="1"/>
      <w:marLeft w:val="0"/>
      <w:marRight w:val="0"/>
      <w:marTop w:val="0"/>
      <w:marBottom w:val="0"/>
      <w:divBdr>
        <w:top w:val="none" w:sz="0" w:space="0" w:color="auto"/>
        <w:left w:val="none" w:sz="0" w:space="0" w:color="auto"/>
        <w:bottom w:val="none" w:sz="0" w:space="0" w:color="auto"/>
        <w:right w:val="none" w:sz="0" w:space="0" w:color="auto"/>
      </w:divBdr>
    </w:div>
    <w:div w:id="429467788">
      <w:bodyDiv w:val="1"/>
      <w:marLeft w:val="0"/>
      <w:marRight w:val="0"/>
      <w:marTop w:val="0"/>
      <w:marBottom w:val="0"/>
      <w:divBdr>
        <w:top w:val="none" w:sz="0" w:space="0" w:color="auto"/>
        <w:left w:val="none" w:sz="0" w:space="0" w:color="auto"/>
        <w:bottom w:val="none" w:sz="0" w:space="0" w:color="auto"/>
        <w:right w:val="none" w:sz="0" w:space="0" w:color="auto"/>
      </w:divBdr>
    </w:div>
    <w:div w:id="827399003">
      <w:bodyDiv w:val="1"/>
      <w:marLeft w:val="0"/>
      <w:marRight w:val="0"/>
      <w:marTop w:val="0"/>
      <w:marBottom w:val="0"/>
      <w:divBdr>
        <w:top w:val="none" w:sz="0" w:space="0" w:color="auto"/>
        <w:left w:val="none" w:sz="0" w:space="0" w:color="auto"/>
        <w:bottom w:val="none" w:sz="0" w:space="0" w:color="auto"/>
        <w:right w:val="none" w:sz="0" w:space="0" w:color="auto"/>
      </w:divBdr>
    </w:div>
    <w:div w:id="1007564667">
      <w:bodyDiv w:val="1"/>
      <w:marLeft w:val="0"/>
      <w:marRight w:val="0"/>
      <w:marTop w:val="0"/>
      <w:marBottom w:val="0"/>
      <w:divBdr>
        <w:top w:val="none" w:sz="0" w:space="0" w:color="auto"/>
        <w:left w:val="none" w:sz="0" w:space="0" w:color="auto"/>
        <w:bottom w:val="none" w:sz="0" w:space="0" w:color="auto"/>
        <w:right w:val="none" w:sz="0" w:space="0" w:color="auto"/>
      </w:divBdr>
    </w:div>
    <w:div w:id="1171723349">
      <w:bodyDiv w:val="1"/>
      <w:marLeft w:val="0"/>
      <w:marRight w:val="0"/>
      <w:marTop w:val="0"/>
      <w:marBottom w:val="0"/>
      <w:divBdr>
        <w:top w:val="none" w:sz="0" w:space="0" w:color="auto"/>
        <w:left w:val="none" w:sz="0" w:space="0" w:color="auto"/>
        <w:bottom w:val="none" w:sz="0" w:space="0" w:color="auto"/>
        <w:right w:val="none" w:sz="0" w:space="0" w:color="auto"/>
      </w:divBdr>
    </w:div>
    <w:div w:id="1174299555">
      <w:bodyDiv w:val="1"/>
      <w:marLeft w:val="0"/>
      <w:marRight w:val="0"/>
      <w:marTop w:val="0"/>
      <w:marBottom w:val="0"/>
      <w:divBdr>
        <w:top w:val="none" w:sz="0" w:space="0" w:color="auto"/>
        <w:left w:val="none" w:sz="0" w:space="0" w:color="auto"/>
        <w:bottom w:val="none" w:sz="0" w:space="0" w:color="auto"/>
        <w:right w:val="none" w:sz="0" w:space="0" w:color="auto"/>
      </w:divBdr>
    </w:div>
    <w:div w:id="1292637194">
      <w:bodyDiv w:val="1"/>
      <w:marLeft w:val="0"/>
      <w:marRight w:val="0"/>
      <w:marTop w:val="0"/>
      <w:marBottom w:val="0"/>
      <w:divBdr>
        <w:top w:val="none" w:sz="0" w:space="0" w:color="auto"/>
        <w:left w:val="none" w:sz="0" w:space="0" w:color="auto"/>
        <w:bottom w:val="none" w:sz="0" w:space="0" w:color="auto"/>
        <w:right w:val="none" w:sz="0" w:space="0" w:color="auto"/>
      </w:divBdr>
    </w:div>
    <w:div w:id="1449397138">
      <w:bodyDiv w:val="1"/>
      <w:marLeft w:val="0"/>
      <w:marRight w:val="0"/>
      <w:marTop w:val="0"/>
      <w:marBottom w:val="0"/>
      <w:divBdr>
        <w:top w:val="none" w:sz="0" w:space="0" w:color="auto"/>
        <w:left w:val="none" w:sz="0" w:space="0" w:color="auto"/>
        <w:bottom w:val="none" w:sz="0" w:space="0" w:color="auto"/>
        <w:right w:val="none" w:sz="0" w:space="0" w:color="auto"/>
      </w:divBdr>
    </w:div>
    <w:div w:id="1545481541">
      <w:bodyDiv w:val="1"/>
      <w:marLeft w:val="0"/>
      <w:marRight w:val="0"/>
      <w:marTop w:val="0"/>
      <w:marBottom w:val="0"/>
      <w:divBdr>
        <w:top w:val="none" w:sz="0" w:space="0" w:color="auto"/>
        <w:left w:val="none" w:sz="0" w:space="0" w:color="auto"/>
        <w:bottom w:val="none" w:sz="0" w:space="0" w:color="auto"/>
        <w:right w:val="none" w:sz="0" w:space="0" w:color="auto"/>
      </w:divBdr>
    </w:div>
    <w:div w:id="1626963666">
      <w:bodyDiv w:val="1"/>
      <w:marLeft w:val="0"/>
      <w:marRight w:val="0"/>
      <w:marTop w:val="0"/>
      <w:marBottom w:val="0"/>
      <w:divBdr>
        <w:top w:val="none" w:sz="0" w:space="0" w:color="auto"/>
        <w:left w:val="none" w:sz="0" w:space="0" w:color="auto"/>
        <w:bottom w:val="none" w:sz="0" w:space="0" w:color="auto"/>
        <w:right w:val="none" w:sz="0" w:space="0" w:color="auto"/>
      </w:divBdr>
    </w:div>
    <w:div w:id="1685280581">
      <w:bodyDiv w:val="1"/>
      <w:marLeft w:val="0"/>
      <w:marRight w:val="0"/>
      <w:marTop w:val="0"/>
      <w:marBottom w:val="0"/>
      <w:divBdr>
        <w:top w:val="none" w:sz="0" w:space="0" w:color="auto"/>
        <w:left w:val="none" w:sz="0" w:space="0" w:color="auto"/>
        <w:bottom w:val="none" w:sz="0" w:space="0" w:color="auto"/>
        <w:right w:val="none" w:sz="0" w:space="0" w:color="auto"/>
      </w:divBdr>
    </w:div>
    <w:div w:id="1747071840">
      <w:bodyDiv w:val="1"/>
      <w:marLeft w:val="0"/>
      <w:marRight w:val="0"/>
      <w:marTop w:val="0"/>
      <w:marBottom w:val="0"/>
      <w:divBdr>
        <w:top w:val="none" w:sz="0" w:space="0" w:color="auto"/>
        <w:left w:val="none" w:sz="0" w:space="0" w:color="auto"/>
        <w:bottom w:val="none" w:sz="0" w:space="0" w:color="auto"/>
        <w:right w:val="none" w:sz="0" w:space="0" w:color="auto"/>
      </w:divBdr>
    </w:div>
    <w:div w:id="1768841706">
      <w:bodyDiv w:val="1"/>
      <w:marLeft w:val="0"/>
      <w:marRight w:val="0"/>
      <w:marTop w:val="0"/>
      <w:marBottom w:val="0"/>
      <w:divBdr>
        <w:top w:val="none" w:sz="0" w:space="0" w:color="auto"/>
        <w:left w:val="none" w:sz="0" w:space="0" w:color="auto"/>
        <w:bottom w:val="none" w:sz="0" w:space="0" w:color="auto"/>
        <w:right w:val="none" w:sz="0" w:space="0" w:color="auto"/>
      </w:divBdr>
    </w:div>
    <w:div w:id="1833137631">
      <w:bodyDiv w:val="1"/>
      <w:marLeft w:val="0"/>
      <w:marRight w:val="0"/>
      <w:marTop w:val="0"/>
      <w:marBottom w:val="0"/>
      <w:divBdr>
        <w:top w:val="none" w:sz="0" w:space="0" w:color="auto"/>
        <w:left w:val="none" w:sz="0" w:space="0" w:color="auto"/>
        <w:bottom w:val="none" w:sz="0" w:space="0" w:color="auto"/>
        <w:right w:val="none" w:sz="0" w:space="0" w:color="auto"/>
      </w:divBdr>
    </w:div>
    <w:div w:id="1846287112">
      <w:bodyDiv w:val="1"/>
      <w:marLeft w:val="0"/>
      <w:marRight w:val="0"/>
      <w:marTop w:val="0"/>
      <w:marBottom w:val="0"/>
      <w:divBdr>
        <w:top w:val="none" w:sz="0" w:space="0" w:color="auto"/>
        <w:left w:val="none" w:sz="0" w:space="0" w:color="auto"/>
        <w:bottom w:val="none" w:sz="0" w:space="0" w:color="auto"/>
        <w:right w:val="none" w:sz="0" w:space="0" w:color="auto"/>
      </w:divBdr>
    </w:div>
    <w:div w:id="1851136705">
      <w:bodyDiv w:val="1"/>
      <w:marLeft w:val="0"/>
      <w:marRight w:val="0"/>
      <w:marTop w:val="0"/>
      <w:marBottom w:val="0"/>
      <w:divBdr>
        <w:top w:val="none" w:sz="0" w:space="0" w:color="auto"/>
        <w:left w:val="none" w:sz="0" w:space="0" w:color="auto"/>
        <w:bottom w:val="none" w:sz="0" w:space="0" w:color="auto"/>
        <w:right w:val="none" w:sz="0" w:space="0" w:color="auto"/>
      </w:divBdr>
    </w:div>
    <w:div w:id="1898395586">
      <w:bodyDiv w:val="1"/>
      <w:marLeft w:val="0"/>
      <w:marRight w:val="0"/>
      <w:marTop w:val="0"/>
      <w:marBottom w:val="0"/>
      <w:divBdr>
        <w:top w:val="none" w:sz="0" w:space="0" w:color="auto"/>
        <w:left w:val="none" w:sz="0" w:space="0" w:color="auto"/>
        <w:bottom w:val="none" w:sz="0" w:space="0" w:color="auto"/>
        <w:right w:val="none" w:sz="0" w:space="0" w:color="auto"/>
      </w:divBdr>
    </w:div>
    <w:div w:id="1944876449">
      <w:bodyDiv w:val="1"/>
      <w:marLeft w:val="0"/>
      <w:marRight w:val="0"/>
      <w:marTop w:val="0"/>
      <w:marBottom w:val="0"/>
      <w:divBdr>
        <w:top w:val="none" w:sz="0" w:space="0" w:color="auto"/>
        <w:left w:val="none" w:sz="0" w:space="0" w:color="auto"/>
        <w:bottom w:val="none" w:sz="0" w:space="0" w:color="auto"/>
        <w:right w:val="none" w:sz="0" w:space="0" w:color="auto"/>
      </w:divBdr>
    </w:div>
    <w:div w:id="210575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g/gdp.asp" TargetMode="External"/><Relationship Id="rId3" Type="http://schemas.openxmlformats.org/officeDocument/2006/relationships/webSettings" Target="webSettings.xml"/><Relationship Id="rId7" Type="http://schemas.openxmlformats.org/officeDocument/2006/relationships/hyperlink" Target="http://data.imf.org/?sk=4FFB52B2-3653-409A-B471-D47B46D904B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economist.com/news/2019/01/10/the-big-mac-index" TargetMode="External"/><Relationship Id="rId4" Type="http://schemas.openxmlformats.org/officeDocument/2006/relationships/footnotes" Target="footnotes.xml"/><Relationship Id="rId9" Type="http://schemas.openxmlformats.org/officeDocument/2006/relationships/hyperlink" Target="https://www.focus-economics.com/economic-indicator/unemployment-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Bıkmaz</dc:creator>
  <cp:keywords/>
  <dc:description/>
  <cp:lastModifiedBy>Oğuz Bıkmaz</cp:lastModifiedBy>
  <cp:revision>11</cp:revision>
  <cp:lastPrinted>2019-05-24T14:58:00Z</cp:lastPrinted>
  <dcterms:created xsi:type="dcterms:W3CDTF">2019-05-24T13:54:00Z</dcterms:created>
  <dcterms:modified xsi:type="dcterms:W3CDTF">2019-05-25T21:36:00Z</dcterms:modified>
</cp:coreProperties>
</file>