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obinexus-bioeconomics-integration"/>
    <w:p>
      <w:pPr>
        <w:pStyle w:val="Heading1"/>
      </w:pPr>
      <w:r>
        <w:t xml:space="preserve">OBINexus: Bioeconomics Integration</w:t>
      </w:r>
    </w:p>
    <w:p>
      <w:pPr>
        <w:pStyle w:val="FirstParagraph"/>
      </w:pPr>
      <w:r>
        <w:rPr>
          <w:b/>
          <w:bCs/>
        </w:rPr>
        <w:t xml:space="preserve">Hybrid Directed Instruction System for Housing, Education, and Economic Healing</w:t>
      </w:r>
    </w:p>
    <w:p>
      <w:r>
        <w:pict>
          <v:rect style="width:0;height:1.5pt" o:hralign="center" o:hrstd="t" o:hr="t"/>
        </w:pic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OBINexus Bioeconomics represents the fusion of open bioeconomic models with the OBINexus service-first infrastructure. It aligns the principles of defensive computing, social equity, and regenerative economics to create systems where the cost of living is not extractive but reciprocal.</w:t>
      </w:r>
    </w:p>
    <w:p>
      <w:pPr>
        <w:pStyle w:val="BodyText"/>
      </w:pPr>
      <w:r>
        <w:t xml:space="preserve">The purpose is to replace top-down scarcity models with hybrid instruction systems that evolve from both</w:t>
      </w:r>
      <w:r>
        <w:t xml:space="preserve"> </w:t>
      </w:r>
      <w:r>
        <w:rPr>
          <w:b/>
          <w:bCs/>
        </w:rPr>
        <w:t xml:space="preserve">bottom-up community feedback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top-down institutional alignment</w:t>
      </w:r>
      <w:r>
        <w:t xml:space="preserve">. This ensures that social and economic growth happen symbiotically—not competitively.</w:t>
      </w:r>
    </w:p>
    <w:p>
      <w:r>
        <w:pict>
          <v:rect style="width:0;height:1.5pt" o:hralign="center" o:hrstd="t" o:hr="t"/>
        </w:pict>
      </w:r>
    </w:p>
    <w:bookmarkEnd w:id="20"/>
    <w:bookmarkStart w:id="22" w:name="Xfc193654a16b655693cc218f40578154a031773"/>
    <w:p>
      <w:pPr>
        <w:pStyle w:val="Heading2"/>
      </w:pPr>
      <w:r>
        <w:t xml:space="preserve">Core Concept: Housing as Systemic Foundation</w:t>
      </w:r>
    </w:p>
    <w:p>
      <w:pPr>
        <w:pStyle w:val="FirstParagraph"/>
      </w:pPr>
      <w:r>
        <w:t xml:space="preserve">In the OBINexus Bioeconomic model, housing becomes the anchor of dignity and regeneration. The idea is simple but transformative:</w:t>
      </w:r>
    </w:p>
    <w:p>
      <w:pPr>
        <w:pStyle w:val="BlockText"/>
      </w:pPr>
      <w:r>
        <w:t xml:space="preserve">The cost of owning a house should equal the cost of staying in a hostel for a year in the UK.</w:t>
      </w:r>
    </w:p>
    <w:p>
      <w:pPr>
        <w:pStyle w:val="FirstParagraph"/>
      </w:pPr>
      <w:r>
        <w:t xml:space="preserve">Through directed-instruction finance (DIF) and equity-linked public ledgers, the system automatically calibrates fair cost and ownership pathways. When the system scales,</w:t>
      </w:r>
      <w:r>
        <w:t xml:space="preserve"> </w:t>
      </w:r>
      <w:r>
        <w:rPr>
          <w:b/>
          <w:bCs/>
        </w:rPr>
        <w:t xml:space="preserve">the collective pays for the home</w:t>
      </w:r>
      <w:r>
        <w:t xml:space="preserve"> </w:t>
      </w:r>
      <w:r>
        <w:t xml:space="preserve">instead of the individual, mirroring how a hostel is publicly funded for temporary shelter.</w:t>
      </w:r>
    </w:p>
    <w:bookmarkStart w:id="21" w:name="core-outcome"/>
    <w:p>
      <w:pPr>
        <w:pStyle w:val="Heading3"/>
      </w:pPr>
      <w:r>
        <w:t xml:space="preserve">Core Outcome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ownership without exploitation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equity with shared resilience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Autonomous self-healing infrastructure for economic justice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ducational-integration"/>
    <w:p>
      <w:pPr>
        <w:pStyle w:val="Heading2"/>
      </w:pPr>
      <w:r>
        <w:t xml:space="preserve">Educational Integration</w:t>
      </w:r>
    </w:p>
    <w:p>
      <w:pPr>
        <w:pStyle w:val="FirstParagraph"/>
      </w:pPr>
      <w:r>
        <w:t xml:space="preserve">The bioeconomic foundation expands across a 10-year learning and living ecosystem. Housing and education progress in tandem: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1584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1–3 years</w:t>
            </w:r>
          </w:p>
        </w:tc>
        <w:tc>
          <w:tcPr/>
          <w:p>
            <w:pPr>
              <w:pStyle w:val="Compact"/>
            </w:pPr>
            <w:r>
              <w:t xml:space="preserve">GCSE / SARS</w:t>
            </w:r>
          </w:p>
        </w:tc>
        <w:tc>
          <w:tcPr/>
          <w:p>
            <w:pPr>
              <w:pStyle w:val="Compact"/>
            </w:pPr>
            <w:r>
              <w:t xml:space="preserve">Basic education and social housing stabilization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</w:t>
            </w:r>
          </w:p>
        </w:tc>
        <w:tc>
          <w:tcPr/>
          <w:p>
            <w:pPr>
              <w:pStyle w:val="Compact"/>
            </w:pPr>
            <w:r>
              <w:t xml:space="preserve">3–6 years</w:t>
            </w:r>
          </w:p>
        </w:tc>
        <w:tc>
          <w:tcPr/>
          <w:p>
            <w:pPr>
              <w:pStyle w:val="Compact"/>
            </w:pPr>
            <w:r>
              <w:t xml:space="preserve">BSc / Applied Training</w:t>
            </w:r>
          </w:p>
        </w:tc>
        <w:tc>
          <w:tcPr/>
          <w:p>
            <w:pPr>
              <w:pStyle w:val="Compact"/>
            </w:pPr>
            <w:r>
              <w:t xml:space="preserve">Co-living, work-integrated learning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/ PhD</w:t>
            </w:r>
          </w:p>
        </w:tc>
        <w:tc>
          <w:tcPr/>
          <w:p>
            <w:pPr>
              <w:pStyle w:val="Compact"/>
            </w:pPr>
            <w:r>
              <w:t xml:space="preserve">6–10 years</w:t>
            </w:r>
          </w:p>
        </w:tc>
        <w:tc>
          <w:tcPr/>
          <w:p>
            <w:pPr>
              <w:pStyle w:val="Compact"/>
            </w:pPr>
            <w:r>
              <w:t xml:space="preserve">Innovation Residency</w:t>
            </w:r>
          </w:p>
        </w:tc>
        <w:tc>
          <w:tcPr/>
          <w:p>
            <w:pPr>
              <w:pStyle w:val="Compact"/>
            </w:pPr>
            <w:r>
              <w:t xml:space="preserve">Full transition to private ownership and autonomous governance</w:t>
            </w:r>
          </w:p>
        </w:tc>
      </w:tr>
    </w:tbl>
    <w:p>
      <w:pPr>
        <w:pStyle w:val="BodyText"/>
      </w:pPr>
      <w:r>
        <w:t xml:space="preserve">Each tier ensures that human development—educational, emotional, and financial—remains synchronized with the infrastructure that sustains it.</w:t>
      </w:r>
    </w:p>
    <w:p>
      <w:r>
        <w:pict>
          <v:rect style="width:0;height:1.5pt" o:hralign="center" o:hrstd="t" o:hr="t"/>
        </w:pict>
      </w:r>
    </w:p>
    <w:bookmarkEnd w:id="23"/>
    <w:bookmarkStart w:id="24" w:name="hybrid-directed-instruction-hdi"/>
    <w:p>
      <w:pPr>
        <w:pStyle w:val="Heading2"/>
      </w:pPr>
      <w:r>
        <w:t xml:space="preserve">Hybrid Directed Instruction (HDI)</w:t>
      </w:r>
    </w:p>
    <w:p>
      <w:pPr>
        <w:pStyle w:val="FirstParagraph"/>
      </w:pPr>
      <w:r>
        <w:t xml:space="preserve">HDI is the operational core of the OBINexus Bioeconomics system. It merges algorithmic coordination with human intention, enabling co-creation instead of centralization.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Top-down layer:</w:t>
      </w:r>
      <w:r>
        <w:t xml:space="preserve"> </w:t>
      </w:r>
      <w:r>
        <w:t xml:space="preserve">Policy alignment, safety protocols, and equity 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Bottom-up layer:</w:t>
      </w:r>
      <w:r>
        <w:t xml:space="preserve"> </w:t>
      </w:r>
      <w:r>
        <w:t xml:space="preserve">Peer-driven feedback, participatory budgeting, and adaptive governance.</w:t>
      </w:r>
    </w:p>
    <w:p>
      <w:pPr>
        <w:pStyle w:val="FirstParagraph"/>
      </w:pPr>
      <w:r>
        <w:t xml:space="preserve">This creates a dynamic equilibrium—an economic immune system that responds to local needs without losing systemic coherence.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ation-example"/>
    <w:p>
      <w:pPr>
        <w:pStyle w:val="Heading2"/>
      </w:pPr>
      <w:r>
        <w:t xml:space="preserve">Implementation Example</w:t>
      </w:r>
    </w:p>
    <w:p>
      <w:pPr>
        <w:pStyle w:val="FirstParagraph"/>
      </w:pPr>
      <w:r>
        <w:rPr>
          <w:b/>
          <w:bCs/>
        </w:rPr>
        <w:t xml:space="preserve">Service Domain:</w:t>
      </w:r>
      <w:r>
        <w:t xml:space="preserve"> </w:t>
      </w:r>
      <w:r>
        <w:rPr>
          <w:rStyle w:val="VerbatimChar"/>
        </w:rPr>
        <w:t xml:space="preserve">housing.equity.obinexus.bioeconomics.uk.org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Resident applies through HDI network.</w:t>
      </w:r>
      <w:r>
        <w:t xml:space="preserve"> </w:t>
      </w:r>
      <w:r>
        <w:t xml:space="preserve">2. Housing allocation determined by community-lattice demand.</w:t>
      </w:r>
      <w:r>
        <w:t xml:space="preserve"> </w:t>
      </w:r>
      <w:r>
        <w:t xml:space="preserve">3. Payment system adjusts dynamically to reflect local hostel cost equivalents.</w:t>
      </w:r>
      <w:r>
        <w:t xml:space="preserve"> </w:t>
      </w:r>
      <w:r>
        <w:t xml:space="preserve">4. Ownership transferred after equity threshold (e.g., 1–5 years) reached.</w:t>
      </w:r>
    </w:p>
    <w:p>
      <w:r>
        <w:pict>
          <v:rect style="width:0;height:1.5pt" o:hralign="center" o:hrstd="t" o:hr="t"/>
        </w:pict>
      </w:r>
    </w:p>
    <w:bookmarkEnd w:id="25"/>
    <w:bookmarkStart w:id="26" w:name="key-principle-redundancy-over-hierarchy"/>
    <w:p>
      <w:pPr>
        <w:pStyle w:val="Heading2"/>
      </w:pPr>
      <w:r>
        <w:t xml:space="preserve">Key Principle: Redundancy Over Hierarchy</w:t>
      </w:r>
    </w:p>
    <w:p>
      <w:pPr>
        <w:pStyle w:val="FirstParagraph"/>
      </w:pPr>
      <w:r>
        <w:t xml:space="preserve">Every ring-zone of the system replicates governance capacity. Growth adds redundancy—not hierarchy—ensuring each unit can sustain life, work, and education within a</w:t>
      </w:r>
      <w:r>
        <w:t xml:space="preserve"> </w:t>
      </w:r>
      <w:r>
        <w:rPr>
          <w:b/>
          <w:bCs/>
        </w:rPr>
        <w:t xml:space="preserve">2.5-mile walkable radius.</w:t>
      </w:r>
    </w:p>
    <w:p>
      <w:pPr>
        <w:pStyle w:val="BodyText"/>
      </w:pPr>
      <w:r>
        <w:t xml:space="preserve">This circular topology distributes energy, legal, and social capital evenly through</w:t>
      </w:r>
      <w:r>
        <w:t xml:space="preserve"> </w:t>
      </w:r>
      <w:r>
        <w:rPr>
          <w:b/>
          <w:bCs/>
        </w:rPr>
        <w:t xml:space="preserve">Ring-Zone Business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Bioeconomic Councils.</w:t>
      </w:r>
    </w:p>
    <w:p>
      <w:r>
        <w:pict>
          <v:rect style="width:0;height:1.5pt" o:hralign="center" o:hrstd="t" o:hr="t"/>
        </w:pict>
      </w:r>
    </w:p>
    <w:bookmarkEnd w:id="26"/>
    <w:bookmarkStart w:id="27" w:name="closing-thought"/>
    <w:p>
      <w:pPr>
        <w:pStyle w:val="Heading2"/>
      </w:pPr>
      <w:r>
        <w:t xml:space="preserve">Closing Thought</w:t>
      </w:r>
    </w:p>
    <w:p>
      <w:pPr>
        <w:pStyle w:val="BlockText"/>
      </w:pPr>
      <w:r>
        <w:t xml:space="preserve">When the system matures enough to pay for the home itself, humanity graduates from surviving in hostels to living in harmony—from scarcity economics to regenerative dignity.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#OBINexus #Bioeconomics #DirectedInstruction #DefensiveArchitecture #HousingJustice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2025-10-14T16:13:22Z</dcterms:created>
  <dcterms:modified xsi:type="dcterms:W3CDTF">2025-10-14T16:13:22Z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