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ab9283d9a18ec6f621324db34b37ee125889de"/>
    <w:p>
      <w:pPr>
        <w:pStyle w:val="Heading1"/>
      </w:pPr>
      <w:r>
        <w:t xml:space="preserve">OBINexus Bioeconomics: Technical Whitepaper</w:t>
      </w:r>
    </w:p>
    <w:p>
      <w:pPr>
        <w:pStyle w:val="FirstParagraph"/>
      </w:pPr>
      <w:r>
        <w:rPr>
          <w:b/>
          <w:bCs/>
        </w:rPr>
        <w:t xml:space="preserve">Hybrid Directed Instruction System for Housing, Education, and Economic Healing</w:t>
      </w:r>
      <w:r>
        <w:br/>
      </w:r>
      <w:r>
        <w:rPr>
          <w:b/>
          <w:bCs/>
        </w:rPr>
        <w:t xml:space="preserve">github.com/obinexus/bioeconomics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OBINexus Bioeconomic Model integrates algorithmic finance, distributed topology, and regenerative housing economics. Its goal is to transform housing from an extractive commodity into a regenerative infrastructure—one that grows equity while reducing systemic cost.</w:t>
      </w:r>
    </w:p>
    <w:p>
      <w:pPr>
        <w:pStyle w:val="BodyText"/>
      </w:pPr>
      <w:r>
        <w:t xml:space="preserve">This whitepaper defines the mathematical, architectural, and computational basis for the Directed Instruction Finance (DIF) mechanism, the Ring-Zone topology, and the Hybrid Directed Instruction (HDI) protocol for adaptive economic control.</w:t>
      </w:r>
    </w:p>
    <w:p>
      <w:r>
        <w:pict>
          <v:rect style="width:0;height:1.5pt" o:hralign="center" o:hrstd="t" o:hr="t"/>
        </w:pict>
      </w:r>
    </w:p>
    <w:bookmarkEnd w:id="20"/>
    <w:bookmarkStart w:id="23" w:name="theoretical-foundation"/>
    <w:p>
      <w:pPr>
        <w:pStyle w:val="Heading2"/>
      </w:pPr>
      <w:r>
        <w:t xml:space="preserve">1. Theoretical Foundation</w:t>
      </w:r>
    </w:p>
    <w:bookmarkStart w:id="21" w:name="economic-constraint-function"/>
    <w:p>
      <w:pPr>
        <w:pStyle w:val="Heading3"/>
      </w:pPr>
      <w:r>
        <w:t xml:space="preserve">1.1 Economic Constraint Function</w:t>
      </w:r>
    </w:p>
    <w:p>
      <w:pPr>
        <w:pStyle w:val="FirstParagraph"/>
      </w:pPr>
      <w:r>
        <w:t xml:space="preserve">At the core of the model lies the</w:t>
      </w:r>
      <w:r>
        <w:t xml:space="preserve"> </w:t>
      </w:r>
      <w:r>
        <w:rPr>
          <w:b/>
          <w:bCs/>
        </w:rPr>
        <w:t xml:space="preserve">Housing Cost Equilibrium Equation (HCEE):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C_h</w:t>
      </w:r>
      <w:r>
        <w:t xml:space="preserve"> </w:t>
      </w:r>
      <w:r>
        <w:t xml:space="preserve">C_s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 C_h ): Annualized cost of home ownership (mortgage + maintenance + tax)</w:t>
      </w:r>
      <w:r>
        <w:t xml:space="preserve"> </w:t>
      </w:r>
      <w:r>
        <w:t xml:space="preserve">- ( C_s ): Annualized cost of hostel accommodation per person (public baseline)</w:t>
      </w:r>
    </w:p>
    <w:p>
      <w:pPr>
        <w:pStyle w:val="BodyText"/>
      </w:pPr>
      <w:r>
        <w:t xml:space="preserve">This constraint enforces</w:t>
      </w:r>
      <w:r>
        <w:t xml:space="preserve"> </w:t>
      </w:r>
      <w:r>
        <w:rPr>
          <w:b/>
          <w:bCs/>
        </w:rPr>
        <w:t xml:space="preserve">economic parity</w:t>
      </w:r>
      <w:r>
        <w:t xml:space="preserve"> </w:t>
      </w:r>
      <w:r>
        <w:t xml:space="preserve">between survival housing and permanent living, creating a feedback mechanism where housing cannot exceed fair social cost.</w:t>
      </w:r>
    </w:p>
    <w:bookmarkEnd w:id="21"/>
    <w:bookmarkStart w:id="22" w:name="directed-instruction-finance-dif"/>
    <w:p>
      <w:pPr>
        <w:pStyle w:val="Heading3"/>
      </w:pPr>
      <w:r>
        <w:t xml:space="preserve">1.2 Directed Instruction Finance (DIF)</w:t>
      </w:r>
    </w:p>
    <w:p>
      <w:pPr>
        <w:pStyle w:val="FirstParagraph"/>
      </w:pPr>
      <w:r>
        <w:t xml:space="preserve">DIF operates as a feedback-controlled flow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F_{DIF}(t) =</w:t>
      </w:r>
      <w:r>
        <w:t xml:space="preserve"> </w:t>
      </w:r>
      <w:r>
        <w:t xml:space="preserve">(C_s - C_h) +</w:t>
      </w:r>
      <w:r>
        <w:t xml:space="preserve"> </w:t>
      </w:r>
      <w:r>
        <w:t xml:space="preserve">E(t)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</w:t>
      </w:r>
      <w:r>
        <w:t xml:space="preserve"> </w:t>
      </w:r>
      <w:r>
        <w:t xml:space="preserve">): Collective funding coefficient (community-to-individual ratio)</w:t>
      </w:r>
      <w:r>
        <w:t xml:space="preserve"> </w:t>
      </w:r>
      <w:r>
        <w:t xml:space="preserve">- (</w:t>
      </w:r>
      <w:r>
        <w:t xml:space="preserve"> </w:t>
      </w:r>
      <w:r>
        <w:t xml:space="preserve">): Equity acceleration coefficient (economic feedback sensitivity)</w:t>
      </w:r>
      <w:r>
        <w:t xml:space="preserve"> </w:t>
      </w:r>
      <w:r>
        <w:t xml:space="preserve">- ( E(t) ): Dynamic equity value over time</w:t>
      </w:r>
    </w:p>
    <w:p>
      <w:pPr>
        <w:pStyle w:val="BodyText"/>
      </w:pPr>
      <w:r>
        <w:t xml:space="preserve">If ( C_h &lt; C_s ), the system releases surplus into</w:t>
      </w:r>
      <w:r>
        <w:t xml:space="preserve"> </w:t>
      </w:r>
      <w:r>
        <w:rPr>
          <w:b/>
          <w:bCs/>
        </w:rPr>
        <w:t xml:space="preserve">collective equity pools</w:t>
      </w:r>
      <w:r>
        <w:t xml:space="preserve"> </w:t>
      </w:r>
      <w:r>
        <w:t xml:space="preserve">to fund new housing cycles.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b91bd91fe4d453e7b15de0ff32ed5f8b3a6cc5"/>
    <w:p>
      <w:pPr>
        <w:pStyle w:val="Heading2"/>
      </w:pPr>
      <w:r>
        <w:t xml:space="preserve">2. Hybrid Directed Instruction (HDI) Architecture</w:t>
      </w:r>
    </w:p>
    <w:bookmarkStart w:id="24" w:name="layer-composition"/>
    <w:p>
      <w:pPr>
        <w:pStyle w:val="Heading3"/>
      </w:pPr>
      <w:r>
        <w:t xml:space="preserve">2.1 Layer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Control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Top-down</w:t>
            </w:r>
          </w:p>
        </w:tc>
        <w:tc>
          <w:tcPr/>
          <w:p>
            <w:pPr>
              <w:pStyle w:val="Compact"/>
            </w:pPr>
            <w:r>
              <w:t xml:space="preserve">Regulatory synchronization, data verification, policy safety</w:t>
            </w:r>
          </w:p>
        </w:tc>
        <w:tc>
          <w:tcPr/>
          <w:p>
            <w:pPr>
              <w:pStyle w:val="Compact"/>
            </w:pPr>
            <w:r>
              <w:t xml:space="preserve">Institutional governance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Bottom-up</w:t>
            </w:r>
          </w:p>
        </w:tc>
        <w:tc>
          <w:tcPr/>
          <w:p>
            <w:pPr>
              <w:pStyle w:val="Compact"/>
            </w:pPr>
            <w:r>
              <w:t xml:space="preserve">Community validation, adaptive learning, demand modeling</w:t>
            </w:r>
          </w:p>
        </w:tc>
        <w:tc>
          <w:tcPr/>
          <w:p>
            <w:pPr>
              <w:pStyle w:val="Compact"/>
            </w:pPr>
            <w:r>
              <w:t xml:space="preserve">Peer consensus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Computational equilibrium, DIF optimization</w:t>
            </w:r>
          </w:p>
        </w:tc>
        <w:tc>
          <w:tcPr/>
          <w:p>
            <w:pPr>
              <w:pStyle w:val="Compact"/>
            </w:pPr>
            <w:r>
              <w:t xml:space="preserve">OBINexus Core Runtime (OCR)</w:t>
            </w:r>
          </w:p>
        </w:tc>
      </w:tr>
    </w:tbl>
    <w:bookmarkEnd w:id="24"/>
    <w:bookmarkStart w:id="25" w:name="control-function"/>
    <w:p>
      <w:pPr>
        <w:pStyle w:val="Heading3"/>
      </w:pPr>
      <w:r>
        <w:t xml:space="preserve">2.2 Control Function</w:t>
      </w:r>
    </w:p>
    <w:p>
      <w:pPr>
        <w:pStyle w:val="FirstParagraph"/>
      </w:pPr>
      <w:r>
        <w:t xml:space="preserve">HDI is represented as a dual-field system: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(x,t) = f_{top}(x,t) + f_{bottom}(x,t)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function (</w:t>
      </w:r>
      <w:r>
        <w:t xml:space="preserve"> </w:t>
      </w:r>
      <w:r>
        <w:t xml:space="preserve">(x,t) ) represents total instruction potential across time and space. Coherence is achieved when: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{R} f</w:t>
      </w:r>
      <w:r>
        <w:t xml:space="preserve">{top}(x,t),dx =</w:t>
      </w:r>
      <w:r>
        <w:t xml:space="preserve"> </w:t>
      </w:r>
      <w:r>
        <w:rPr>
          <w:i/>
          <w:iCs/>
        </w:rPr>
        <w:t xml:space="preserve">{R} f</w:t>
      </w:r>
      <w:r>
        <w:t xml:space="preserve">{bottom}(x,t),dx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is, when the total top-down instruction equals the total community feedback over the same domain.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ing-zone-topology"/>
    <w:p>
      <w:pPr>
        <w:pStyle w:val="Heading2"/>
      </w:pPr>
      <w:r>
        <w:t xml:space="preserve">3. Ring-Zone Topology</w:t>
      </w:r>
    </w:p>
    <w:p>
      <w:pPr>
        <w:pStyle w:val="FirstParagraph"/>
      </w:pPr>
      <w:r>
        <w:t xml:space="preserve">The physical and digital infrastructure follow</w:t>
      </w:r>
      <w:r>
        <w:t xml:space="preserve"> </w:t>
      </w:r>
      <w:r>
        <w:rPr>
          <w:b/>
          <w:bCs/>
        </w:rPr>
        <w:t xml:space="preserve">ring-zone topology</w:t>
      </w:r>
      <w:r>
        <w:t xml:space="preserve">, forming self-similar governance structures.</w:t>
      </w:r>
    </w:p>
    <w:bookmarkStart w:id="27" w:name="definition"/>
    <w:p>
      <w:pPr>
        <w:pStyle w:val="Heading3"/>
      </w:pPr>
      <w:r>
        <w:t xml:space="preserve">3.1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ring-zone</w:t>
      </w:r>
      <w:r>
        <w:t xml:space="preserve"> </w:t>
      </w:r>
      <w:r>
        <w:t xml:space="preserve">is a spatial or logical unit defined by:</w:t>
      </w:r>
      <w:r>
        <w:t xml:space="preserve"> </w:t>
      </w:r>
      <w:r>
        <w:t xml:space="preserve">[</w:t>
      </w:r>
      <w:r>
        <w:t xml:space="preserve"> </w:t>
      </w:r>
      <w:r>
        <w:t xml:space="preserve">R_n = {Z_i | i</w:t>
      </w:r>
      <w:r>
        <w:t xml:space="preserve"> </w:t>
      </w:r>
      <w:r>
        <w:t xml:space="preserve">, d(Z_i, Z_{i+1})</w:t>
      </w:r>
      <w:r>
        <w:t xml:space="preserve"> </w:t>
      </w:r>
      <w:r>
        <w:t xml:space="preserve">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each ( Z_i ) represents a socio-economic zone and ( r ) is the maximum functional radius (≈ 2.5 miles walkable distance).</w:t>
      </w:r>
    </w:p>
    <w:p>
      <w:pPr>
        <w:pStyle w:val="BodyText"/>
      </w:pPr>
      <w:r>
        <w:t xml:space="preserve">Each ring-zone must contain: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Bioeconomic Council</w:t>
      </w:r>
      <w:r>
        <w:t xml:space="preserve"> </w:t>
      </w:r>
      <w:r>
        <w:t xml:space="preserve">for governance.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HDI Node</w:t>
      </w:r>
      <w:r>
        <w:t xml:space="preserve"> </w:t>
      </w:r>
      <w:r>
        <w:t xml:space="preserve">for computation and data flow.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Equity Ledger</w:t>
      </w:r>
      <w:r>
        <w:t xml:space="preserve"> </w:t>
      </w:r>
      <w:r>
        <w:t xml:space="preserve">synchronized with the OBINexus main net.</w:t>
      </w:r>
    </w:p>
    <w:bookmarkEnd w:id="27"/>
    <w:bookmarkStart w:id="28" w:name="topological-dynamics"/>
    <w:p>
      <w:pPr>
        <w:pStyle w:val="Heading3"/>
      </w:pPr>
      <w:r>
        <w:t xml:space="preserve">3.2 Topological Dynamics</w:t>
      </w:r>
    </w:p>
    <w:p>
      <w:pPr>
        <w:pStyle w:val="FirstParagraph"/>
      </w:pPr>
      <w:r>
        <w:t xml:space="preserve">Growth in the network follows</w:t>
      </w:r>
      <w:r>
        <w:t xml:space="preserve"> </w:t>
      </w:r>
      <w:r>
        <w:rPr>
          <w:b/>
          <w:bCs/>
        </w:rPr>
        <w:t xml:space="preserve">redundant expansion</w:t>
      </w:r>
      <w:r>
        <w:t xml:space="preserve"> </w:t>
      </w:r>
      <w:r>
        <w:t xml:space="preserve">rather than hierarchy. Each new ring replicates the governance structure of its parent without central dependency: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G_{n+1} = G_n +</w:t>
      </w:r>
      <w:r>
        <w:t xml:space="preserve"> </w:t>
      </w:r>
      <w:r>
        <w:t xml:space="preserve">G(R_{n+1})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lgorithmic-design"/>
    <w:p>
      <w:pPr>
        <w:pStyle w:val="Heading2"/>
      </w:pPr>
      <w:r>
        <w:t xml:space="preserve">4. Algorithmic Design</w:t>
      </w:r>
    </w:p>
    <w:bookmarkStart w:id="30" w:name="equity-update-cycle"/>
    <w:p>
      <w:pPr>
        <w:pStyle w:val="Heading3"/>
      </w:pPr>
      <w:r>
        <w:t xml:space="preserve">4.1 Equity Update Cycle</w:t>
      </w:r>
    </w:p>
    <w:p>
      <w:pPr>
        <w:pStyle w:val="FirstParagraph"/>
      </w:pPr>
      <w:r>
        <w:t xml:space="preserve">At discrete time intervals ( t_k 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E(t_{k+1}) = E(t_k) +</w:t>
      </w:r>
      <w:r>
        <w:t xml:space="preserve"> </w:t>
      </w:r>
      <w:r>
        <w:t xml:space="preserve">(C_s - C_h) +</w:t>
      </w:r>
      <w:r>
        <w:t xml:space="preserve"> </w:t>
      </w:r>
      <w:r>
        <w:t xml:space="preserve">S(t_k)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</w:t>
      </w:r>
      <w:r>
        <w:t xml:space="preserve"> </w:t>
      </w:r>
      <w:r>
        <w:t xml:space="preserve">): Learning rate of the equity pool.</w:t>
      </w:r>
      <w:r>
        <w:t xml:space="preserve"> </w:t>
      </w:r>
      <w:r>
        <w:t xml:space="preserve">- ( S(t_k) ): Social stability coefficient derived from local governance metrics.</w:t>
      </w:r>
    </w:p>
    <w:bookmarkEnd w:id="30"/>
    <w:bookmarkStart w:id="31" w:name="equilibrium-test"/>
    <w:p>
      <w:pPr>
        <w:pStyle w:val="Heading3"/>
      </w:pPr>
      <w:r>
        <w:t xml:space="preserve">4.2 Equilibrium Test</w:t>
      </w:r>
    </w:p>
    <w:p>
      <w:pPr>
        <w:pStyle w:val="FirstParagraph"/>
      </w:pPr>
      <w:r>
        <w:t xml:space="preserve">Stability is achieved when the derivative of the equity value approaches zero: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C_h = C_s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this point, the system transitions from subsidy to autonomy.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ystem-diagram"/>
    <w:p>
      <w:pPr>
        <w:pStyle w:val="Heading2"/>
      </w:pPr>
      <w:r>
        <w:t xml:space="preserve">5. System Diagram</w:t>
      </w:r>
    </w:p>
    <w:p>
      <w:pPr>
        <w:pStyle w:val="FirstParagraph"/>
      </w:pPr>
      <w:r>
        <w:rPr>
          <w:b/>
          <w:bCs/>
        </w:rPr>
        <w:t xml:space="preserve">Conceptual Architecture: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│ OBINexus Core Runtime  │</w:t>
      </w:r>
      <w:r>
        <w:br/>
      </w:r>
      <w:r>
        <w:rPr>
          <w:rStyle w:val="VerbatimChar"/>
        </w:rPr>
        <w:t xml:space="preserve">             │  - DIF Engine          │</w:t>
      </w:r>
      <w:r>
        <w:br/>
      </w:r>
      <w:r>
        <w:rPr>
          <w:rStyle w:val="VerbatimChar"/>
        </w:rPr>
        <w:t xml:space="preserve">             │  - HDI Controller      │</w:t>
      </w:r>
      <w:r>
        <w:br/>
      </w:r>
      <w:r>
        <w:rPr>
          <w:rStyle w:val="VerbatimChar"/>
        </w:rPr>
        <w:t xml:space="preserve">             │  - Equity Ledger Sync  │</w:t>
      </w:r>
      <w:r>
        <w:br/>
      </w:r>
      <w:r>
        <w:rPr>
          <w:rStyle w:val="VerbatimChar"/>
        </w:rPr>
        <w:t xml:space="preserve">  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│                                 │</w:t>
      </w:r>
      <w:r>
        <w:br/>
      </w:r>
      <w:r>
        <w:rPr>
          <w:rStyle w:val="VerbatimChar"/>
        </w:rPr>
        <w:t xml:space="preserve"> ┌────────────┐                   ┌────────────┐</w:t>
      </w:r>
      <w:r>
        <w:br/>
      </w:r>
      <w:r>
        <w:rPr>
          <w:rStyle w:val="VerbatimChar"/>
        </w:rPr>
        <w:t xml:space="preserve"> │ Ring-Zone 1│                   │ Ring-Zone 2│</w:t>
      </w:r>
      <w:r>
        <w:br/>
      </w:r>
      <w:r>
        <w:rPr>
          <w:rStyle w:val="VerbatimChar"/>
        </w:rPr>
        <w:t xml:space="preserve"> │  - HDI Node│                   │  - HDI Node│</w:t>
      </w:r>
      <w:r>
        <w:br/>
      </w:r>
      <w:r>
        <w:rPr>
          <w:rStyle w:val="VerbatimChar"/>
        </w:rPr>
        <w:t xml:space="preserve"> │  - Council │                   │  - Council │</w:t>
      </w:r>
      <w:r>
        <w:br/>
      </w:r>
      <w:r>
        <w:rPr>
          <w:rStyle w:val="VerbatimChar"/>
        </w:rPr>
        <w:t xml:space="preserve"> │  - Ledger  │                   │  - Ledger  │</w:t>
      </w:r>
      <w:r>
        <w:br/>
      </w:r>
      <w:r>
        <w:rPr>
          <w:rStyle w:val="VerbatimChar"/>
        </w:rPr>
        <w:t xml:space="preserve"> └────────────┘                   └────────────┘</w:t>
      </w:r>
      <w:r>
        <w:br/>
      </w:r>
      <w:r>
        <w:rPr>
          <w:rStyle w:val="VerbatimChar"/>
        </w:rPr>
        <w:t xml:space="preserve">       │                                 │</w:t>
      </w:r>
      <w:r>
        <w:br/>
      </w:r>
      <w:r>
        <w:rPr>
          <w:rStyle w:val="VerbatimChar"/>
        </w:rPr>
        <w:t xml:space="preserve">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Community Equity Pool</w:t>
      </w:r>
    </w:p>
    <w:p>
      <w:r>
        <w:pict>
          <v:rect style="width:0;height:1.5pt" o:hralign="center" o:hrstd="t" o:hr="t"/>
        </w:pict>
      </w:r>
    </w:p>
    <w:bookmarkEnd w:id="33"/>
    <w:bookmarkStart w:id="34" w:name="implementation-domains"/>
    <w:p>
      <w:pPr>
        <w:pStyle w:val="Heading2"/>
      </w:pPr>
      <w:r>
        <w:t xml:space="preserve">6. Implementation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housing.equity.obinexus.bioeconomics.uk.org</w:t>
            </w:r>
          </w:p>
        </w:tc>
        <w:tc>
          <w:tcPr/>
          <w:p>
            <w:pPr>
              <w:pStyle w:val="Compact"/>
            </w:pPr>
            <w:r>
              <w:t xml:space="preserve">UK public housing model</w:t>
            </w:r>
          </w:p>
        </w:tc>
        <w:tc>
          <w:tcPr/>
          <w:p>
            <w:pPr>
              <w:pStyle w:val="Compact"/>
            </w:pPr>
            <w:r>
              <w:t xml:space="preserve">Adaptive housing ownership equilibrium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education.equity.obinexus.bioeconomics.edu</w:t>
            </w:r>
          </w:p>
        </w:tc>
        <w:tc>
          <w:tcPr/>
          <w:p>
            <w:pPr>
              <w:pStyle w:val="Compact"/>
            </w:pPr>
            <w:r>
              <w:t xml:space="preserve">Institutional integration</w:t>
            </w:r>
          </w:p>
        </w:tc>
        <w:tc>
          <w:tcPr/>
          <w:p>
            <w:pPr>
              <w:pStyle w:val="Compact"/>
            </w:pPr>
            <w:r>
              <w:t xml:space="preserve">Tuition-to-equity 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energy.equity.obinexus.bioeconomics.io</w:t>
            </w:r>
          </w:p>
        </w:tc>
        <w:tc>
          <w:tcPr/>
          <w:p>
            <w:pPr>
              <w:pStyle w:val="Compact"/>
            </w:pPr>
            <w:r>
              <w:t xml:space="preserve">Localized grid model</w:t>
            </w:r>
          </w:p>
        </w:tc>
        <w:tc>
          <w:tcPr/>
          <w:p>
            <w:pPr>
              <w:pStyle w:val="Compact"/>
            </w:pPr>
            <w:r>
              <w:t xml:space="preserve">Energy-neutral housing equilibrium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OBINexus Bioeconomic System introduces a mathematically constrained yet socially adaptive economy—where</w:t>
      </w:r>
      <w:r>
        <w:t xml:space="preserve"> </w:t>
      </w:r>
      <w:r>
        <w:rPr>
          <w:b/>
          <w:bCs/>
        </w:rPr>
        <w:t xml:space="preserve">ownership becomes a derivative of participation</w:t>
      </w:r>
      <w:r>
        <w:t xml:space="preserve">, and</w:t>
      </w:r>
      <w:r>
        <w:t xml:space="preserve"> </w:t>
      </w:r>
      <w:r>
        <w:rPr>
          <w:b/>
          <w:bCs/>
        </w:rPr>
        <w:t xml:space="preserve">value regenerates through collective equilibrium</w:t>
      </w:r>
      <w:r>
        <w:t xml:space="preserve">.</w:t>
      </w:r>
    </w:p>
    <w:p>
      <w:pPr>
        <w:pStyle w:val="BodyText"/>
      </w:pPr>
      <w:r>
        <w:t xml:space="preserve">The formula ( C_h</w:t>
      </w:r>
      <w:r>
        <w:t xml:space="preserve"> </w:t>
      </w:r>
      <w:r>
        <w:t xml:space="preserve">C_s ) defines not only affordability but dignity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#OBINexus #Bioeconomics #DirectedInstruction #DefensiveArchitecture #RingZone #DIF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2025-10-14T16:22:46Z</dcterms:created>
  <dcterms:modified xsi:type="dcterms:W3CDTF">2025-10-14T16:22:46Z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