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legal-memorandum"/>
    <w:p>
      <w:pPr>
        <w:pStyle w:val="1"/>
      </w:pPr>
      <w:r>
        <w:t xml:space="preserve">LEGAL MEMORANDUM</w:t>
      </w:r>
    </w:p>
    <w:bookmarkStart w:id="20" w:name="to-nnamdi-michael-okpala-obinexus"/>
    <w:p>
      <w:pPr>
        <w:pStyle w:val="2"/>
      </w:pPr>
      <w:r>
        <w:rPr>
          <w:b/>
          <w:bCs/>
        </w:rPr>
        <w:t xml:space="preserve">TO:</w:t>
      </w:r>
      <w:r>
        <w:t xml:space="preserve"> </w:t>
      </w:r>
      <w:r>
        <w:t xml:space="preserve">Nnamdi Michael Okpala (OBINexus)</w:t>
      </w:r>
    </w:p>
    <w:bookmarkEnd w:id="20"/>
    <w:bookmarkStart w:id="21" w:name="from-legal-research-governance-analysis"/>
    <w:p>
      <w:pPr>
        <w:pStyle w:val="2"/>
      </w:pPr>
      <w:r>
        <w:rPr>
          <w:b/>
          <w:bCs/>
        </w:rPr>
        <w:t xml:space="preserve">FROM:</w:t>
      </w:r>
      <w:r>
        <w:t xml:space="preserve"> </w:t>
      </w:r>
      <w:r>
        <w:t xml:space="preserve">Legal Research &amp; Governance Analysis</w:t>
      </w:r>
    </w:p>
    <w:bookmarkEnd w:id="21"/>
    <w:bookmarkStart w:id="22" w:name="date-10-july-2026"/>
    <w:p>
      <w:pPr>
        <w:pStyle w:val="2"/>
      </w:pPr>
      <w:r>
        <w:rPr>
          <w:b/>
          <w:bCs/>
        </w:rPr>
        <w:t xml:space="preserve">DATE:</w:t>
      </w:r>
      <w:r>
        <w:t xml:space="preserve"> </w:t>
      </w:r>
      <w:r>
        <w:t xml:space="preserve">10 July 2026</w:t>
      </w:r>
    </w:p>
    <w:bookmarkEnd w:id="22"/>
    <w:bookmarkStart w:id="23" w:name="X85102eb8ead46a6c900e7fb6c5097e10cd16f5d"/>
    <w:p>
      <w:pPr>
        <w:pStyle w:val="2"/>
      </w:pPr>
      <w:r>
        <w:rPr>
          <w:b/>
          <w:bCs/>
        </w:rPr>
        <w:t xml:space="preserve">RE:</w:t>
      </w:r>
      <w:r>
        <w:t xml:space="preserve"> </w:t>
      </w:r>
      <w:r>
        <w:t xml:space="preserve">Better Specification Argument — Comparative Analysis of Accountability Mechanisms Using Agile Governance Frameworks</w:t>
      </w:r>
    </w:p>
    <w:p>
      <w:r>
        <w:pict>
          <v:rect style="width:0;height:1.5pt" o:hralign="center" o:hrstd="t" o:hr="t"/>
        </w:pict>
      </w:r>
    </w:p>
    <w:bookmarkEnd w:id="23"/>
    <w:bookmarkStart w:id="24" w:name="executive-summary"/>
    <w:p>
      <w:pPr>
        <w:pStyle w:val="2"/>
      </w:pPr>
      <w:r>
        <w:t xml:space="preserve">EXECUTIVE SUMMARY</w:t>
      </w:r>
    </w:p>
    <w:p>
      <w:pPr>
        <w:pStyle w:val="FirstParagraph"/>
      </w:pPr>
      <w:r>
        <w:t xml:space="preserve">This memorandum develops the</w:t>
      </w:r>
      <w:r>
        <w:t xml:space="preserve"> </w:t>
      </w:r>
      <w:r>
        <w:t xml:space="preserve">“</w:t>
      </w:r>
      <w:r>
        <w:t xml:space="preserve">better specification</w:t>
      </w:r>
      <w:r>
        <w:t xml:space="preserve">”</w:t>
      </w:r>
      <w:r>
        <w:t xml:space="preserve"> </w:t>
      </w:r>
      <w:r>
        <w:t xml:space="preserve">argument articulated in your 10 July 2026 discourse on self-governance. It compares the accountability mechanisms of the</w:t>
      </w:r>
      <w:r>
        <w:t xml:space="preserve"> </w:t>
      </w:r>
      <w:r>
        <w:rPr>
          <w:b/>
          <w:bCs/>
        </w:rPr>
        <w:t xml:space="preserve">South-East Development Commission (Establishment) Act 2024</w:t>
      </w:r>
      <w:r>
        <w:t xml:space="preserve"> </w:t>
      </w:r>
      <w:r>
        <w:t xml:space="preserve">(</w:t>
      </w:r>
      <w:r>
        <w:t xml:space="preserve">“</w:t>
      </w:r>
      <w:r>
        <w:t xml:space="preserve">SEDC Act</w:t>
      </w:r>
      <w:r>
        <w:t xml:space="preserve">”</w:t>
      </w:r>
      <w:r>
        <w:t xml:space="preserve">) and the</w:t>
      </w:r>
      <w:r>
        <w:t xml:space="preserve"> </w:t>
      </w:r>
      <w:r>
        <w:rPr>
          <w:b/>
          <w:bCs/>
        </w:rPr>
        <w:t xml:space="preserve">Money Laundering (Prevention and Prohibition) Act 2022</w:t>
      </w:r>
      <w:r>
        <w:t xml:space="preserve"> </w:t>
      </w:r>
      <w:r>
        <w:t xml:space="preserve">(</w:t>
      </w:r>
      <w:r>
        <w:t xml:space="preserve">“</w:t>
      </w:r>
      <w:r>
        <w:t xml:space="preserve">MLPA 2022</w:t>
      </w:r>
      <w:r>
        <w:t xml:space="preserve">”</w:t>
      </w:r>
      <w:r>
        <w:t xml:space="preserve">) against an</w:t>
      </w:r>
      <w:r>
        <w:t xml:space="preserve"> </w:t>
      </w:r>
      <w:r>
        <w:rPr>
          <w:b/>
          <w:bCs/>
        </w:rPr>
        <w:t xml:space="preserve">Agile Governance Framework</w:t>
      </w:r>
      <w:r>
        <w:t xml:space="preserve"> </w:t>
      </w:r>
      <w:r>
        <w:t xml:space="preserve">(</w:t>
      </w:r>
      <w:r>
        <w:t xml:space="preserve">“</w:t>
      </w:r>
      <w:r>
        <w:t xml:space="preserve">AGF</w:t>
      </w:r>
      <w:r>
        <w:t xml:space="preserve">”</w:t>
      </w:r>
      <w:r>
        <w:t xml:space="preserve">) — a neurodivergent, ontology-based alternative specification. The analysis demonstrates that while the SEDC Act and MLPA 2022 establish baseline accountability, they suffer from structural rigidity, reactive enforcement, and path-dependent institutional design. The AGF proposes iterative, outcome-validated accountability that is both legally compliant and operationally superior.</w:t>
      </w:r>
    </w:p>
    <w:p>
      <w:pPr>
        <w:pStyle w:val="a0"/>
      </w:pPr>
      <w:r>
        <w:rPr>
          <w:b/>
          <w:bCs/>
        </w:rPr>
        <w:t xml:space="preserve">Thesis:</w:t>
      </w:r>
      <w:r>
        <w:t xml:space="preserve"> </w:t>
      </w:r>
      <w:r>
        <w:rPr>
          <w:i/>
          <w:iCs/>
        </w:rPr>
        <w:t xml:space="preserve">A governance specification is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better</w:t>
      </w:r>
      <w:r>
        <w:rPr>
          <w:i/>
          <w:iCs/>
        </w:rPr>
        <w:t xml:space="preserve">”</w:t>
      </w:r>
      <w:r>
        <w:rPr>
          <w:i/>
          <w:iCs/>
        </w:rPr>
        <w:t xml:space="preserve"> </w:t>
      </w:r>
      <w:r>
        <w:rPr>
          <w:i/>
          <w:iCs/>
        </w:rPr>
        <w:t xml:space="preserve">not when it replaces existing law, but when it demonstrates equivalent or superior accountability capacity through adaptive, transparent, and neurodiversity-affirming mechanisms.</w:t>
      </w:r>
    </w:p>
    <w:p>
      <w:r>
        <w:pict>
          <v:rect style="width:0;height:1.5pt" o:hralign="center" o:hrstd="t" o:hr="t"/>
        </w:pict>
      </w:r>
    </w:p>
    <w:bookmarkEnd w:id="24"/>
    <w:bookmarkStart w:id="28" w:name="X8e41c0641fd04739cc0dbd2290c0074e05d3a32"/>
    <w:p>
      <w:pPr>
        <w:pStyle w:val="2"/>
      </w:pPr>
      <w:r>
        <w:t xml:space="preserve">I. THE SPECIFICATION PROBLEM: WHAT MAKES A GOVERNANCE FRAMEWORK</w:t>
      </w:r>
      <w:r>
        <w:t xml:space="preserve"> </w:t>
      </w:r>
      <w:r>
        <w:t xml:space="preserve">“</w:t>
      </w:r>
      <w:r>
        <w:t xml:space="preserve">BETTER</w:t>
      </w:r>
      <w:r>
        <w:t xml:space="preserve">”</w:t>
      </w:r>
      <w:r>
        <w:t xml:space="preserve">?</w:t>
      </w:r>
    </w:p>
    <w:bookmarkStart w:id="25" w:name="the-binary-test-you-articulated"/>
    <w:p>
      <w:pPr>
        <w:pStyle w:val="3"/>
      </w:pPr>
      <w:r>
        <w:t xml:space="preserve">1.1 The Binary Test You Articulated</w:t>
      </w:r>
    </w:p>
    <w:p>
      <w:pPr>
        <w:pStyle w:val="FirstParagraph"/>
      </w:pPr>
      <w:r>
        <w:t xml:space="preserve">In your transcript, you posed the core legitimacy question:</w:t>
      </w:r>
    </w:p>
    <w:p>
      <w:pPr>
        <w:pStyle w:val="aa"/>
      </w:pPr>
      <w:r>
        <w:rPr>
          <w:i/>
          <w:iCs/>
        </w:rPr>
        <w:t xml:space="preserve">“</w:t>
      </w:r>
      <w:r>
        <w:rPr>
          <w:i/>
          <w:iCs/>
        </w:rPr>
        <w:t xml:space="preserve">Can you govern yourself? Can you not? It’s two ways, binary.</w:t>
      </w:r>
      <w:r>
        <w:rPr>
          <w:i/>
          <w:iCs/>
        </w:rPr>
        <w:t xml:space="preserve">”</w:t>
      </w:r>
    </w:p>
    <w:p>
      <w:pPr>
        <w:pStyle w:val="FirstParagraph"/>
      </w:pPr>
      <w:r>
        <w:t xml:space="preserve">This is not merely rhetorical. Under Nigerian constitutional law, the</w:t>
      </w:r>
      <w:r>
        <w:t xml:space="preserve"> </w:t>
      </w:r>
      <w:r>
        <w:rPr>
          <w:b/>
          <w:bCs/>
        </w:rPr>
        <w:t xml:space="preserve">doctrine of residual powers</w:t>
      </w:r>
      <w:r>
        <w:t xml:space="preserve"> </w:t>
      </w:r>
      <w:r>
        <w:t xml:space="preserve">(Section 4, 1999 Constitution) reserves certain governance functions to the federal government. However,</w:t>
      </w:r>
      <w:r>
        <w:t xml:space="preserve"> </w:t>
      </w:r>
      <w:r>
        <w:rPr>
          <w:b/>
          <w:bCs/>
        </w:rPr>
        <w:t xml:space="preserve">self-governance capacity</w:t>
      </w:r>
      <w:r>
        <w:t xml:space="preserve"> </w:t>
      </w:r>
      <w:r>
        <w:t xml:space="preserve">is the threshold test for: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Community development autonomy</w:t>
      </w:r>
      <w:r>
        <w:t xml:space="preserve"> </w:t>
      </w:r>
      <w:r>
        <w:t xml:space="preserve">under the SEDC Act (Section 8)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Corporate self-regulation</w:t>
      </w:r>
      <w:r>
        <w:t xml:space="preserve"> </w:t>
      </w:r>
      <w:r>
        <w:t xml:space="preserve">under the Companies and Allied Matters Act 2020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Indigenous rights frameworks</w:t>
      </w:r>
      <w:r>
        <w:t xml:space="preserve"> </w:t>
      </w:r>
      <w:r>
        <w:t xml:space="preserve">under international human rights instruments</w:t>
      </w:r>
    </w:p>
    <w:p>
      <w:pPr>
        <w:pStyle w:val="a0"/>
      </w:pPr>
      <w:r>
        <w:t xml:space="preserve">The</w:t>
      </w:r>
      <w:r>
        <w:t xml:space="preserve"> </w:t>
      </w:r>
      <w:r>
        <w:t xml:space="preserve">“</w:t>
      </w:r>
      <w:r>
        <w:t xml:space="preserve">better specification</w:t>
      </w:r>
      <w:r>
        <w:t xml:space="preserve">”</w:t>
      </w:r>
      <w:r>
        <w:t xml:space="preserve"> </w:t>
      </w:r>
      <w:r>
        <w:t xml:space="preserve">must therefore demonstrate: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Compliance equivalence</w:t>
      </w:r>
      <w:r>
        <w:t xml:space="preserve"> </w:t>
      </w:r>
      <w:r>
        <w:t xml:space="preserve">— meeting or exceeding statutory accountability thresholds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Operational superiority</w:t>
      </w:r>
      <w:r>
        <w:t xml:space="preserve"> </w:t>
      </w:r>
      <w:r>
        <w:t xml:space="preserve">— faster detection, correction, and adaptation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Ontological alignment</w:t>
      </w:r>
      <w:r>
        <w:t xml:space="preserve"> </w:t>
      </w:r>
      <w:r>
        <w:t xml:space="preserve">— reflecting the actual cognitive diversity of the governed community</w:t>
      </w:r>
    </w:p>
    <w:bookmarkEnd w:id="25"/>
    <w:bookmarkStart w:id="26" w:name="the-sedc-act-as-baseline-specification"/>
    <w:p>
      <w:pPr>
        <w:pStyle w:val="3"/>
      </w:pPr>
      <w:r>
        <w:t xml:space="preserve">1.2 The SEDC Act as Baseline Specification</w:t>
      </w:r>
    </w:p>
    <w:p>
      <w:pPr>
        <w:pStyle w:val="FirstParagraph"/>
      </w:pPr>
      <w:r>
        <w:t xml:space="preserve">The SEDC Act establishes the following accountability architecture: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Accountability 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SEDC Act Provision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Mechanism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Frequency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Board Membership 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Disqualification triggers (unsound mind, bankruptcy, fraud, misconduct, professional suspension)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Event-driven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Managing Director Qualification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13(1)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Indigenous status + presidential appointment + Senate 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Appointment 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Chairman Rotation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Alphabetical rotation among member states (Abia → Anambra → Ebonyi → Enugu → Imo)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4-year term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 Oversight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 management + quarterly reports (Section 20) + annual reports (Section 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Quarterly/Annual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monitoring of Commission activities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Presidential 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Commission subject to presidential direction, control, and supervision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</w:tr>
    </w:tbl>
    <w:p>
      <w:pPr>
        <w:pStyle w:val="a0"/>
      </w:pPr>
      <w:r>
        <w:rPr>
          <w:b/>
          <w:bCs/>
        </w:rPr>
        <w:t xml:space="preserve">Critical Observation:</w:t>
      </w:r>
      <w:r>
        <w:t xml:space="preserve"> </w:t>
      </w:r>
      <w:r>
        <w:t xml:space="preserve">The SEDC Act’s accountability mechanisms are</w:t>
      </w:r>
      <w:r>
        <w:t xml:space="preserve"> </w:t>
      </w:r>
      <w:r>
        <w:rPr>
          <w:b/>
          <w:bCs/>
        </w:rPr>
        <w:t xml:space="preserve">phase-gated</w:t>
      </w:r>
      <w:r>
        <w:t xml:space="preserve"> </w:t>
      </w:r>
      <w:r>
        <w:t xml:space="preserve">— they operate at discrete intervals (appointment, quarterly reports, annual audits) rather than continuously. This creates</w:t>
      </w:r>
      <w:r>
        <w:t xml:space="preserve"> </w:t>
      </w:r>
      <w:r>
        <w:rPr>
          <w:b/>
          <w:bCs/>
        </w:rPr>
        <w:t xml:space="preserve">compliance blind spots</w:t>
      </w:r>
      <w:r>
        <w:t xml:space="preserve"> </w:t>
      </w:r>
      <w:r>
        <w:t xml:space="preserve">between checkpoints.</w:t>
      </w:r>
    </w:p>
    <w:bookmarkEnd w:id="26"/>
    <w:bookmarkStart w:id="27" w:name="Xf2e61d5d8b4e37376f832a9a2b70be40bf7e00a"/>
    <w:p>
      <w:pPr>
        <w:pStyle w:val="3"/>
      </w:pPr>
      <w:r>
        <w:t xml:space="preserve">1.3 The MLPA 2022 as Financial Accountability Baseline</w:t>
      </w:r>
    </w:p>
    <w:p>
      <w:pPr>
        <w:pStyle w:val="FirstParagraph"/>
      </w:pPr>
      <w:r>
        <w:t xml:space="preserve">The MLPA 2022 establishes: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Reporting Obligation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Penalty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Section 2(1)(a) — Individual cash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₦5,000,000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route through financial 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Criminal offence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Section 2(1)(b) — Corporate cash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₦10,000,000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route through financial 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Criminal offence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Section 2(2) — Structuring prohibition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Prohibition on splitting transactions to evade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Criminal offence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Section 3 — International transfers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US$10,000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to NFIU, CBN, SEC within 1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Forfeiture + 2 years imprisonment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Section 11 — Mandatory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₦5M/₦10M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to SCUML within 7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₦250,000–₦1,000,000 per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Section 10 — Internal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institutions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officer + training + audit unit + centralised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Licence suspension</w:t>
            </w:r>
          </w:p>
        </w:tc>
      </w:tr>
    </w:tbl>
    <w:p>
      <w:pPr>
        <w:pStyle w:val="a0"/>
      </w:pPr>
      <w:r>
        <w:rPr>
          <w:b/>
          <w:bCs/>
        </w:rPr>
        <w:t xml:space="preserve">Critical Observation:</w:t>
      </w:r>
      <w:r>
        <w:t xml:space="preserve"> </w:t>
      </w:r>
      <w:r>
        <w:t xml:space="preserve">The MLPA 2022 is</w:t>
      </w:r>
      <w:r>
        <w:t xml:space="preserve"> </w:t>
      </w:r>
      <w:r>
        <w:rPr>
          <w:b/>
          <w:bCs/>
        </w:rPr>
        <w:t xml:space="preserve">reactive</w:t>
      </w:r>
      <w:r>
        <w:t xml:space="preserve"> </w:t>
      </w:r>
      <w:r>
        <w:t xml:space="preserve">— it detects violations after they occur, rather than preventing them through real-time monitoring. The 7-day reporting window (Section 11) and the 1-day international transfer window (Section 3) create</w:t>
      </w:r>
      <w:r>
        <w:t xml:space="preserve"> </w:t>
      </w:r>
      <w:r>
        <w:rPr>
          <w:b/>
          <w:bCs/>
        </w:rPr>
        <w:t xml:space="preserve">enforcement latency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X698a222d329b8703a03153599c8638f0bc91a19"/>
    <w:p>
      <w:pPr>
        <w:pStyle w:val="2"/>
      </w:pPr>
      <w:r>
        <w:t xml:space="preserve">II. THE AGILE GOVERNANCE FRAMEWORK (AGF): A</w:t>
      </w:r>
      <w:r>
        <w:t xml:space="preserve"> </w:t>
      </w:r>
      <w:r>
        <w:t xml:space="preserve">“</w:t>
      </w:r>
      <w:r>
        <w:t xml:space="preserve">BETTER SPECIFICATION</w:t>
      </w:r>
      <w:r>
        <w:t xml:space="preserve">”</w:t>
      </w:r>
    </w:p>
    <w:bookmarkStart w:id="29" w:name="X9f42e31fbb6aec572c55f7fc714e36c56ce5635"/>
    <w:p>
      <w:pPr>
        <w:pStyle w:val="3"/>
      </w:pPr>
      <w:r>
        <w:t xml:space="preserve">2.1 Agile Governance Principles Applied to Accountability</w:t>
      </w:r>
    </w:p>
    <w:p>
      <w:pPr>
        <w:pStyle w:val="FirstParagraph"/>
      </w:pPr>
      <w:r>
        <w:t xml:space="preserve">Agile governance, as developed in regulated environments (healthcare, finance, aerospace), redefines compliance from</w:t>
      </w:r>
      <w:r>
        <w:t xml:space="preserve"> </w:t>
      </w:r>
      <w:r>
        <w:t xml:space="preserve">“</w:t>
      </w:r>
      <w:r>
        <w:t xml:space="preserve">process following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outcome achievement</w:t>
      </w:r>
      <w:r>
        <w:t xml:space="preserve">”</w:t>
      </w:r>
      <w:r>
        <w:t xml:space="preserve"> </w:t>
      </w:r>
      <w:r>
        <w:t xml:space="preserve">through iterative validation. The key principles are: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Agile Principle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Traditional Governance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Agile Governance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Application to SEDC/MLPA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Iterative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Phase-gated reviews (annual/quarterly)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Sprint-level compliance checks (weekly/bi-weekly)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annual board reviews with continuous integrity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Outcome over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 completeness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accountability demonstrated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Shift from report submission to real-time transparency dashboards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Cross-functional teams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Siloed departments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Integrated compliance + operations + community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 SEDC directorates into agile squads with community representation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Adaptive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multi-year plans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Rolling forecasts with quarterly re-prioritisation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SEDC budget reallocation based on real-time development 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Automated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audit trails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Coded compliance tests triggered by 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 MLPA thresholds into smart contracts for automatic flagging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Feedback loops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Post-hoc investigations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anomaly detection + immediate corrective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7-day SCUML reporting with instant NFIU API integration</w:t>
            </w:r>
          </w:p>
        </w:tc>
      </w:tr>
    </w:tbl>
    <w:bookmarkEnd w:id="29"/>
    <w:bookmarkStart w:id="30" w:name="X1ee825361ddc9e287dc92ea7367e2e2acc6d50d"/>
    <w:p>
      <w:pPr>
        <w:pStyle w:val="3"/>
      </w:pPr>
      <w:r>
        <w:t xml:space="preserve">2.2 The OBI Nexus AGF: Tripartite Accountability Structure</w:t>
      </w:r>
    </w:p>
    <w:p>
      <w:pPr>
        <w:pStyle w:val="FirstParagraph"/>
      </w:pPr>
      <w:r>
        <w:t xml:space="preserve">Your framework —</w:t>
      </w:r>
      <w:r>
        <w:t xml:space="preserve"> </w:t>
      </w:r>
      <w:r>
        <w:rPr>
          <w:b/>
          <w:bCs/>
        </w:rPr>
        <w:t xml:space="preserve">Oha (Community) × Iwu (Bilateral Law) × Iji (Order/Consensus)</w:t>
      </w:r>
      <w:r>
        <w:t xml:space="preserve"> </w:t>
      </w:r>
      <w:r>
        <w:t xml:space="preserve">— maps directly onto agile governance: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OBI NEXUS AGF — ACCOUNTABILITY STACK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LAYER 3: IJI (Order / Unilateral Consensus)                   │</w:t>
      </w:r>
      <w:r>
        <w:br/>
      </w:r>
      <w:r>
        <w:rPr>
          <w:rStyle w:val="VerbatimChar"/>
        </w:rPr>
        <w:t xml:space="preserve">│  ├─ Automated compliance triggers (smart contracts)            │</w:t>
      </w:r>
      <w:r>
        <w:br/>
      </w:r>
      <w:r>
        <w:rPr>
          <w:rStyle w:val="VerbatimChar"/>
        </w:rPr>
        <w:t xml:space="preserve">│  ├─ Real-time anomaly detection (AI/ML monitoring)               │</w:t>
      </w:r>
      <w:r>
        <w:br/>
      </w:r>
      <w:r>
        <w:rPr>
          <w:rStyle w:val="VerbatimChar"/>
        </w:rPr>
        <w:t xml:space="preserve">│  ├─ Instant corrective action protocols                        │</w:t>
      </w:r>
      <w:r>
        <w:br/>
      </w:r>
      <w:r>
        <w:rPr>
          <w:rStyle w:val="VerbatimChar"/>
        </w:rPr>
        <w:t xml:space="preserve">│  └─ Cadence: Continuous (sub-second to daily)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LAYER 2: IWU (Bilateral Law / Mutual Obligation)              │</w:t>
      </w:r>
      <w:r>
        <w:br/>
      </w:r>
      <w:r>
        <w:rPr>
          <w:rStyle w:val="VerbatimChar"/>
        </w:rPr>
        <w:t xml:space="preserve">│  ├─ Sprint-level governance reviews (2-week cycles)              │</w:t>
      </w:r>
      <w:r>
        <w:br/>
      </w:r>
      <w:r>
        <w:rPr>
          <w:rStyle w:val="VerbatimChar"/>
        </w:rPr>
        <w:t xml:space="preserve">│  ├─ Cross-functional accountability squads                       │</w:t>
      </w:r>
      <w:r>
        <w:br/>
      </w:r>
      <w:r>
        <w:rPr>
          <w:rStyle w:val="VerbatimChar"/>
        </w:rPr>
        <w:t xml:space="preserve">│  ├─ Community-validated compliance evidence                    │</w:t>
      </w:r>
      <w:r>
        <w:br/>
      </w:r>
      <w:r>
        <w:rPr>
          <w:rStyle w:val="VerbatimChar"/>
        </w:rPr>
        <w:t xml:space="preserve">│  └─ Cadence: Bi-weekly to monthly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LAYER 1: OHA (Community / Ontological Grounding)              │</w:t>
      </w:r>
      <w:r>
        <w:br/>
      </w:r>
      <w:r>
        <w:rPr>
          <w:rStyle w:val="VerbatimChar"/>
        </w:rPr>
        <w:t xml:space="preserve">│  ├─ Neurodivergent policy design (cognitive accessibility)     │</w:t>
      </w:r>
      <w:r>
        <w:br/>
      </w:r>
      <w:r>
        <w:rPr>
          <w:rStyle w:val="VerbatimChar"/>
        </w:rPr>
        <w:t xml:space="preserve">│  ├─ Indigenous knowledge integration (Anambra/Southeast context)  │</w:t>
      </w:r>
      <w:r>
        <w:br/>
      </w:r>
      <w:r>
        <w:rPr>
          <w:rStyle w:val="VerbatimChar"/>
        </w:rPr>
        <w:t xml:space="preserve">│  ├─ Participatory budgeting &amp; priority-setting                   │</w:t>
      </w:r>
      <w:r>
        <w:br/>
      </w:r>
      <w:r>
        <w:rPr>
          <w:rStyle w:val="VerbatimChar"/>
        </w:rPr>
        <w:t xml:space="preserve">│  └─ Cadence: Quarterly strategic alignment + continuous feedback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X9bb87aac4fe9f4e60ce756df8d267b3b33eb92a"/>
    <w:p>
      <w:pPr>
        <w:pStyle w:val="2"/>
      </w:pPr>
      <w:r>
        <w:t xml:space="preserve">III. COMPARATIVE ANALYSIS: SEDC ACT vs. AGF</w:t>
      </w:r>
    </w:p>
    <w:bookmarkStart w:id="32" w:name="X0ea7d9724ef400d3008718c0c45b6a87dce5524"/>
    <w:p>
      <w:pPr>
        <w:pStyle w:val="3"/>
      </w:pPr>
      <w:r>
        <w:t xml:space="preserve">3.1 Board Membership Integrity (SEDC Act Section 6 vs. AGF Layer 3)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SEDC Act Section 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AGF Layer 3 (Iji)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Event-driven (post-hoc disqualification)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monitoring + predictive risk scoring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AGF detects risk before disqualification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Grounds for removal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list (unsound mind, bankruptcy, fraud,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risk matrix + community-validated behavioural indicators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AGF captures emerging risks not in statutory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Unsound mind</w:t>
            </w:r>
            <w:r>
              <w:rPr>
                <w:b/>
                <w:bCs/>
              </w:rPr>
              <w:t xml:space="preserve">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interpretation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Pathologising — medical/psychiatric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Neurodiversity-affirming — cognitive accessibility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AGF aligns with your neurodivergent ontology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Bankruptcy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Self-reported or creditor-initiated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financial monitoring + automated flagging at 50% debt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AGF prevents rather than reacts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Fraud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Conviction-based (post-prosecution)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 recognition + community whistleblower protocols + pre-emptive suspension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AGF reduces harm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Professional suspension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regulatory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credential verification + automated 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AGF eliminates information 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Enforcement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Months (presidential action + Senate confirmation for replacement)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 (automated suspension + community review panel)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AGF is 100x+ faster</w:t>
            </w:r>
          </w:p>
        </w:tc>
      </w:tr>
    </w:tbl>
    <w:p>
      <w:pPr>
        <w:pStyle w:val="a0"/>
      </w:pPr>
      <w:r>
        <w:rPr>
          <w:b/>
          <w:bCs/>
        </w:rPr>
        <w:t xml:space="preserve">Legal Compliance Note:</w:t>
      </w:r>
      <w:r>
        <w:t xml:space="preserve"> </w:t>
      </w:r>
      <w:r>
        <w:t xml:space="preserve">The AGF does not</w:t>
      </w:r>
      <w:r>
        <w:t xml:space="preserve"> </w:t>
      </w:r>
      <w:r>
        <w:rPr>
          <w:i/>
          <w:iCs/>
        </w:rPr>
        <w:t xml:space="preserve">replace</w:t>
      </w:r>
      <w:r>
        <w:t xml:space="preserve"> </w:t>
      </w:r>
      <w:r>
        <w:t xml:space="preserve">Section 6 disqualification — it</w:t>
      </w:r>
      <w:r>
        <w:t xml:space="preserve"> </w:t>
      </w:r>
      <w:r>
        <w:rPr>
          <w:i/>
          <w:iCs/>
        </w:rPr>
        <w:t xml:space="preserve">operationalises</w:t>
      </w:r>
      <w:r>
        <w:t xml:space="preserve"> </w:t>
      </w:r>
      <w:r>
        <w:t xml:space="preserve">it through continuous monitoring, ensuring that disqualification events are detected and acted upon at the earliest possible moment, consistent with the Act’s intent.</w:t>
      </w:r>
    </w:p>
    <w:bookmarkEnd w:id="32"/>
    <w:bookmarkStart w:id="33" w:name="X38d993550add0e9d66a0fc3940a2d404cd8c234"/>
    <w:p>
      <w:pPr>
        <w:pStyle w:val="3"/>
      </w:pPr>
      <w:r>
        <w:t xml:space="preserve">3.2 Managing Director Accountability (SEDC Act Section 13 vs. AGF Layer 2)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SEDC Act Section 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AGF Layer 2 (Iwu)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Qualification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Indigenous status +</w:t>
            </w:r>
            <w:r>
              <w:t xml:space="preserve"> </w:t>
            </w:r>
            <w:r>
              <w:t xml:space="preserve">“</w:t>
            </w:r>
            <w:r>
              <w:t xml:space="preserve">appropriate qualifications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Indigenous status + demonstrated sprint delivery + community endorsement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AGF adds performance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Appointment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Presidential + Senate (political process)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 nomination + presidential ratification + Senate 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AGF adds bottom-up legitimacy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4 years (renewable once)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Rolling 2-year terms with quarterly performance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AGF reduces entrenchment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Alphabetical among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Merit-based rotation with community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AGF balances equity with competence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Accounting officer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point of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 accountability across squads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AGF increases resilience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+ Annual (lagging indicators)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dashboard + bi-weekly sprint reviews (leading indicators)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AGF improves decision speed</w:t>
            </w:r>
          </w:p>
        </w:tc>
      </w:tr>
    </w:tbl>
    <w:p>
      <w:pPr>
        <w:pStyle w:val="a0"/>
      </w:pPr>
      <w:r>
        <w:rPr>
          <w:b/>
          <w:bCs/>
        </w:rPr>
        <w:t xml:space="preserve">Critical Gap in SEDC Act:</w:t>
      </w:r>
      <w:r>
        <w:t xml:space="preserve"> </w:t>
      </w:r>
      <w:r>
        <w:t xml:space="preserve">Section 13 requires the Managing Director to be</w:t>
      </w:r>
      <w:r>
        <w:t xml:space="preserve"> </w:t>
      </w:r>
      <w:r>
        <w:t xml:space="preserve">“</w:t>
      </w:r>
      <w:r>
        <w:t xml:space="preserve">an indigene of any of the South-East states</w:t>
      </w:r>
      <w:r>
        <w:t xml:space="preserve">”</w:t>
      </w:r>
      <w:r>
        <w:t xml:space="preserve"> </w:t>
      </w:r>
      <w:r>
        <w:t xml:space="preserve">with</w:t>
      </w:r>
      <w:r>
        <w:t xml:space="preserve"> </w:t>
      </w:r>
      <w:r>
        <w:t xml:space="preserve">“</w:t>
      </w:r>
      <w:r>
        <w:t xml:space="preserve">qualifications and experience appropriate for a person required to perform the functions of that office.</w:t>
      </w:r>
      <w:r>
        <w:t xml:space="preserve">”</w:t>
      </w:r>
      <w:r>
        <w:t xml:space="preserve"> </w:t>
      </w:r>
      <w:r>
        <w:t xml:space="preserve">However, there is</w:t>
      </w:r>
      <w:r>
        <w:t xml:space="preserve"> </w:t>
      </w:r>
      <w:r>
        <w:rPr>
          <w:b/>
          <w:bCs/>
        </w:rPr>
        <w:t xml:space="preserve">no ongoing performance measurement</w:t>
      </w:r>
      <w:r>
        <w:t xml:space="preserve"> </w:t>
      </w:r>
      <w:r>
        <w:t xml:space="preserve">— only disqualification triggers. The AGF closes this gap through continuous sprint validation.</w:t>
      </w:r>
    </w:p>
    <w:bookmarkEnd w:id="33"/>
    <w:bookmarkStart w:id="34" w:name="Xb745f5cabcba65ff4321c942e7a509e405a6f4c"/>
    <w:p>
      <w:pPr>
        <w:pStyle w:val="3"/>
      </w:pPr>
      <w:r>
        <w:t xml:space="preserve">3.3 Financial Accountability (MLPA 2022 vs. AGF Layer 3)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MLPA 2022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AGF Layer 3 (Iji)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Cash threshold (individual)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₦5,000,000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₦2,500,000 (reduced) + automated flagging at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AGF is more conservative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Cash threshold (corporate)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₦10,000,000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₦5,000,000 (reduced) + automated flagging at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AGF is more conservative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Structuring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Prohibited but manually investigated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Algorithmic pattern detection + real-time blocking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AGF prevents rather than punishes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Reporting 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days (Section 11) / 1 day (Section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Instant (API-integrated with NFIU)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AGF eliminates latency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Internal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officer + training + audit unit (Section 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compliance tests + continuous training + community oversight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AGF reduces overhead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Penalty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Post-hoc fines + imprisonment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Pre-emptive transaction blocking + restorative justice protocols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AGF reduces systemic harm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International transfers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US$10,000 threshold + manual declaration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US$5,000 threshold + automated reporting + biometric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AGF is more robust</w:t>
            </w:r>
          </w:p>
        </w:tc>
      </w:tr>
    </w:tbl>
    <w:p>
      <w:pPr>
        <w:pStyle w:val="a0"/>
      </w:pPr>
      <w:r>
        <w:rPr>
          <w:b/>
          <w:bCs/>
        </w:rPr>
        <w:t xml:space="preserve">Your Observation Validated:</w:t>
      </w:r>
      <w:r>
        <w:t xml:space="preserve"> </w:t>
      </w:r>
      <w:r>
        <w:t xml:space="preserve">You noted in your transcript that the ₦5M/₦10M thresholds should be tightened. The AGF implements this through a</w:t>
      </w:r>
      <w:r>
        <w:t xml:space="preserve"> </w:t>
      </w:r>
      <w:r>
        <w:rPr>
          <w:b/>
          <w:bCs/>
        </w:rPr>
        <w:t xml:space="preserve">50% early-warning system</w:t>
      </w:r>
      <w:r>
        <w:t xml:space="preserve"> </w:t>
      </w:r>
      <w:r>
        <w:t xml:space="preserve">— flagging at ₦2.5M (individual) and ₦5M (corporate) before the statutory limit is reached. This is legally compliant (the Act sets maximums, not minimums) and operationally superior.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Xd5bc217a56ca78b9a70f31516ad7cdd34343ce9"/>
    <w:p>
      <w:pPr>
        <w:pStyle w:val="2"/>
      </w:pPr>
      <w:r>
        <w:t xml:space="preserve">IV. THE AGILE GOVERNANCE CADENCE FOR OBI NEXUS</w:t>
      </w:r>
    </w:p>
    <w:bookmarkStart w:id="36" w:name="proposed-governance-rhythm"/>
    <w:p>
      <w:pPr>
        <w:pStyle w:val="3"/>
      </w:pPr>
      <w:r>
        <w:t xml:space="preserve">4.1 Proposed Governance Rhythm</w:t>
      </w:r>
    </w:p>
    <w:p>
      <w:pPr>
        <w:pStyle w:val="FirstParagraph"/>
      </w:pPr>
      <w:r>
        <w:t xml:space="preserve">Based on agile governance best practices in regulated environments, the following cadence is proposed for OBI Nexus operations: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Participants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Outputs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Daily (15 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Coordinate immediate priorities, flag blockers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Squad leads (Admin, Community, Infrastructure, Finance, Legal)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kanban board, risk flags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Bi-weekly Sprint Review (2 hrs)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Demonstrate working accountability, review compliance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squad + community representatives + external auditors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compliance report, community feedback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Monthly Governance Review (4 hrs)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outcomes, investment health, risk 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owners, delivery leads, technical authority, risk specialists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adaptation decisions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Quarterly Strategic Alignment (1 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Reassess portfolio priorities, funding, strategic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 leadership, community elders, legal counsel, SEDC liaison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roadmap, budget reallocation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Continuous (Automated)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transaction monitoring, anomaly detection, compliance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AI/ML systems, smart contracts, community validators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Instant alerts, automated blocking</w:t>
            </w:r>
          </w:p>
        </w:tc>
      </w:tr>
    </w:tbl>
    <w:bookmarkEnd w:id="36"/>
    <w:bookmarkStart w:id="37" w:name="Xf9bd691f7373d85d4c47c1a08d506b8cf07ddfe"/>
    <w:p>
      <w:pPr>
        <w:pStyle w:val="3"/>
      </w:pPr>
      <w:r>
        <w:t xml:space="preserve">4.2 Compliance as Code: Embedding MLPA 2022 into Smart Contracts</w:t>
      </w:r>
    </w:p>
    <w:p>
      <w:pPr>
        <w:pStyle w:val="FirstParagraph"/>
      </w:pPr>
      <w:r>
        <w:t xml:space="preserve">The MLPA 2022 thresholds can be encoded as</w:t>
      </w:r>
      <w:r>
        <w:t xml:space="preserve"> </w:t>
      </w:r>
      <w:r>
        <w:rPr>
          <w:b/>
          <w:bCs/>
        </w:rPr>
        <w:t xml:space="preserve">automated compliance rules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Pseudocode: OBI Nexus Compliance Engine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ComplianceEngine:</w:t>
      </w:r>
      <w:r>
        <w:br/>
      </w:r>
      <w:r>
        <w:rPr>
          <w:rStyle w:val="NormalTok"/>
        </w:rPr>
        <w:t xml:space="preserve">    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'individual_cash'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5_000_000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MLPA Section 2(1)(a)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'corporate_cash'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10_000_000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MLPA Section 2(1)(b)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'individual_early_warning'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2_500_000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AGF enhancement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'corporate_early_warning'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5_000_000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AGF enhancement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'international_transfer'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USD, MLPA Section 3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'reporting_window_domestic'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days, MLPA Section 11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'reporting_window_international'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days, MLPA Section 3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validate_transaction(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transaction):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Layer 3 (Iji): Instant validation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transaction.amount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.THRESHOLDS[</w:t>
      </w:r>
      <w:r>
        <w:rPr>
          <w:rStyle w:val="StringTok"/>
        </w:rPr>
        <w:t xml:space="preserve">'individual_cash'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.block_and_report(transaction, </w:t>
      </w:r>
      <w:r>
        <w:rPr>
          <w:rStyle w:val="StringTok"/>
        </w:rPr>
        <w:t xml:space="preserve">'MLPA_S2_1_A'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transaction.amount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.THRESHOLDS[</w:t>
      </w:r>
      <w:r>
        <w:rPr>
          <w:rStyle w:val="StringTok"/>
        </w:rPr>
        <w:t xml:space="preserve">'individual_early_warning'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.flag_for_review(transaction, </w:t>
      </w:r>
      <w:r>
        <w:rPr>
          <w:rStyle w:val="StringTok"/>
        </w:rPr>
        <w:t xml:space="preserve">'AGF_EARLY_WARNING'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Structuring detection (MLPA Section 2(2))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.detect_structuring(transaction.actor, time_window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'24h'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.block_and_report(transaction, </w:t>
      </w:r>
      <w:r>
        <w:rPr>
          <w:rStyle w:val="StringTok"/>
        </w:rPr>
        <w:t xml:space="preserve">'MLPA_S2_2'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.approve(transaction)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detect_structuring(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actor, time_window):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Algorithmic pattern detection</w:t>
      </w:r>
      <w:r>
        <w:br/>
      </w:r>
      <w:r>
        <w:rPr>
          <w:rStyle w:val="NormalTok"/>
        </w:rPr>
        <w:t xml:space="preserve">        recent_transactions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.get_recent_transactions(actor, time_window)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.pattern_analysis(recent_transactions, threshold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.THRESHOLDS[</w:t>
      </w:r>
      <w:r>
        <w:rPr>
          <w:rStyle w:val="StringTok"/>
        </w:rPr>
        <w:t xml:space="preserve">'individual_cash'</w:t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This approach: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Exceeds</w:t>
      </w:r>
      <w:r>
        <w:t xml:space="preserve"> </w:t>
      </w:r>
      <w:r>
        <w:t xml:space="preserve">MLPA 2022 requirements by adding early-warning thresholds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Automates</w:t>
      </w:r>
      <w:r>
        <w:t xml:space="preserve"> </w:t>
      </w:r>
      <w:r>
        <w:t xml:space="preserve">Section 11 reporting (7-day window → instant)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Prevents</w:t>
      </w:r>
      <w:r>
        <w:t xml:space="preserve"> </w:t>
      </w:r>
      <w:r>
        <w:t xml:space="preserve">Section 2(2) structuring through real-time pattern detection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Maintains</w:t>
      </w:r>
      <w:r>
        <w:t xml:space="preserve"> </w:t>
      </w:r>
      <w:r>
        <w:t xml:space="preserve">full audit trails for regulatory inspection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X8a99f965321a051cacfb8d26d153acd285390b6"/>
    <w:p>
      <w:pPr>
        <w:pStyle w:val="2"/>
      </w:pPr>
      <w:r>
        <w:t xml:space="preserve">V. NEURODIVERGENT ACCOUNTABILITY: THE ONTOLOGICAL LAYER</w:t>
      </w:r>
    </w:p>
    <w:bookmarkStart w:id="39" w:name="the-problem-with-unsound-mind"/>
    <w:p>
      <w:pPr>
        <w:pStyle w:val="3"/>
      </w:pPr>
      <w:r>
        <w:t xml:space="preserve">5.1 The Problem with</w:t>
      </w:r>
      <w:r>
        <w:t xml:space="preserve"> </w:t>
      </w:r>
      <w:r>
        <w:t xml:space="preserve">“</w:t>
      </w:r>
      <w:r>
        <w:t xml:space="preserve">Unsound Mind</w:t>
      </w:r>
      <w:r>
        <w:t xml:space="preserve">”</w:t>
      </w:r>
    </w:p>
    <w:p>
      <w:pPr>
        <w:pStyle w:val="FirstParagraph"/>
      </w:pPr>
      <w:r>
        <w:t xml:space="preserve">SEDC Act Section 6(2)(a) disqualifies board members who</w:t>
      </w:r>
      <w:r>
        <w:t xml:space="preserve"> </w:t>
      </w:r>
      <w:r>
        <w:t xml:space="preserve">“</w:t>
      </w:r>
      <w:r>
        <w:t xml:space="preserve">become of unsound mind, or incapable of discharging his duties.</w:t>
      </w:r>
      <w:r>
        <w:t xml:space="preserve">”</w:t>
      </w:r>
      <w:r>
        <w:t xml:space="preserve"> </w:t>
      </w:r>
      <w:r>
        <w:t xml:space="preserve">This provision: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Pathologises</w:t>
      </w:r>
      <w:r>
        <w:t xml:space="preserve"> </w:t>
      </w:r>
      <w:r>
        <w:t xml:space="preserve">cognitive difference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Lacks procedural specificity</w:t>
      </w:r>
      <w:r>
        <w:t xml:space="preserve"> </w:t>
      </w:r>
      <w:r>
        <w:t xml:space="preserve">— who determines</w:t>
      </w:r>
      <w:r>
        <w:t xml:space="preserve"> </w:t>
      </w:r>
      <w:r>
        <w:t xml:space="preserve">“</w:t>
      </w:r>
      <w:r>
        <w:t xml:space="preserve">unsound mind</w:t>
      </w:r>
      <w:r>
        <w:t xml:space="preserve">”</w:t>
      </w:r>
      <w:r>
        <w:t xml:space="preserve">? By what standard?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Creates vulnerability</w:t>
      </w:r>
      <w:r>
        <w:t xml:space="preserve"> </w:t>
      </w:r>
      <w:r>
        <w:t xml:space="preserve">— political opponents can weaponise psychiatric assessment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Excludes neurodivergent competence</w:t>
      </w:r>
      <w:r>
        <w:t xml:space="preserve"> </w:t>
      </w:r>
      <w:r>
        <w:t xml:space="preserve">— autism, ADHD, dyslexia, etc. may be misclassified</w:t>
      </w:r>
    </w:p>
    <w:bookmarkEnd w:id="39"/>
    <w:bookmarkStart w:id="40" w:name="X0a0d7a8bc32aec60958c25b0706c64c123e6328"/>
    <w:p>
      <w:pPr>
        <w:pStyle w:val="3"/>
      </w:pPr>
      <w:r>
        <w:t xml:space="preserve">5.2 AGF Alternative: Cognitive Accessibility Audit</w:t>
      </w:r>
    </w:p>
    <w:p>
      <w:pPr>
        <w:pStyle w:val="FirstParagraph"/>
      </w:pPr>
      <w:r>
        <w:t xml:space="preserve">The AGF replaces</w:t>
      </w:r>
      <w:r>
        <w:t xml:space="preserve"> </w:t>
      </w:r>
      <w:r>
        <w:t xml:space="preserve">“</w:t>
      </w:r>
      <w:r>
        <w:t xml:space="preserve">unsound mind</w:t>
      </w:r>
      <w:r>
        <w:t xml:space="preserve">”</w:t>
      </w:r>
      <w:r>
        <w:t xml:space="preserve"> </w:t>
      </w:r>
      <w:r>
        <w:t xml:space="preserve">assessment with: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Traditional Approach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AGF Approach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Legal Basis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Psychiatric evaluation by medical professional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Neurodiversity-affirming cognitive accessibility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Convention on Rights of Persons with Disabilities (CRPD) Article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Binary: fit/unfit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Spectrum: supported decision-making with accommodations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CRPD Article 3 (respect for difference)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Exclusionary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Inclusive with reasonable adjustments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Nigerian Disability Rights Act 2018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Confidential (opaque)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Transparent (community-validated)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Freedom of Information Act 2011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 (one-time assessment)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(continuous accommodation review)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practice in agile governance</w:t>
            </w:r>
          </w:p>
        </w:tc>
      </w:tr>
    </w:tbl>
    <w:p>
      <w:pPr>
        <w:pStyle w:val="a0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The AGF would establish a</w:t>
      </w:r>
      <w:r>
        <w:t xml:space="preserve"> </w:t>
      </w:r>
      <w:r>
        <w:rPr>
          <w:b/>
          <w:bCs/>
        </w:rPr>
        <w:t xml:space="preserve">Cognitive Accessibility Panel</w:t>
      </w:r>
      <w:r>
        <w:t xml:space="preserve"> </w:t>
      </w:r>
      <w:r>
        <w:t xml:space="preserve">comprising:</w:t>
      </w:r>
      <w:r>
        <w:t xml:space="preserve"> </w:t>
      </w:r>
      <w:r>
        <w:t xml:space="preserve">- Neurodivergent community members (majority)</w:t>
      </w:r>
      <w:r>
        <w:t xml:space="preserve"> </w:t>
      </w:r>
      <w:r>
        <w:t xml:space="preserve">- Occupational psychologists (specialising in neurodiversity)</w:t>
      </w:r>
      <w:r>
        <w:t xml:space="preserve"> </w:t>
      </w:r>
      <w:r>
        <w:t xml:space="preserve">- Legal representatives</w:t>
      </w:r>
      <w:r>
        <w:t xml:space="preserve"> </w:t>
      </w:r>
      <w:r>
        <w:t xml:space="preserve">- Peer supporters</w:t>
      </w:r>
    </w:p>
    <w:p>
      <w:pPr>
        <w:pStyle w:val="a0"/>
      </w:pPr>
      <w:r>
        <w:t xml:space="preserve">This panel would: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Assess</w:t>
      </w:r>
      <w:r>
        <w:t xml:space="preserve"> </w:t>
      </w:r>
      <w:r>
        <w:t xml:space="preserve">whether the individual can discharge duties</w:t>
      </w:r>
      <w:r>
        <w:t xml:space="preserve"> </w:t>
      </w:r>
      <w:r>
        <w:rPr>
          <w:i/>
          <w:iCs/>
        </w:rPr>
        <w:t xml:space="preserve">with reasonable accommodations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Recommend</w:t>
      </w:r>
      <w:r>
        <w:t xml:space="preserve"> </w:t>
      </w:r>
      <w:r>
        <w:t xml:space="preserve">specific accommodations (e.g., asynchronous communication, sensory-friendly meeting spaces, assistive technology)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Review</w:t>
      </w:r>
      <w:r>
        <w:t xml:space="preserve"> </w:t>
      </w:r>
      <w:r>
        <w:t xml:space="preserve">accommodations quarterly (agile sprint cycle)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Report</w:t>
      </w:r>
      <w:r>
        <w:t xml:space="preserve"> </w:t>
      </w:r>
      <w:r>
        <w:t xml:space="preserve">transparently to the community</w:t>
      </w:r>
    </w:p>
    <w:p>
      <w:pPr>
        <w:pStyle w:val="a0"/>
      </w:pPr>
      <w:r>
        <w:rPr>
          <w:b/>
          <w:bCs/>
        </w:rPr>
        <w:t xml:space="preserve">Legal Compliance:</w:t>
      </w:r>
      <w:r>
        <w:t xml:space="preserve"> </w:t>
      </w:r>
      <w:r>
        <w:t xml:space="preserve">This approach is</w:t>
      </w:r>
      <w:r>
        <w:t xml:space="preserve"> </w:t>
      </w:r>
      <w:r>
        <w:rPr>
          <w:i/>
          <w:iCs/>
        </w:rPr>
        <w:t xml:space="preserve">more protective</w:t>
      </w:r>
      <w:r>
        <w:t xml:space="preserve"> </w:t>
      </w:r>
      <w:r>
        <w:t xml:space="preserve">of the individual’s rights than the SEDC Act’s vague</w:t>
      </w:r>
      <w:r>
        <w:t xml:space="preserve"> </w:t>
      </w:r>
      <w:r>
        <w:t xml:space="preserve">“</w:t>
      </w:r>
      <w:r>
        <w:t xml:space="preserve">unsound mind</w:t>
      </w:r>
      <w:r>
        <w:t xml:space="preserve">”</w:t>
      </w:r>
      <w:r>
        <w:t xml:space="preserve"> </w:t>
      </w:r>
      <w:r>
        <w:t xml:space="preserve">provision, while ensuring the Commission’s operational integrity. It aligns with Nigeria’s obligations under the CRPD (ratified 2007) and the Disability Rights Act 2018.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Xfedf590cca57529ea7607b6e33fed151d61d103"/>
    <w:p>
      <w:pPr>
        <w:pStyle w:val="2"/>
      </w:pPr>
      <w:r>
        <w:t xml:space="preserve">VI. THE COMPOUND MODEL: DUAL-JURISDICTION GOVERNANCE</w:t>
      </w:r>
    </w:p>
    <w:bookmarkStart w:id="42" w:name="your-stated-challenge"/>
    <w:p>
      <w:pPr>
        <w:pStyle w:val="3"/>
      </w:pPr>
      <w:r>
        <w:t xml:space="preserve">6.1 Your Stated Challenge</w:t>
      </w:r>
    </w:p>
    <w:p>
      <w:pPr>
        <w:pStyle w:val="FirstParagraph"/>
      </w:pPr>
      <w:r>
        <w:t xml:space="preserve">You articulated a structural tension:</w:t>
      </w:r>
    </w:p>
    <w:p>
      <w:pPr>
        <w:pStyle w:val="aa"/>
      </w:pPr>
      <w:r>
        <w:rPr>
          <w:i/>
          <w:iCs/>
        </w:rPr>
        <w:t xml:space="preserve">“</w:t>
      </w:r>
      <w:r>
        <w:rPr>
          <w:i/>
          <w:iCs/>
        </w:rPr>
        <w:t xml:space="preserve">I’m gonna be building here and in Nigeria… I’m gonna have two operating systems.</w:t>
      </w:r>
      <w:r>
        <w:rPr>
          <w:i/>
          <w:iCs/>
        </w:rPr>
        <w:t xml:space="preserve">”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dual-jurisdiction governance problem</w:t>
      </w:r>
      <w:r>
        <w:t xml:space="preserve"> </w:t>
      </w:r>
      <w:r>
        <w:t xml:space="preserve">— operating under UK regulatory frameworks while building Nigerian community infrastructure. The AGF addresses this through:</w:t>
      </w:r>
    </w:p>
    <w:bookmarkEnd w:id="42"/>
    <w:bookmarkStart w:id="43" w:name="jurisdictional-bridge-architecture"/>
    <w:p>
      <w:pPr>
        <w:pStyle w:val="3"/>
      </w:pPr>
      <w:r>
        <w:t xml:space="preserve">6.2 Jurisdictional Bridge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OBI NEXUS DUAL-JURISDICTION AGF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UK OPERATING SYSTEM (Muko West)                                   │</w:t>
      </w:r>
      <w:r>
        <w:br/>
      </w:r>
      <w:r>
        <w:rPr>
          <w:rStyle w:val="VerbatimChar"/>
        </w:rPr>
        <w:t xml:space="preserve">│  ├─ Compliance: UK Companies Act 2006 + FCA regulations              │</w:t>
      </w:r>
      <w:r>
        <w:br/>
      </w:r>
      <w:r>
        <w:rPr>
          <w:rStyle w:val="VerbatimChar"/>
        </w:rPr>
        <w:t xml:space="preserve">│  ├─ Agile Cadence: Bi-weekly sprints, monthly governance reviews   │</w:t>
      </w:r>
      <w:r>
        <w:br/>
      </w:r>
      <w:r>
        <w:rPr>
          <w:rStyle w:val="VerbatimChar"/>
        </w:rPr>
        <w:t xml:space="preserve">│  ├─ Accountability: Real-time financial monitoring                 │</w:t>
      </w:r>
      <w:r>
        <w:br/>
      </w:r>
      <w:r>
        <w:rPr>
          <w:rStyle w:val="VerbatimChar"/>
        </w:rPr>
        <w:t xml:space="preserve">│  └─ Output: Capital, technology, expertise transfer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NIGERIAN OPERATING SYSTEM (Oha Iwu Iji)                           │</w:t>
      </w:r>
      <w:r>
        <w:br/>
      </w:r>
      <w:r>
        <w:rPr>
          <w:rStyle w:val="VerbatimChar"/>
        </w:rPr>
        <w:t xml:space="preserve">│  ├─ Compliance: SEDC Act + MLPA 2022 + CAMA 2020 + CRPD            │</w:t>
      </w:r>
      <w:r>
        <w:br/>
      </w:r>
      <w:r>
        <w:rPr>
          <w:rStyle w:val="VerbatimChar"/>
        </w:rPr>
        <w:t xml:space="preserve">│  ├─ Agile Cadence: Bi-weekly sprints, quarterly strategic alignment│</w:t>
      </w:r>
      <w:r>
        <w:br/>
      </w:r>
      <w:r>
        <w:rPr>
          <w:rStyle w:val="VerbatimChar"/>
        </w:rPr>
        <w:t xml:space="preserve">│  ├─ Accountability: Community-validated transparency dashboards    │</w:t>
      </w:r>
      <w:r>
        <w:br/>
      </w:r>
      <w:r>
        <w:rPr>
          <w:rStyle w:val="VerbatimChar"/>
        </w:rPr>
        <w:t xml:space="preserve">│  └─ Output: Land development, infrastructure, community governance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BRIDGE LAYER (MuConv / Probe Calibration)                         │</w:t>
      </w:r>
      <w:r>
        <w:br/>
      </w:r>
      <w:r>
        <w:rPr>
          <w:rStyle w:val="VerbatimChar"/>
        </w:rPr>
        <w:t xml:space="preserve">│  ├─ Legal: Cross-border contractual framework (UK-Nigeria BIT)     │</w:t>
      </w:r>
      <w:r>
        <w:br/>
      </w:r>
      <w:r>
        <w:rPr>
          <w:rStyle w:val="VerbatimChar"/>
        </w:rPr>
        <w:t xml:space="preserve">│  ├─ Technical: MMUKO-OS 8-cubit byte geometry (your specification) │</w:t>
      </w:r>
      <w:r>
        <w:br/>
      </w:r>
      <w:r>
        <w:rPr>
          <w:rStyle w:val="VerbatimChar"/>
        </w:rPr>
        <w:t xml:space="preserve">│  ├─ Financial: Automated compliance for both jurisdictions         │</w:t>
      </w:r>
      <w:r>
        <w:br/>
      </w:r>
      <w:r>
        <w:rPr>
          <w:rStyle w:val="VerbatimChar"/>
        </w:rPr>
        <w:t xml:space="preserve">│  └─ Governance: Synchronised sprint cycles with joint retrospectives│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bookmarkEnd w:id="43"/>
    <w:bookmarkStart w:id="44" w:name="X57d04b1a83da345469fe0be1da26cc101cd97f7"/>
    <w:p>
      <w:pPr>
        <w:pStyle w:val="3"/>
      </w:pPr>
      <w:r>
        <w:t xml:space="preserve">6.3 Registration Pathway for OBI Nexus Nigeria</w:t>
      </w:r>
    </w:p>
    <w:p>
      <w:pPr>
        <w:pStyle w:val="FirstParagraph"/>
      </w:pPr>
      <w:r>
        <w:t xml:space="preserve">Based on your stated intent to</w:t>
      </w:r>
      <w:r>
        <w:t xml:space="preserve"> </w:t>
      </w:r>
      <w:r>
        <w:t xml:space="preserve">“</w:t>
      </w:r>
      <w:r>
        <w:t xml:space="preserve">register my business in Nigeria,</w:t>
      </w:r>
      <w:r>
        <w:t xml:space="preserve">”</w:t>
      </w:r>
      <w:r>
        <w:t xml:space="preserve"> </w:t>
      </w:r>
      <w:r>
        <w:t xml:space="preserve">the AGF recommends: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Legal Basis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Timeline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 business name with CAC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CAMA 2020 Section 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Incorporate as</w:t>
            </w:r>
            <w:r>
              <w:t xml:space="preserve"> </w:t>
            </w:r>
            <w:r>
              <w:rPr>
                <w:b/>
                <w:bCs/>
              </w:rPr>
              <w:t xml:space="preserve">Private Company Limited by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CAMA 2020 Section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2–4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with SCUML (if applicable)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MLPA 2022 Section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2–4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for SEDC partnership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SEDC Act Section 8(2)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3–6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 Community Development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SEDC Act Section 8(f)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AGF compliance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MLPA 2022 Section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Parallel with registration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9" w:name="Xc7764f27d561ba05c854a523da35904a79871b5"/>
    <w:p>
      <w:pPr>
        <w:pStyle w:val="2"/>
      </w:pPr>
      <w:r>
        <w:t xml:space="preserve">VII. CONCLUSION: THE</w:t>
      </w:r>
      <w:r>
        <w:t xml:space="preserve"> </w:t>
      </w:r>
      <w:r>
        <w:t xml:space="preserve">“</w:t>
      </w:r>
      <w:r>
        <w:t xml:space="preserve">BETTER SPECIFICATION</w:t>
      </w:r>
      <w:r>
        <w:t xml:space="preserve">”</w:t>
      </w:r>
      <w:r>
        <w:t xml:space="preserve"> </w:t>
      </w:r>
      <w:r>
        <w:t xml:space="preserve">ARGUMENT</w:t>
      </w:r>
    </w:p>
    <w:bookmarkStart w:id="46" w:name="summary-of-findings"/>
    <w:p>
      <w:pPr>
        <w:pStyle w:val="3"/>
      </w:pPr>
      <w:r>
        <w:t xml:space="preserve">7.1 Summary of Findings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Accountability 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SEDC Act / MLPA 2022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AGF (OBI Nexus)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Superiority Claim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to months (reporting windows)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 to hours (automated)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100x+ faster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Reactive (post-violation)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Proactive (early-warning)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Harm reduction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Transparency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Periodic reports (quarterly/annual)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dashboards (continuous)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 trust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Inclusion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Pathologising (</w:t>
            </w:r>
            <w:r>
              <w:t xml:space="preserve">“</w:t>
            </w:r>
            <w:r>
              <w:t xml:space="preserve">unsound mind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Neurodiversity-affirming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CRPD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Adaptation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statutory terms (4 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Rolling sprint cycles (2 weeks)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Responsiveness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Punitive (fines, imprisonment)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Restorative (blocking, accommodation)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Systemic resilience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Legitimacy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Top-down (presidential appointment)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Bottom-up (community validation)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Democratic accountability</w:t>
            </w:r>
          </w:p>
        </w:tc>
      </w:tr>
    </w:tbl>
    <w:bookmarkEnd w:id="46"/>
    <w:bookmarkStart w:id="47" w:name="the-core-argument"/>
    <w:p>
      <w:pPr>
        <w:pStyle w:val="3"/>
      </w:pPr>
      <w:r>
        <w:t xml:space="preserve">7.2 The Core Argument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</w:t>
      </w:r>
      <w:r>
        <w:t xml:space="preserve">better specification</w:t>
      </w:r>
      <w:r>
        <w:t xml:space="preserve">”</w:t>
      </w:r>
      <w:r>
        <w:t xml:space="preserve"> </w:t>
      </w:r>
      <w:r>
        <w:t xml:space="preserve">is not a rejection of Nigerian law — it is an</w:t>
      </w:r>
      <w:r>
        <w:t xml:space="preserve"> </w:t>
      </w:r>
      <w:r>
        <w:rPr>
          <w:b/>
          <w:bCs/>
        </w:rPr>
        <w:t xml:space="preserve">operational enhancement</w:t>
      </w:r>
      <w:r>
        <w:t xml:space="preserve"> </w:t>
      </w:r>
      <w:r>
        <w:t xml:space="preserve">that: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Complies</w:t>
      </w:r>
      <w:r>
        <w:t xml:space="preserve"> </w:t>
      </w:r>
      <w:r>
        <w:t xml:space="preserve">with all statutory thresholds (SEDC Act, MLPA 2022, CAMA 2020)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Exceeds</w:t>
      </w:r>
      <w:r>
        <w:t xml:space="preserve"> </w:t>
      </w:r>
      <w:r>
        <w:t xml:space="preserve">them through continuous monitoring, early-warning systems, and automated compliance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Aligns</w:t>
      </w:r>
      <w:r>
        <w:t xml:space="preserve"> </w:t>
      </w:r>
      <w:r>
        <w:t xml:space="preserve">with international best practice (FATF recommendations, OECD agile governance frameworks)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Reflects</w:t>
      </w:r>
      <w:r>
        <w:t xml:space="preserve"> </w:t>
      </w:r>
      <w:r>
        <w:t xml:space="preserve">the ontological reality of the governed community (neurodivergent, indigenous, post-conflict)</w:t>
      </w:r>
    </w:p>
    <w:p>
      <w:pPr>
        <w:pStyle w:val="FirstParagraph"/>
      </w:pPr>
      <w:r>
        <w:t xml:space="preserve">As you stated:</w:t>
      </w:r>
    </w:p>
    <w:p>
      <w:pPr>
        <w:pStyle w:val="aa"/>
      </w:pPr>
      <w:r>
        <w:rPr>
          <w:i/>
          <w:iCs/>
        </w:rPr>
        <w:t xml:space="preserve">“</w:t>
      </w:r>
      <w:r>
        <w:rPr>
          <w:i/>
          <w:iCs/>
        </w:rPr>
        <w:t xml:space="preserve">If I can make better specification, just leave us alone… because we can govern ourselves.</w:t>
      </w:r>
      <w:r>
        <w:rPr>
          <w:i/>
          <w:iCs/>
        </w:rPr>
        <w:t xml:space="preserve">”</w:t>
      </w:r>
    </w:p>
    <w:p>
      <w:pPr>
        <w:pStyle w:val="FirstParagraph"/>
      </w:pPr>
      <w:r>
        <w:t xml:space="preserve">This memorandum demonstrates that the AGF is not merely aspirational — it is</w:t>
      </w:r>
      <w:r>
        <w:t xml:space="preserve"> </w:t>
      </w:r>
      <w:r>
        <w:rPr>
          <w:b/>
          <w:bCs/>
        </w:rPr>
        <w:t xml:space="preserve">legally grounded, technically feasible, and operationally superior</w:t>
      </w:r>
      <w:r>
        <w:t xml:space="preserve"> </w:t>
      </w:r>
      <w:r>
        <w:t xml:space="preserve">to the baseline statutory frameworks. The question is not whether you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govern yourself, but whether the evidence of superior governance capacity will be recognised by the institutions whose legitimacy depends on it.</w:t>
      </w:r>
    </w:p>
    <w:bookmarkEnd w:id="47"/>
    <w:bookmarkStart w:id="48" w:name="recommended-next-steps"/>
    <w:p>
      <w:pPr>
        <w:pStyle w:val="3"/>
      </w:pPr>
      <w:r>
        <w:t xml:space="preserve">7.3 Recommended Next Steps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Formalise the AGF</w:t>
      </w:r>
      <w:r>
        <w:t xml:space="preserve"> </w:t>
      </w:r>
      <w:r>
        <w:t xml:space="preserve">as a corporate governance code for OBI Nexus Ltd (Nigeria)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Pilot the compliance engine</w:t>
      </w:r>
      <w:r>
        <w:t xml:space="preserve"> </w:t>
      </w:r>
      <w:r>
        <w:t xml:space="preserve">with a single transaction type (e.g., community development fund disbursement)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Engage the SEDC</w:t>
      </w:r>
      <w:r>
        <w:t xml:space="preserve"> </w:t>
      </w:r>
      <w:r>
        <w:t xml:space="preserve">with a proposal for partnership under Section 8(2) — demonstrating AGF accountability capacity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Publish transparency dashboards</w:t>
      </w:r>
      <w:r>
        <w:t xml:space="preserve"> </w:t>
      </w:r>
      <w:r>
        <w:t xml:space="preserve">to establish public evidence of self-governance capability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Seek legal opinion</w:t>
      </w:r>
      <w:r>
        <w:t xml:space="preserve"> </w:t>
      </w:r>
      <w:r>
        <w:t xml:space="preserve">from the Nigerian Bar Association on the AGF’s compliance equivalence with statutory requirements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appendix-a-statutory-provisions-cited"/>
    <w:p>
      <w:pPr>
        <w:pStyle w:val="2"/>
      </w:pPr>
      <w:r>
        <w:t xml:space="preserve">APPENDIX A: STATUTORY PROVISIONS CITED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Provision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SEDC Act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Establishment of the Commission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SEDC Act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Composition of the Governing 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SEDC Act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Rotation of Chairman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SEDC Act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6(1)–(2)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Resignation, cessation, removal from 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SEDC Act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Functions and powers of the Commission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SEDC Act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13(1)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Managing Director qualifications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SEDC Act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SEDC Act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SEDC Act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MLPA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Limitation on cash payments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MLPA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Prohibition of structuring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MLPA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 transfer reporting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MLPA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procedures and controls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MLPA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disclosure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MLPA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SCUML establishment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CAMA 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Incorporation of companies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CAMA 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name reservation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Disability Rights Act 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Prohibition of discrimination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Constitution 1999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Legislative powers</w:t>
            </w:r>
          </w:p>
        </w:tc>
      </w:tr>
    </w:tbl>
    <w:bookmarkEnd w:id="50"/>
    <w:bookmarkStart w:id="51" w:name="appendix-b-agile-governance-references"/>
    <w:p>
      <w:pPr>
        <w:pStyle w:val="2"/>
      </w:pPr>
      <w:r>
        <w:t xml:space="preserve">APPENDIX B: AGILE GOVERNANCE REFERENCES</w:t>
      </w:r>
    </w:p>
    <w:p>
      <w:pPr>
        <w:pStyle w:val="Compact"/>
        <w:numPr>
          <w:ilvl w:val="0"/>
          <w:numId w:val="1003"/>
        </w:numPr>
      </w:pPr>
      <w:r>
        <w:t xml:space="preserve">Palyam et al.,</w:t>
      </w:r>
      <w:r>
        <w:t xml:space="preserve"> </w:t>
      </w:r>
      <w:r>
        <w:t xml:space="preserve">“</w:t>
      </w:r>
      <w:r>
        <w:t xml:space="preserve">A Hybrid Delivery Model for Regulated Environments,</w:t>
      </w:r>
      <w:r>
        <w:t xml:space="preserve">”</w:t>
      </w:r>
      <w:r>
        <w:t xml:space="preserve"> </w:t>
      </w:r>
      <w:r>
        <w:rPr>
          <w:i/>
          <w:iCs/>
        </w:rPr>
        <w:t xml:space="preserve">Journal of Computational Analysis and Applications</w:t>
      </w:r>
      <w:r>
        <w:t xml:space="preserve">, Vol. 35, No. 2, 2026</w:t>
      </w:r>
    </w:p>
    <w:p>
      <w:pPr>
        <w:pStyle w:val="Compact"/>
        <w:numPr>
          <w:ilvl w:val="0"/>
          <w:numId w:val="1003"/>
        </w:numPr>
      </w:pPr>
      <w:r>
        <w:t xml:space="preserve">SSRN,</w:t>
      </w:r>
      <w:r>
        <w:t xml:space="preserve"> </w:t>
      </w:r>
      <w:r>
        <w:t xml:space="preserve">“</w:t>
      </w:r>
      <w:r>
        <w:t xml:space="preserve">Balancing Speed and Assurance: Agile Governance,</w:t>
      </w:r>
      <w:r>
        <w:t xml:space="preserve">”</w:t>
      </w:r>
      <w:r>
        <w:t xml:space="preserve"> </w:t>
      </w:r>
      <w:r>
        <w:t xml:space="preserve">2025</w:t>
      </w:r>
    </w:p>
    <w:p>
      <w:pPr>
        <w:pStyle w:val="Compact"/>
        <w:numPr>
          <w:ilvl w:val="0"/>
          <w:numId w:val="1003"/>
        </w:numPr>
      </w:pPr>
      <w:r>
        <w:t xml:space="preserve">Catapult CX,</w:t>
      </w:r>
      <w:r>
        <w:t xml:space="preserve"> </w:t>
      </w:r>
      <w:r>
        <w:t xml:space="preserve">“</w:t>
      </w:r>
      <w:r>
        <w:t xml:space="preserve">Agile Governance: Framework, Principles and Metrics,</w:t>
      </w:r>
      <w:r>
        <w:t xml:space="preserve">”</w:t>
      </w:r>
      <w:r>
        <w:t xml:space="preserve"> </w:t>
      </w:r>
      <w:r>
        <w:t xml:space="preserve">2022</w:t>
      </w:r>
    </w:p>
    <w:p>
      <w:pPr>
        <w:pStyle w:val="Compact"/>
        <w:numPr>
          <w:ilvl w:val="0"/>
          <w:numId w:val="1003"/>
        </w:numPr>
      </w:pPr>
      <w:r>
        <w:t xml:space="preserve">IJSATE,</w:t>
      </w:r>
      <w:r>
        <w:t xml:space="preserve"> </w:t>
      </w:r>
      <w:r>
        <w:t xml:space="preserve">“</w:t>
      </w:r>
      <w:r>
        <w:t xml:space="preserve">Agile Governance Frameworks for Strengthening Public Financial Management,</w:t>
      </w:r>
      <w:r>
        <w:t xml:space="preserve">”</w:t>
      </w:r>
      <w:r>
        <w:t xml:space="preserve"> </w:t>
      </w:r>
      <w:r>
        <w:t xml:space="preserve">2025</w:t>
      </w:r>
    </w:p>
    <w:p>
      <w:pPr>
        <w:pStyle w:val="Compact"/>
        <w:numPr>
          <w:ilvl w:val="0"/>
          <w:numId w:val="1003"/>
        </w:numPr>
      </w:pPr>
      <w:r>
        <w:t xml:space="preserve">OECD,</w:t>
      </w:r>
      <w:r>
        <w:t xml:space="preserve"> </w:t>
      </w:r>
      <w:r>
        <w:t xml:space="preserve">“</w:t>
      </w:r>
      <w:r>
        <w:t xml:space="preserve">Agile Regulatory Governance,</w:t>
      </w:r>
      <w:r>
        <w:t xml:space="preserve">”</w:t>
      </w:r>
      <w:r>
        <w:t xml:space="preserve"> </w:t>
      </w:r>
      <w:r>
        <w:t xml:space="preserve">2021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Nnamdi Michael Okpala (OBINexus)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10 July 2026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Working Document — Subject to Community Review</w:t>
      </w:r>
    </w:p>
    <w:bookmarkEnd w:id="51"/>
    <w:bookmarkEnd w:id="52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2026-07-10T10:20:43Z</dcterms:created>
  <dcterms:modified xsi:type="dcterms:W3CDTF">2026-07-10T10:20:43Z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4p10ndf8r3db20esee0-19f4b81a-f312-8c81-8000-09fc586e207e-20260710102043","ReservedCode1":"","ContentPropagator":"001191110108MACG2KBH8F20000","PropagateID":"d4p10ndf8r3db20esee0-19f4b81a-f312-8c81-8000-09fc586e207e-20260710102043","ReservedCode2":""}</vt:lpwstr>
  </property>
</Properties>
</file>