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OBINexus Ring/Zone Topology Overview</w:t>
      </w:r>
    </w:p>
    <w:p>
      <w:pPr>
        <w:pStyle w:val="BodyText"/>
      </w:pPr>
      <w:r>
        <w:t xml:space="preserve">The OBINexus framework can incorporate a</w:t>
      </w:r>
      <w:r>
        <w:t xml:space="preserve"> </w:t>
      </w:r>
      <w:r>
        <w:rPr>
          <w:b/>
          <w:bCs/>
        </w:rPr>
        <w:t xml:space="preserve">ring/zone topology</w:t>
      </w:r>
      <w:r>
        <w:t xml:space="preserve"> </w:t>
      </w:r>
      <w:r>
        <w:t xml:space="preserve">to describe how computation, data, and governance flow within its ecosystem. The concept maps well to both distributed computing and socio-technical coordination models.</w:t>
      </w:r>
    </w:p>
    <w:bookmarkStart w:id="20" w:name="structural-definition"/>
    <w:p>
      <w:pPr>
        <w:pStyle w:val="Heading3"/>
      </w:pPr>
      <w:r>
        <w:t xml:space="preserve">1. Structural Definition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Ring Topology (Computational Layer)</w:t>
      </w:r>
      <w:r>
        <w:t xml:space="preserve">: Each node in the system connects to two neighboring nodes, forming a closed loop. This ensures:</w:t>
      </w:r>
    </w:p>
    <w:p>
      <w:pPr>
        <w:pStyle w:val="Compact"/>
        <w:numPr>
          <w:ilvl w:val="1"/>
          <w:numId w:val="1002"/>
        </w:numPr>
      </w:pPr>
      <w:r>
        <w:t xml:space="preserve">Equal access and communication latency among all participants.</w:t>
      </w:r>
    </w:p>
    <w:p>
      <w:pPr>
        <w:pStyle w:val="Compact"/>
        <w:numPr>
          <w:ilvl w:val="1"/>
          <w:numId w:val="1002"/>
        </w:numPr>
      </w:pPr>
      <w:r>
        <w:t xml:space="preserve">No single point of failure, supporting redundancy.</w:t>
      </w:r>
    </w:p>
    <w:p>
      <w:pPr>
        <w:pStyle w:val="Compact"/>
        <w:numPr>
          <w:ilvl w:val="1"/>
          <w:numId w:val="1002"/>
        </w:numPr>
      </w:pPr>
      <w:r>
        <w:t xml:space="preserve">Propagation of control signals or data packets in both clockwise and counterclockwise directions.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Zone Topology (Governance Layer)</w:t>
      </w:r>
      <w:r>
        <w:t xml:space="preserve">: Zones represent semi-autonomous clusters within the ring. Each zone handles local computation, decision-making, and storage before synchronizing with the larger ring.</w:t>
      </w:r>
    </w:p>
    <w:p>
      <w:pPr>
        <w:pStyle w:val="Compact"/>
        <w:numPr>
          <w:ilvl w:val="1"/>
          <w:numId w:val="1003"/>
        </w:numPr>
      </w:pPr>
      <w:r>
        <w:t xml:space="preserve">Zones can represent</w:t>
      </w:r>
      <w:r>
        <w:t xml:space="preserve"> </w:t>
      </w:r>
      <w:r>
        <w:rPr>
          <w:i/>
          <w:iCs/>
        </w:rPr>
        <w:t xml:space="preserve">domains</w:t>
      </w:r>
      <w:r>
        <w:t xml:space="preserve"> </w:t>
      </w:r>
      <w:r>
        <w:t xml:space="preserve">(education, computing, fashion, etc.) or</w:t>
      </w:r>
      <w:r>
        <w:t xml:space="preserve"> </w:t>
      </w:r>
      <w:r>
        <w:rPr>
          <w:i/>
          <w:iCs/>
        </w:rPr>
        <w:t xml:space="preserve">contexts</w:t>
      </w:r>
      <w:r>
        <w:t xml:space="preserve"> </w:t>
      </w:r>
      <w:r>
        <w:t xml:space="preserve">(urban, rural, experimental).</w:t>
      </w:r>
    </w:p>
    <w:p>
      <w:pPr>
        <w:pStyle w:val="Compact"/>
        <w:numPr>
          <w:ilvl w:val="1"/>
          <w:numId w:val="1003"/>
        </w:numPr>
      </w:pPr>
      <w:r>
        <w:t xml:space="preserve">Within each zone, micro-rings can exist—nested systems that operate independently yet maintain alignment with the parent topology.</w:t>
      </w:r>
    </w:p>
    <w:bookmarkEnd w:id="20"/>
    <w:bookmarkStart w:id="21" w:name="functional-mapping-to-obinexus"/>
    <w:p>
      <w:pPr>
        <w:pStyle w:val="Heading3"/>
      </w:pPr>
      <w:r>
        <w:t xml:space="preserve">2. Functional Mapping to OBINexus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Information Flow</w:t>
      </w:r>
      <w:r>
        <w:t xml:space="preserve">: The ring ensures bidirectional communication and distributed verification. When data enters a node, it propagates through the ring until consensus or state alignment is achieved.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Control Model</w:t>
      </w:r>
      <w:r>
        <w:t xml:space="preserve">: Zones act as control surfaces—each with its own local governor (policy verifier or AI subnode) that communicates harmoniously with the others.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Interference Management</w:t>
      </w:r>
      <w:r>
        <w:t xml:space="preserve">: The ring allows constructive and destructive interference of signals—analogous to wave modulation within a controlled lattice. This enables emergent coordination through phase alignment of processes.</w:t>
      </w:r>
    </w:p>
    <w:bookmarkEnd w:id="21"/>
    <w:bookmarkStart w:id="22" w:name="mathematical-and-physical-analogy"/>
    <w:p>
      <w:pPr>
        <w:pStyle w:val="Heading3"/>
      </w:pPr>
      <w:r>
        <w:t xml:space="preserve">3. Mathematical and Physical Analogy</w:t>
      </w:r>
    </w:p>
    <w:p>
      <w:pPr>
        <w:pStyle w:val="Compact"/>
        <w:numPr>
          <w:ilvl w:val="0"/>
          <w:numId w:val="1005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ring</w:t>
      </w:r>
      <w:r>
        <w:t xml:space="preserve"> </w:t>
      </w:r>
      <w:r>
        <w:t xml:space="preserve">represents periodicity and continuity ((f(t+T) = f(t))).</w:t>
      </w:r>
    </w:p>
    <w:p>
      <w:pPr>
        <w:pStyle w:val="Compact"/>
        <w:numPr>
          <w:ilvl w:val="0"/>
          <w:numId w:val="1005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zone</w:t>
      </w:r>
      <w:r>
        <w:t xml:space="preserve"> </w:t>
      </w:r>
      <w:r>
        <w:t xml:space="preserve">represents boundary conditions and local variations ((</w:t>
      </w:r>
      <w:r>
        <w:t xml:space="preserve">E = 0) within, (</w:t>
      </w:r>
      <w:r>
        <w:t xml:space="preserve">E</w:t>
      </w:r>
      <w:r>
        <w:t xml:space="preserve"> </w:t>
      </w:r>
      <w:r>
        <w:t xml:space="preserve">) across boundaries).</w:t>
      </w:r>
    </w:p>
    <w:p>
      <w:pPr>
        <w:pStyle w:val="Compact"/>
        <w:numPr>
          <w:ilvl w:val="0"/>
          <w:numId w:val="1005"/>
        </w:numPr>
      </w:pPr>
      <w:r>
        <w:t xml:space="preserve">Combined, the model acts as a</w:t>
      </w:r>
      <w:r>
        <w:t xml:space="preserve"> </w:t>
      </w:r>
      <w:r>
        <w:rPr>
          <w:i/>
          <w:iCs/>
        </w:rPr>
        <w:t xml:space="preserve">harmonic governance network</w:t>
      </w:r>
      <w:r>
        <w:t xml:space="preserve">—continuous yet locally adaptive.</w:t>
      </w:r>
    </w:p>
    <w:bookmarkEnd w:id="22"/>
    <w:bookmarkStart w:id="23" w:name="application-examples"/>
    <w:p>
      <w:pPr>
        <w:pStyle w:val="Heading3"/>
      </w:pPr>
      <w:r>
        <w:t xml:space="preserve">4. Application Examples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OBINexus Computing</w:t>
      </w:r>
      <w:r>
        <w:t xml:space="preserve">: Each computing node in the ring handles parallel process streams; zones manage specialized tasks (AI training, data curation, etc.).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OBINexus Education</w:t>
      </w:r>
      <w:r>
        <w:t xml:space="preserve">: Each educational node represents a learning hub; zones organize based on disciplines or local communities.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OBINexus Fashion (Wuche)</w:t>
      </w:r>
      <w:r>
        <w:t xml:space="preserve">: Design rings represent modular product lines, and zones map to material or cultural regions.</w:t>
      </w:r>
    </w:p>
    <w:bookmarkEnd w:id="23"/>
    <w:bookmarkStart w:id="24" w:name="system-behavior"/>
    <w:p>
      <w:pPr>
        <w:pStyle w:val="Heading3"/>
      </w:pPr>
      <w:r>
        <w:t xml:space="preserve">5. System Behavior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Stability</w:t>
      </w:r>
      <w:r>
        <w:t xml:space="preserve">: The closed-loop structure ensures persistent feedback, allowing for real-time correction.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Adaptation</w:t>
      </w:r>
      <w:r>
        <w:t xml:space="preserve">: Zones can scale or reconfigure without collapsing the overall topology.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Integration</w:t>
      </w:r>
      <w:r>
        <w:t xml:space="preserve">: A hybrid model can connect ring topology (hardware/data layer) with zone topology (policy/governance layer), creating a multi-tier adaptive system.</w:t>
      </w:r>
    </w:p>
    <w:p>
      <w:pPr>
        <w:pStyle w:val="FirstParagraph"/>
      </w:pPr>
      <w:r>
        <w:t xml:space="preserve">In essence, OBINexus ring/zone topology combines</w:t>
      </w:r>
      <w:r>
        <w:t xml:space="preserve"> </w:t>
      </w:r>
      <w:r>
        <w:rPr>
          <w:b/>
          <w:bCs/>
        </w:rPr>
        <w:t xml:space="preserve">cybernetic stability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biological adaptability</w:t>
      </w:r>
      <w:r>
        <w:t xml:space="preserve">, making it suitable for systems that must self-regulate, evolve, and remain verifiable.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2025-10-14T16:02:37Z</dcterms:created>
  <dcterms:modified xsi:type="dcterms:W3CDTF">2025-10-14T16:02:37Z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