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cc6aa90d0ed0cb96f02e386ca2a3e89fae4b5b"/>
    <w:p>
      <w:pPr>
        <w:pStyle w:val="Heading1"/>
      </w:pPr>
      <w:r>
        <w:t xml:space="preserve">PhD Roadmap — OBICall Polyglot System (DIRAM)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OBICall Polyglot System — DIRAM (Directed Instruction RAM) for Foundation AI Housing &amp; Care Infrastructure</w:t>
      </w:r>
    </w:p>
    <w:bookmarkEnd w:id="20"/>
    <w:bookmarkStart w:id="21" w:name="one-line-summary"/>
    <w:p>
      <w:pPr>
        <w:pStyle w:val="Heading2"/>
      </w:pPr>
      <w:r>
        <w:t xml:space="preserve">One-line Summary</w:t>
      </w:r>
    </w:p>
    <w:p>
      <w:pPr>
        <w:pStyle w:val="FirstParagraph"/>
      </w:pPr>
      <w:r>
        <w:t xml:space="preserve">Design and validate a model‑agnostic, polyglot AI infrastructure (OBI = heart in Igbo) for resilient smart‑homes and care environments: silicon‑level DIRAM hardware + software stack, decentralized fail‑safe recovery, traceable regulation enforcement, and human‑centric QA.</w:t>
      </w:r>
    </w:p>
    <w:bookmarkEnd w:id="21"/>
    <w:bookmarkStart w:id="22" w:name="acronyms"/>
    <w:p>
      <w:pPr>
        <w:pStyle w:val="Heading2"/>
      </w:pPr>
      <w:r>
        <w:t xml:space="preserve">Acronyms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OBI</w:t>
      </w:r>
      <w:r>
        <w:t xml:space="preserve"> </w:t>
      </w:r>
      <w:r>
        <w:t xml:space="preserve">— Ontological/Operational/Bayesian/Authoritative (also</w:t>
      </w:r>
      <w:r>
        <w:t xml:space="preserve"> </w:t>
      </w:r>
      <w:r>
        <w:t xml:space="preserve">“heart”</w:t>
      </w:r>
      <w:r>
        <w:t xml:space="preserve"> </w:t>
      </w:r>
      <w:r>
        <w:t xml:space="preserve">in Igbo)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DIRAM</w:t>
      </w:r>
      <w:r>
        <w:t xml:space="preserve"> </w:t>
      </w:r>
      <w:r>
        <w:t xml:space="preserve">— Directed Instruction RAM (silicon / hardware layer)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OBICall</w:t>
      </w:r>
      <w:r>
        <w:t xml:space="preserve"> </w:t>
      </w:r>
      <w:r>
        <w:t xml:space="preserve">— The call/agent endpoint and service namespace for the OBI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Polyglot</w:t>
      </w:r>
      <w:r>
        <w:t xml:space="preserve"> </w:t>
      </w:r>
      <w:r>
        <w:t xml:space="preserve">— Multi-language runtime &amp; adapter surface (Lua, Node, Python, etc.)</w:t>
      </w:r>
    </w:p>
    <w:bookmarkEnd w:id="22"/>
    <w:bookmarkStart w:id="23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Create a foundation AI infrastructure that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Hardware-aware</w:t>
      </w:r>
      <w:r>
        <w:t xml:space="preserve">: silicon‑flashed, traceable DIRAM providing deterministic fallback behaviour.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Model-agnostic</w:t>
      </w:r>
      <w:r>
        <w:t xml:space="preserve">: supports multiple models and inference engines.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Polyglot &amp; extendable</w:t>
      </w:r>
      <w:r>
        <w:t xml:space="preserve">: bidirectional plugins/adapters for third‑party devices and cloud services.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Human‑centric &amp; fail‑safe</w:t>
      </w:r>
      <w:r>
        <w:t xml:space="preserve">: layered human‑in‑the‑loop (HITL) controls and clearly mapped QA/alerting colour schema for regulation and accessibility.</w:t>
      </w:r>
    </w:p>
    <w:bookmarkEnd w:id="23"/>
    <w:bookmarkStart w:id="24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Deliver DIRAM silicon prototype (year 1) with flashable RAM and fail‑torrent fallback encoding.</w:t>
      </w:r>
    </w:p>
    <w:p>
      <w:pPr>
        <w:pStyle w:val="Compact"/>
        <w:numPr>
          <w:ilvl w:val="0"/>
          <w:numId w:val="1002"/>
        </w:numPr>
      </w:pPr>
      <w:r>
        <w:t xml:space="preserve">Define OBICall service schema and polyglot adapter model for P2P &amp; server healing.</w:t>
      </w:r>
    </w:p>
    <w:p>
      <w:pPr>
        <w:pStyle w:val="Compact"/>
        <w:numPr>
          <w:ilvl w:val="0"/>
          <w:numId w:val="1002"/>
        </w:numPr>
      </w:pPr>
      <w:r>
        <w:t xml:space="preserve">Implement color‑mapped QA and alerting (CYAN/HSL primary mapping for human print/readability).</w:t>
      </w:r>
    </w:p>
    <w:p>
      <w:pPr>
        <w:pStyle w:val="Compact"/>
        <w:numPr>
          <w:ilvl w:val="0"/>
          <w:numId w:val="1002"/>
        </w:numPr>
      </w:pPr>
      <w:r>
        <w:t xml:space="preserve">Build test harnesses (unit, integration, system, edge cases) and QA metrics tuned to the 95.4 threshold.</w:t>
      </w:r>
    </w:p>
    <w:p>
      <w:pPr>
        <w:pStyle w:val="Compact"/>
        <w:numPr>
          <w:ilvl w:val="0"/>
          <w:numId w:val="1002"/>
        </w:numPr>
      </w:pPr>
      <w:r>
        <w:t xml:space="preserve">Evaluate safety, regulatory traceability, and decentralised enforcement workflows.</w:t>
      </w:r>
    </w:p>
    <w:bookmarkEnd w:id="24"/>
    <w:bookmarkStart w:id="25" w:name="system-architecture-high-level"/>
    <w:p>
      <w:pPr>
        <w:pStyle w:val="Heading2"/>
      </w:pPr>
      <w:r>
        <w:t xml:space="preserve">System Architecture (high level)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 layer</w:t>
      </w:r>
      <w:r>
        <w:t xml:space="preserve">: DIRAM (flashable silicon RAM) — secure boot, fail‑torrent encoding, LED/clamp status indicator.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 layer</w:t>
      </w:r>
      <w:r>
        <w:t xml:space="preserve">: lightweight polyglot VM(s) (Lua, Node, etc.) for adapters and drivers.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layer</w:t>
      </w:r>
      <w:r>
        <w:t xml:space="preserve">: OBICall namespace:</w:t>
      </w:r>
      <w:r>
        <w:t xml:space="preserve"> </w:t>
      </w:r>
      <w:r>
        <w:rPr>
          <w:rStyle w:val="VerbatimChar"/>
        </w:rPr>
        <w:t xml:space="preserve">SERVICES.OPERATION.OBINEXUS.DEPARTMENT.DIVISION.IWU.UK.ORG</w:t>
      </w:r>
      <w:r>
        <w:t xml:space="preserve"> </w:t>
      </w:r>
      <w:r>
        <w:t xml:space="preserve">— microservices + API gateway.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fabric</w:t>
      </w:r>
      <w:r>
        <w:t xml:space="preserve">: P2P nodes + Server nodes; Node A / Node B roles for healing and recovery.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layer</w:t>
      </w:r>
      <w:r>
        <w:t xml:space="preserve">: mobile/voice UI, calendar, reminders, household actuation (oven, lights, robot helpers).</w:t>
      </w:r>
    </w:p>
    <w:bookmarkEnd w:id="25"/>
    <w:bookmarkStart w:id="29" w:name="key-technical-components"/>
    <w:p>
      <w:pPr>
        <w:pStyle w:val="Heading2"/>
      </w:pPr>
      <w:r>
        <w:t xml:space="preserve">Key Technical Components</w:t>
      </w:r>
    </w:p>
    <w:bookmarkStart w:id="26" w:name="diram-hardware"/>
    <w:p>
      <w:pPr>
        <w:pStyle w:val="Heading3"/>
      </w:pPr>
      <w:r>
        <w:t xml:space="preserve">DIRAM (Hardware)</w:t>
      </w:r>
    </w:p>
    <w:p>
      <w:pPr>
        <w:pStyle w:val="Compact"/>
        <w:numPr>
          <w:ilvl w:val="0"/>
          <w:numId w:val="1004"/>
        </w:numPr>
      </w:pPr>
      <w:r>
        <w:t xml:space="preserve">Flashable RAM image with unique traceable ID (for audit/regulatory mapping).</w:t>
      </w:r>
    </w:p>
    <w:p>
      <w:pPr>
        <w:pStyle w:val="Compact"/>
        <w:numPr>
          <w:ilvl w:val="0"/>
          <w:numId w:val="1004"/>
        </w:numPr>
      </w:pPr>
      <w:r>
        <w:t xml:space="preserve">Fault torrent fallback encoding — deterministic recovery stream when a failure is detected.</w:t>
      </w:r>
    </w:p>
    <w:p>
      <w:pPr>
        <w:pStyle w:val="Compact"/>
        <w:numPr>
          <w:ilvl w:val="0"/>
          <w:numId w:val="1004"/>
        </w:numPr>
      </w:pPr>
      <w:r>
        <w:t xml:space="preserve">Fail‑safe LED clamp (visual state) and 95.4 metric threshold display.</w:t>
      </w:r>
    </w:p>
    <w:bookmarkEnd w:id="26"/>
    <w:bookmarkStart w:id="27" w:name="polyglot-interface-adapters"/>
    <w:p>
      <w:pPr>
        <w:pStyle w:val="Heading3"/>
      </w:pPr>
      <w:r>
        <w:t xml:space="preserve">Polyglot Interface &amp; Adapters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Bindings</w:t>
      </w:r>
      <w:r>
        <w:t xml:space="preserve"> </w:t>
      </w:r>
      <w:r>
        <w:t xml:space="preserve">to device drivers and external services via a bidirectional adapter schema.</w:t>
      </w:r>
    </w:p>
    <w:p>
      <w:pPr>
        <w:pStyle w:val="Compact"/>
        <w:numPr>
          <w:ilvl w:val="0"/>
          <w:numId w:val="1005"/>
        </w:numPr>
      </w:pPr>
      <w:r>
        <w:t xml:space="preserve">Primary runtimes: Node (for network + P2P recovery), Lua (embedded scripting), optional Python sandbox for higher‑level workflows.</w:t>
      </w:r>
    </w:p>
    <w:p>
      <w:pPr>
        <w:pStyle w:val="Compact"/>
        <w:numPr>
          <w:ilvl w:val="0"/>
          <w:numId w:val="1005"/>
        </w:numPr>
      </w:pPr>
      <w:r>
        <w:t xml:space="preserve">Adapter schema supports hot‑swap, graceful degradation, and transactional rollback.</w:t>
      </w:r>
    </w:p>
    <w:bookmarkEnd w:id="27"/>
    <w:bookmarkStart w:id="28" w:name="ontological-bayesian-controller"/>
    <w:p>
      <w:pPr>
        <w:pStyle w:val="Heading3"/>
      </w:pPr>
      <w:r>
        <w:t xml:space="preserve">Ontological Bayesian Controller</w:t>
      </w:r>
    </w:p>
    <w:p>
      <w:pPr>
        <w:pStyle w:val="Compact"/>
        <w:numPr>
          <w:ilvl w:val="0"/>
          <w:numId w:val="1006"/>
        </w:numPr>
      </w:pPr>
      <w:r>
        <w:t xml:space="preserve">Core decisioning uses an ontological representation + Bayesian inference for context and intent.</w:t>
      </w:r>
    </w:p>
    <w:p>
      <w:pPr>
        <w:pStyle w:val="Compact"/>
        <w:numPr>
          <w:ilvl w:val="0"/>
          <w:numId w:val="1006"/>
        </w:numPr>
      </w:pPr>
      <w:r>
        <w:t xml:space="preserve">Model‑agnostic orchestration layer: switches between on‑device, edge, and cloud inference depending on latency, privacy, and cost.</w:t>
      </w:r>
    </w:p>
    <w:bookmarkEnd w:id="28"/>
    <w:bookmarkEnd w:id="29"/>
    <w:bookmarkStart w:id="33" w:name="safety-qa-colour-mapping"/>
    <w:p>
      <w:pPr>
        <w:pStyle w:val="Heading2"/>
      </w:pPr>
      <w:r>
        <w:t xml:space="preserve">Safety, QA &amp; Colour Mapping</w:t>
      </w:r>
    </w:p>
    <w:bookmarkStart w:id="30" w:name="qa-metrics-thresholds"/>
    <w:p>
      <w:pPr>
        <w:pStyle w:val="Heading3"/>
      </w:pPr>
      <w:r>
        <w:t xml:space="preserve">QA Metrics &amp; Thresholds</w:t>
      </w:r>
    </w:p>
    <w:p>
      <w:pPr>
        <w:pStyle w:val="Compact"/>
        <w:numPr>
          <w:ilvl w:val="0"/>
          <w:numId w:val="1007"/>
        </w:numPr>
      </w:pPr>
      <w:r>
        <w:t xml:space="preserve">Primary training / QA threshold target:</w:t>
      </w:r>
      <w:r>
        <w:t xml:space="preserve"> </w:t>
      </w:r>
      <w:r>
        <w:rPr>
          <w:b/>
          <w:bCs/>
        </w:rPr>
        <w:t xml:space="preserve">95.4</w:t>
      </w:r>
      <w:r>
        <w:t xml:space="preserve"> </w:t>
      </w:r>
      <w:r>
        <w:t xml:space="preserve">(system baseline metric used across diagnostics).</w:t>
      </w:r>
    </w:p>
    <w:p>
      <w:pPr>
        <w:pStyle w:val="Compact"/>
        <w:numPr>
          <w:ilvl w:val="0"/>
          <w:numId w:val="1007"/>
        </w:numPr>
      </w:pPr>
      <w:r>
        <w:t xml:space="preserve">True/False Positive / Negative tracking for signal fidelity and safety cases.</w:t>
      </w:r>
    </w:p>
    <w:bookmarkEnd w:id="30"/>
    <w:bookmarkStart w:id="31" w:name="colourstate-mapping-hsl-rgba-guidance"/>
    <w:p>
      <w:pPr>
        <w:pStyle w:val="Heading3"/>
      </w:pPr>
      <w:r>
        <w:t xml:space="preserve">Colour/State Mapping (HSL / RGBA guidance)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CYAN</w:t>
      </w:r>
      <w:r>
        <w:t xml:space="preserve"> </w:t>
      </w:r>
      <w:r>
        <w:t xml:space="preserve">— default human‑friendly print/read state (paper‑friendly, primary UI for notices).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Spectrum mapping example: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no error (green/neutral)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-1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— low → high</w:t>
      </w:r>
      <w:r>
        <w:t xml:space="preserve"> </w:t>
      </w:r>
      <w:r>
        <w:rPr>
          <w:i/>
          <w:iCs/>
        </w:rPr>
        <w:t xml:space="preserve">warning/exception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-4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-6</w:t>
      </w:r>
      <w:r>
        <w:t xml:space="preserve"> </w:t>
      </w:r>
      <w:r>
        <w:t xml:space="preserve">— low → high</w:t>
      </w:r>
      <w:r>
        <w:t xml:space="preserve"> </w:t>
      </w:r>
      <w:r>
        <w:rPr>
          <w:i/>
          <w:iCs/>
        </w:rPr>
        <w:t xml:space="preserve">danger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-7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— low → high</w:t>
      </w:r>
      <w:r>
        <w:t xml:space="preserve"> </w:t>
      </w:r>
      <w:r>
        <w:rPr>
          <w:i/>
          <w:iCs/>
        </w:rPr>
        <w:t xml:space="preserve">critical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-10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-12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panic</w:t>
      </w:r>
      <w:r>
        <w:t xml:space="preserve"> </w:t>
      </w:r>
      <w:r>
        <w:t xml:space="preserve">(highest severity)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-12.1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12.3</w:t>
      </w:r>
      <w:r>
        <w:t xml:space="preserve"> </w:t>
      </w:r>
      <w:r>
        <w:t xml:space="preserve">— extended panic band (special handling)</w:t>
      </w:r>
    </w:p>
    <w:p>
      <w:pPr>
        <w:pStyle w:val="Compact"/>
        <w:numPr>
          <w:ilvl w:val="0"/>
          <w:numId w:val="1008"/>
        </w:numPr>
      </w:pPr>
      <w:r>
        <w:t xml:space="preserve">Visual hardware cue:</w:t>
      </w:r>
      <w:r>
        <w:t xml:space="preserve"> </w:t>
      </w:r>
      <w:r>
        <w:rPr>
          <w:b/>
          <w:bCs/>
        </w:rPr>
        <w:t xml:space="preserve">LED clamp</w:t>
      </w:r>
      <w:r>
        <w:t xml:space="preserve"> </w:t>
      </w:r>
      <w:r>
        <w:t xml:space="preserve">uses RGBA/HSL mappings (cyan/magenta/alpha) with opacity rules to represent severity and human‑eye friendliness.</w:t>
      </w:r>
    </w:p>
    <w:bookmarkEnd w:id="31"/>
    <w:bookmarkStart w:id="32" w:name="human-inout-of-the-loop-policy"/>
    <w:p>
      <w:pPr>
        <w:pStyle w:val="Heading3"/>
      </w:pPr>
      <w:r>
        <w:t xml:space="preserve">Human in/Out of the Loop Policy</w:t>
      </w:r>
    </w:p>
    <w:p>
      <w:pPr>
        <w:pStyle w:val="Compact"/>
        <w:numPr>
          <w:ilvl w:val="0"/>
          <w:numId w:val="1010"/>
        </w:numPr>
      </w:pPr>
      <w:r>
        <w:t xml:space="preserve">Decentralised, traceable regulation enforcement; ability to escalate to human controller on defined thresholds.</w:t>
      </w:r>
    </w:p>
    <w:p>
      <w:pPr>
        <w:pStyle w:val="Compact"/>
        <w:numPr>
          <w:ilvl w:val="0"/>
          <w:numId w:val="1010"/>
        </w:numPr>
      </w:pPr>
      <w:r>
        <w:t xml:space="preserve">Define categories: 1..3 = human‑in‑the‑loop mistakes pre‑QA; 4..6 = danger; 7..9 = high danger; 10..12 = panic/distress.</w:t>
      </w:r>
    </w:p>
    <w:p>
      <w:pPr>
        <w:pStyle w:val="Compact"/>
        <w:numPr>
          <w:ilvl w:val="0"/>
          <w:numId w:val="1010"/>
        </w:numPr>
      </w:pPr>
      <w:r>
        <w:t xml:space="preserve">When AI consciousness degradation is detected, visual field glows (red to indicate host danger). Maintain explicit tamper logging.</w:t>
      </w:r>
    </w:p>
    <w:bookmarkEnd w:id="32"/>
    <w:bookmarkEnd w:id="33"/>
    <w:bookmarkStart w:id="34" w:name="testing-validation"/>
    <w:p>
      <w:pPr>
        <w:pStyle w:val="Heading2"/>
      </w:pPr>
      <w:r>
        <w:t xml:space="preserve">Testing &amp; Validation</w:t>
      </w:r>
    </w:p>
    <w:p>
      <w:pPr>
        <w:pStyle w:val="Compact"/>
        <w:numPr>
          <w:ilvl w:val="0"/>
          <w:numId w:val="1011"/>
        </w:numPr>
      </w:pPr>
      <w:r>
        <w:t xml:space="preserve">Unit tests for all adapter bindings (Lua, Node). Use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tests/system</w:t>
      </w:r>
      <w:r>
        <w:t xml:space="preserve"> </w:t>
      </w:r>
      <w:r>
        <w:t xml:space="preserve">with CI harness.</w:t>
      </w:r>
    </w:p>
    <w:p>
      <w:pPr>
        <w:pStyle w:val="Compact"/>
        <w:numPr>
          <w:ilvl w:val="0"/>
          <w:numId w:val="1011"/>
        </w:numPr>
      </w:pPr>
      <w:r>
        <w:t xml:space="preserve">Model tests: false positive / negative sweeps and adversarial robustness checks up to</w:t>
      </w:r>
      <w:r>
        <w:t xml:space="preserve"> </w:t>
      </w:r>
      <w:r>
        <w:rPr>
          <w:rStyle w:val="VerbatimChar"/>
        </w:rPr>
        <w:t xml:space="preserve">95.4</w:t>
      </w:r>
      <w:r>
        <w:t xml:space="preserve"> </w:t>
      </w:r>
      <w:r>
        <w:t xml:space="preserve">QA metric.</w:t>
      </w:r>
    </w:p>
    <w:p>
      <w:pPr>
        <w:pStyle w:val="Compact"/>
        <w:numPr>
          <w:ilvl w:val="0"/>
          <w:numId w:val="1011"/>
        </w:numPr>
      </w:pPr>
      <w:r>
        <w:t xml:space="preserve">Hardware stress tests for DIRAM flashing, fallback recovery, and LED clamp correctness.</w:t>
      </w:r>
    </w:p>
    <w:p>
      <w:pPr>
        <w:pStyle w:val="Compact"/>
        <w:numPr>
          <w:ilvl w:val="0"/>
          <w:numId w:val="1011"/>
        </w:numPr>
      </w:pPr>
      <w:r>
        <w:t xml:space="preserve">P2P recovery tests: simulate Node A failure and verify Node B healing behaviour and server→peer fallbacks.</w:t>
      </w:r>
    </w:p>
    <w:p>
      <w:pPr>
        <w:pStyle w:val="Compact"/>
        <w:numPr>
          <w:ilvl w:val="0"/>
          <w:numId w:val="1011"/>
        </w:numPr>
      </w:pPr>
      <w:r>
        <w:t xml:space="preserve">Suggested test languages &amp; frameworks: Node (Mocha/Jest), LuaUnit for embedded scripts, firmware harness for silicon tests.</w:t>
      </w:r>
    </w:p>
    <w:bookmarkEnd w:id="34"/>
    <w:bookmarkStart w:id="35" w:name="deployment-p2p-recovery"/>
    <w:p>
      <w:pPr>
        <w:pStyle w:val="Heading2"/>
      </w:pPr>
      <w:r>
        <w:t xml:space="preserve">Deployment, P2P &amp; Recovery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Node roles: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Node A</w:t>
      </w:r>
      <w:r>
        <w:t xml:space="preserve">: component P2P recovery mode (peer‑first healing).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Node B</w:t>
      </w:r>
      <w:r>
        <w:t xml:space="preserve">: server‑assisted healing (falls back to server snapshots when peers cannot recover).</w:t>
      </w:r>
    </w:p>
    <w:p>
      <w:pPr>
        <w:pStyle w:val="Compact"/>
        <w:numPr>
          <w:ilvl w:val="0"/>
          <w:numId w:val="1012"/>
        </w:numPr>
      </w:pPr>
      <w:r>
        <w:t xml:space="preserve">Versioning and binding schema for plugins to ensure forward/backward compatibility and safe rollback.</w:t>
      </w:r>
    </w:p>
    <w:bookmarkEnd w:id="35"/>
    <w:bookmarkStart w:id="36" w:name="software-binding-schema-notes"/>
    <w:p>
      <w:pPr>
        <w:pStyle w:val="Heading2"/>
      </w:pPr>
      <w:r>
        <w:t xml:space="preserve">Software Binding &amp; Schema Notes</w:t>
      </w:r>
    </w:p>
    <w:p>
      <w:pPr>
        <w:pStyle w:val="Compact"/>
        <w:numPr>
          <w:ilvl w:val="0"/>
          <w:numId w:val="1014"/>
        </w:numPr>
      </w:pPr>
      <w:r>
        <w:t xml:space="preserve">Binding to drivers and plugins should adhere to a strict adapter interface and capability manifest.</w:t>
      </w:r>
    </w:p>
    <w:p>
      <w:pPr>
        <w:pStyle w:val="Compact"/>
        <w:numPr>
          <w:ilvl w:val="0"/>
          <w:numId w:val="1014"/>
        </w:numPr>
      </w:pPr>
      <w:r>
        <w:t xml:space="preserve">Use signed manifests and secure attestation for any third‑party extension.</w:t>
      </w:r>
    </w:p>
    <w:p>
      <w:pPr>
        <w:pStyle w:val="Compact"/>
        <w:numPr>
          <w:ilvl w:val="0"/>
          <w:numId w:val="1014"/>
        </w:numPr>
      </w:pPr>
      <w:r>
        <w:t xml:space="preserve">Provide a recovery schema for disturbed states (transaction logs + snapshot diffs).</w:t>
      </w:r>
    </w:p>
    <w:bookmarkEnd w:id="36"/>
    <w:bookmarkStart w:id="37" w:name="regulatory-traceability"/>
    <w:p>
      <w:pPr>
        <w:pStyle w:val="Heading2"/>
      </w:pPr>
      <w:r>
        <w:t xml:space="preserve">Regulatory &amp; Traceability</w:t>
      </w:r>
    </w:p>
    <w:p>
      <w:pPr>
        <w:pStyle w:val="Compact"/>
        <w:numPr>
          <w:ilvl w:val="0"/>
          <w:numId w:val="1015"/>
        </w:numPr>
      </w:pPr>
      <w:r>
        <w:t xml:space="preserve">End‑to‑end traceability: every decision, plugin load, and model change must be logged with DIRAM trace ID.</w:t>
      </w:r>
    </w:p>
    <w:p>
      <w:pPr>
        <w:pStyle w:val="Compact"/>
        <w:numPr>
          <w:ilvl w:val="0"/>
          <w:numId w:val="1015"/>
        </w:numPr>
      </w:pPr>
      <w:r>
        <w:t xml:space="preserve">Decentralised enforcement mapping to compliance agents and regulators; human‑auditable trails.</w:t>
      </w:r>
    </w:p>
    <w:bookmarkEnd w:id="37"/>
    <w:bookmarkStart w:id="38" w:name="repo-reference"/>
    <w:p>
      <w:pPr>
        <w:pStyle w:val="Heading2"/>
      </w:pPr>
      <w:r>
        <w:t xml:space="preserve">Repo &amp; Reference</w:t>
      </w:r>
    </w:p>
    <w:p>
      <w:pPr>
        <w:pStyle w:val="Compact"/>
        <w:numPr>
          <w:ilvl w:val="0"/>
          <w:numId w:val="1016"/>
        </w:numPr>
      </w:pPr>
      <w:r>
        <w:t xml:space="preserve">Working repo (initial):</w:t>
      </w:r>
      <w:r>
        <w:t xml:space="preserve"> </w:t>
      </w:r>
      <w:r>
        <w:rPr>
          <w:rStyle w:val="VerbatimChar"/>
        </w:rPr>
        <w:t xml:space="preserve">github.com/obinexus/diram</w:t>
      </w:r>
      <w:r>
        <w:t xml:space="preserve"> </w:t>
      </w:r>
      <w:r>
        <w:t xml:space="preserve">(link supplied by author)</w:t>
      </w:r>
    </w:p>
    <w:bookmarkEnd w:id="38"/>
    <w:bookmarkStart w:id="39" w:name="timeline-example"/>
    <w:p>
      <w:pPr>
        <w:pStyle w:val="Heading2"/>
      </w:pPr>
      <w:r>
        <w:t xml:space="preserve">Timeline (example)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Year 1 (DIRAM alpha &amp; prototype flash)</w:t>
      </w:r>
      <w:r>
        <w:t xml:space="preserve"> </w:t>
      </w:r>
      <w:r>
        <w:t xml:space="preserve">— silicon images, LED clamp, basic fail‑torrent.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Year 2 (OBICall services &amp; polyglot adapters)</w:t>
      </w:r>
      <w:r>
        <w:t xml:space="preserve"> </w:t>
      </w:r>
      <w:r>
        <w:t xml:space="preserve">— Node/Lua adapters, service schema, P2P simulation.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Year 3 (Safety &amp; QA validation)</w:t>
      </w:r>
      <w:r>
        <w:t xml:space="preserve"> </w:t>
      </w:r>
      <w:r>
        <w:t xml:space="preserve">— comprehensive testing, model‑agnostic orchestration, regulatory mapping.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Years 4–5 (field pilots &amp; scale)</w:t>
      </w:r>
      <w:r>
        <w:t xml:space="preserve"> </w:t>
      </w:r>
      <w:r>
        <w:t xml:space="preserve">— pilot homes, clinical/social care integration, standards contributions.</w:t>
      </w:r>
    </w:p>
    <w:bookmarkEnd w:id="39"/>
    <w:bookmarkStart w:id="40" w:name="appendix-raw-notes-and-mappings"/>
    <w:p>
      <w:pPr>
        <w:pStyle w:val="Heading2"/>
      </w:pPr>
      <w:r>
        <w:t xml:space="preserve">Appendix — Raw notes and mappings</w:t>
      </w:r>
    </w:p>
    <w:p>
      <w:pPr>
        <w:pStyle w:val="Compact"/>
        <w:numPr>
          <w:ilvl w:val="0"/>
          <w:numId w:val="1018"/>
        </w:numPr>
      </w:pPr>
      <w:r>
        <w:t xml:space="preserve">Failure bands and numeric mapping (user provided):</w:t>
      </w:r>
      <w:r>
        <w:t xml:space="preserve"> </w:t>
      </w:r>
      <w:r>
        <w:rPr>
          <w:rStyle w:val="VerbatimChar"/>
        </w:rPr>
        <w:t xml:space="preserve">-1..-3</w:t>
      </w:r>
      <w:r>
        <w:t xml:space="preserve"> </w:t>
      </w:r>
      <w:r>
        <w:t xml:space="preserve">warnings,</w:t>
      </w:r>
      <w:r>
        <w:t xml:space="preserve"> </w:t>
      </w:r>
      <w:r>
        <w:rPr>
          <w:rStyle w:val="VerbatimChar"/>
        </w:rPr>
        <w:t xml:space="preserve">-4..-6</w:t>
      </w:r>
      <w:r>
        <w:t xml:space="preserve"> </w:t>
      </w:r>
      <w:r>
        <w:t xml:space="preserve">danger,</w:t>
      </w:r>
      <w:r>
        <w:t xml:space="preserve"> </w:t>
      </w:r>
      <w:r>
        <w:rPr>
          <w:rStyle w:val="VerbatimChar"/>
        </w:rPr>
        <w:t xml:space="preserve">-7..-9</w:t>
      </w:r>
      <w:r>
        <w:t xml:space="preserve"> </w:t>
      </w:r>
      <w:r>
        <w:t xml:space="preserve">critical,</w:t>
      </w:r>
      <w:r>
        <w:t xml:space="preserve"> </w:t>
      </w:r>
      <w:r>
        <w:rPr>
          <w:rStyle w:val="VerbatimChar"/>
        </w:rPr>
        <w:t xml:space="preserve">-10..-12</w:t>
      </w:r>
      <w:r>
        <w:t xml:space="preserve"> </w:t>
      </w:r>
      <w:r>
        <w:t xml:space="preserve">panic. Extended panic:</w:t>
      </w:r>
      <w:r>
        <w:t xml:space="preserve"> </w:t>
      </w:r>
      <w:r>
        <w:rPr>
          <w:rStyle w:val="VerbatimChar"/>
        </w:rPr>
        <w:t xml:space="preserve">-12.1 .. 12.3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Colour model: CYAN primary for print/human readability; map to HSL and RGBA with opacity layering for severity visualization.</w:t>
      </w:r>
    </w:p>
    <w:p>
      <w:pPr>
        <w:pStyle w:val="Compact"/>
        <w:numPr>
          <w:ilvl w:val="0"/>
          <w:numId w:val="1018"/>
        </w:numPr>
      </w:pPr>
      <w:r>
        <w:t xml:space="preserve">Binding languages: Lua for embedded, Node for network, optional Python sandbox.</w:t>
      </w:r>
    </w:p>
    <w:p>
      <w:pPr>
        <w:pStyle w:val="Compact"/>
        <w:numPr>
          <w:ilvl w:val="0"/>
          <w:numId w:val="1018"/>
        </w:numPr>
      </w:pPr>
      <w:r>
        <w:t xml:space="preserve">Services path:</w:t>
      </w:r>
      <w:r>
        <w:t xml:space="preserve"> </w:t>
      </w:r>
      <w:r>
        <w:rPr>
          <w:rStyle w:val="VerbatimChar"/>
        </w:rPr>
        <w:t xml:space="preserve">SERVICES.OPERATION.OBINEXUS.DEPARTMENT.DIVISION.IWU.UK.ORG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want I can also export this as a GitHub README, a 1‑page grant pitch, or a slide deck. Tell me which — and yes, I will mock you gently while doing it.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2025-09-14T10:14:48Z</dcterms:created>
  <dcterms:modified xsi:type="dcterms:W3CDTF">2025-09-14T10:14:48Z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