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32cd4f9c3c7196d7613f2896a3dd5e13b549afb"/>
    <w:p>
      <w:pPr>
        <w:pStyle w:val="Heading1"/>
      </w:pPr>
      <w:r>
        <w:t xml:space="preserve">Quantum ↔ Classical Entanglement — Formalization &amp; Properties</w:t>
      </w:r>
    </w:p>
    <w:bookmarkStart w:id="20" w:name="purpose"/>
    <w:p>
      <w:pPr>
        <w:pStyle w:val="Heading2"/>
      </w:pPr>
      <w:r>
        <w:t xml:space="preserve">Purpose</w:t>
      </w:r>
    </w:p>
    <w:p>
      <w:pPr>
        <w:pStyle w:val="FirstParagraph"/>
      </w:pPr>
      <w:r>
        <w:t xml:space="preserve">Turn your ideas into a concise, formal document that you can iterate on, share on GitHub, or use as the basis for a paper or project. This doc summarizes classical vs quantum entanglement, explains bound entanglement, and formalizes the properties you mentioned (periodicity, measurement occurrence, coupling to fields like the Higgs/spacetime) in mathematical and conceptual terms.</w:t>
      </w:r>
    </w:p>
    <w:p>
      <w:r>
        <w:pict>
          <v:rect style="width:0;height:1.5pt" o:hralign="center" o:hrstd="t" o:hr="t"/>
        </w:pict>
      </w:r>
    </w:p>
    <w:bookmarkEnd w:id="20"/>
    <w:bookmarkStart w:id="21" w:name="key-concepts-informal"/>
    <w:p>
      <w:pPr>
        <w:pStyle w:val="Heading2"/>
      </w:pPr>
      <w:r>
        <w:t xml:space="preserve">1. Key concepts (informal)</w:t>
      </w:r>
    </w:p>
    <w:p>
      <w:pPr>
        <w:pStyle w:val="Compact"/>
        <w:numPr>
          <w:ilvl w:val="0"/>
          <w:numId w:val="1001"/>
        </w:numPr>
      </w:pPr>
      <w:r>
        <w:rPr>
          <w:b/>
          <w:bCs/>
        </w:rPr>
        <w:t xml:space="preserve">Entanglement (quantum):</w:t>
      </w:r>
      <w:r>
        <w:t xml:space="preserve"> </w:t>
      </w:r>
      <w:r>
        <w:t xml:space="preserve">non‑separable joint quantum states where the global state cannot be written as a product of local states. Measurement outcomes on one subsystem are correlated with outcomes on another beyond classical correlations.</w:t>
      </w:r>
    </w:p>
    <w:p>
      <w:pPr>
        <w:pStyle w:val="Compact"/>
        <w:numPr>
          <w:ilvl w:val="0"/>
          <w:numId w:val="1001"/>
        </w:numPr>
      </w:pPr>
      <w:r>
        <w:rPr>
          <w:b/>
          <w:bCs/>
        </w:rPr>
        <w:t xml:space="preserve">Classical entanglement:</w:t>
      </w:r>
      <w:r>
        <w:t xml:space="preserve"> </w:t>
      </w:r>
      <w:r>
        <w:t xml:space="preserve">deterministic or statistical correlations between degrees of freedom in classical systems that can mimic some features of quantum entanglement (correlations, coincidence counts) but lack nonlocality and Bell‑inequality violations intrinsic to quantum entanglement.</w:t>
      </w:r>
    </w:p>
    <w:p>
      <w:pPr>
        <w:pStyle w:val="Compact"/>
        <w:numPr>
          <w:ilvl w:val="0"/>
          <w:numId w:val="1001"/>
        </w:numPr>
      </w:pPr>
      <w:r>
        <w:rPr>
          <w:b/>
          <w:bCs/>
        </w:rPr>
        <w:t xml:space="preserve">Bound entanglement:</w:t>
      </w:r>
      <w:r>
        <w:t xml:space="preserve"> </w:t>
      </w:r>
      <w:r>
        <w:t xml:space="preserve">a form of quantum entanglement that cannot be distilled into Bell pairs (maximally entangled singlets) by local operations and classical communication; resource‑theoretically</w:t>
      </w:r>
      <w:r>
        <w:t xml:space="preserve"> </w:t>
      </w:r>
      <w:r>
        <w:t xml:space="preserve">“locked.”</w:t>
      </w:r>
    </w:p>
    <w:p>
      <w:r>
        <w:pict>
          <v:rect style="width:0;height:1.5pt" o:hralign="center" o:hrstd="t" o:hr="t"/>
        </w:pict>
      </w:r>
    </w:p>
    <w:bookmarkEnd w:id="21"/>
    <w:bookmarkStart w:id="22" w:name="formal-definitions-mathready"/>
    <w:p>
      <w:pPr>
        <w:pStyle w:val="Heading2"/>
      </w:pPr>
      <w:r>
        <w:t xml:space="preserve">2. Formal definitions (math‑ready)</w:t>
      </w:r>
    </w:p>
    <w:p>
      <w:pPr>
        <w:pStyle w:val="Compact"/>
        <w:numPr>
          <w:ilvl w:val="0"/>
          <w:numId w:val="1002"/>
        </w:numPr>
      </w:pPr>
      <w:r>
        <w:rPr>
          <w:b/>
          <w:bCs/>
        </w:rPr>
        <w:t xml:space="preserve">Quantum pure-state entanglement:</w:t>
      </w:r>
      <w:r>
        <w:t xml:space="preserve"> </w:t>
      </w:r>
      <w:r>
        <w:t xml:space="preserve">a bipartite pure state (|</w:t>
      </w:r>
      <w:r>
        <w:rPr>
          <w:i/>
          <w:iCs/>
        </w:rPr>
        <w:t xml:space="preserve">{AB}) is separable iff (|</w:t>
      </w:r>
      <w:r>
        <w:t xml:space="preserve">{AB} = |</w:t>
      </w:r>
      <w:r>
        <w:t xml:space="preserve">_A</w:t>
      </w:r>
      <w:r>
        <w:t xml:space="preserve">|</w:t>
      </w:r>
      <w:r>
        <w:t xml:space="preserve">_B). Otherwise it is entangled.</w:t>
      </w:r>
    </w:p>
    <w:p>
      <w:pPr>
        <w:pStyle w:val="Compact"/>
        <w:numPr>
          <w:ilvl w:val="0"/>
          <w:numId w:val="1002"/>
        </w:numPr>
      </w:pPr>
      <w:r>
        <w:rPr>
          <w:b/>
          <w:bCs/>
        </w:rPr>
        <w:t xml:space="preserve">Mixed‑state entanglement (separability):</w:t>
      </w:r>
      <w:r>
        <w:t xml:space="preserve"> </w:t>
      </w:r>
      <w:r>
        <w:t xml:space="preserve">a mixed state (</w:t>
      </w:r>
      <w:r>
        <w:rPr>
          <w:i/>
          <w:iCs/>
        </w:rPr>
        <w:t xml:space="preserve">{AB}) is separable iff it can be written as (</w:t>
      </w:r>
      <w:r>
        <w:t xml:space="preserve">{AB}=</w:t>
      </w:r>
      <w:r>
        <w:t xml:space="preserve">_k p_k,</w:t>
      </w:r>
      <w:r>
        <w:t xml:space="preserve">_A^{(k)}</w:t>
      </w:r>
      <w:r>
        <w:t xml:space="preserve">_B^{(k)}). If not, it is entangled.</w:t>
      </w:r>
    </w:p>
    <w:p>
      <w:pPr>
        <w:pStyle w:val="Compact"/>
        <w:numPr>
          <w:ilvl w:val="0"/>
          <w:numId w:val="1002"/>
        </w:numPr>
      </w:pPr>
      <w:r>
        <w:rPr>
          <w:b/>
          <w:bCs/>
        </w:rPr>
        <w:t xml:space="preserve">Partial transpose (PPT) criterion:</w:t>
      </w:r>
      <w:r>
        <w:t xml:space="preserve"> </w:t>
      </w:r>
      <w:r>
        <w:t xml:space="preserve">for low dimensions (2×2, 2×3), PPT is necessary and sufficient for separability; PPT states that are entangled are examples of bound entanglement.</w:t>
      </w:r>
    </w:p>
    <w:p>
      <w:r>
        <w:pict>
          <v:rect style="width:0;height:1.5pt" o:hralign="center" o:hrstd="t" o:hr="t"/>
        </w:pict>
      </w:r>
    </w:p>
    <w:bookmarkEnd w:id="22"/>
    <w:bookmarkStart w:id="23" w:name="X47431fcbaf474f4f05a0b4cca007fe68e1f2246"/>
    <w:p>
      <w:pPr>
        <w:pStyle w:val="Heading2"/>
      </w:pPr>
      <w:r>
        <w:t xml:space="preserve">3. Classical systems with entanglement‑like correlations</w:t>
      </w:r>
    </w:p>
    <w:p>
      <w:pPr>
        <w:pStyle w:val="Compact"/>
        <w:numPr>
          <w:ilvl w:val="0"/>
          <w:numId w:val="1003"/>
        </w:numPr>
      </w:pPr>
      <w:r>
        <w:rPr>
          <w:b/>
          <w:bCs/>
        </w:rPr>
        <w:t xml:space="preserve">Model:</w:t>
      </w:r>
      <w:r>
        <w:t xml:space="preserve"> </w:t>
      </w:r>
      <w:r>
        <w:t xml:space="preserve">treat classical degrees of freedom as random variables. Correlation/entanglement analogue: joint probability distribution (P(X,Y)) not factorable into (P(X)P(Y)).</w:t>
      </w:r>
    </w:p>
    <w:p>
      <w:pPr>
        <w:pStyle w:val="Compact"/>
        <w:numPr>
          <w:ilvl w:val="0"/>
          <w:numId w:val="1003"/>
        </w:numPr>
      </w:pPr>
      <w:r>
        <w:rPr>
          <w:b/>
          <w:bCs/>
        </w:rPr>
        <w:t xml:space="preserve">Limitations:</w:t>
      </w:r>
      <w:r>
        <w:t xml:space="preserve"> </w:t>
      </w:r>
      <w:r>
        <w:t xml:space="preserve">classical models cannot reproduce violations of Bell inequalities unless they exploit contextuality or communication; experiments can be mimicked by carefully pre‑arranged classical correlations but not by local realistic models that satisfy Bell constraints.</w:t>
      </w:r>
    </w:p>
    <w:p>
      <w:r>
        <w:pict>
          <v:rect style="width:0;height:1.5pt" o:hralign="center" o:hrstd="t" o:hr="t"/>
        </w:pict>
      </w:r>
    </w:p>
    <w:bookmarkEnd w:id="23"/>
    <w:bookmarkStart w:id="24" w:name="Xba993da61c16c9be9ab0f078f4ea76dae7e0be5"/>
    <w:p>
      <w:pPr>
        <w:pStyle w:val="Heading2"/>
      </w:pPr>
      <w:r>
        <w:t xml:space="preserve">4. Bound entanglement — properties and operational meaning</w:t>
      </w:r>
    </w:p>
    <w:p>
      <w:pPr>
        <w:pStyle w:val="Compact"/>
        <w:numPr>
          <w:ilvl w:val="0"/>
          <w:numId w:val="1004"/>
        </w:numPr>
      </w:pPr>
      <w:r>
        <w:rPr>
          <w:b/>
          <w:bCs/>
        </w:rPr>
        <w:t xml:space="preserve">Definition (operational):</w:t>
      </w:r>
      <w:r>
        <w:t xml:space="preserve"> </w:t>
      </w:r>
      <w:r>
        <w:t xml:space="preserve">entanglement that is non‑distillable by LOCC. It can still be useful in some protocols (activation phenomena), and recent research shows surprising resourcefulness of bound entangled states in certain communication tasks.</w:t>
      </w:r>
    </w:p>
    <w:p>
      <w:pPr>
        <w:pStyle w:val="Compact"/>
        <w:numPr>
          <w:ilvl w:val="0"/>
          <w:numId w:val="1004"/>
        </w:numPr>
      </w:pPr>
      <w:r>
        <w:rPr>
          <w:b/>
          <w:bCs/>
        </w:rPr>
        <w:t xml:space="preserve">Practical note:</w:t>
      </w:r>
      <w:r>
        <w:t xml:space="preserve"> </w:t>
      </w:r>
      <w:r>
        <w:t xml:space="preserve">bound entanglement is subtle experimentally; many modern results (2020–2025) explore activation and metrological uses.</w:t>
      </w:r>
    </w:p>
    <w:p>
      <w:r>
        <w:pict>
          <v:rect style="width:0;height:1.5pt" o:hralign="center" o:hrstd="t" o:hr="t"/>
        </w:pict>
      </w:r>
    </w:p>
    <w:bookmarkEnd w:id="24"/>
    <w:bookmarkStart w:id="25" w:name="Xd452905f2da900a117c2a58c3508e9c1c5c5442"/>
    <w:p>
      <w:pPr>
        <w:pStyle w:val="Heading2"/>
      </w:pPr>
      <w:r>
        <w:t xml:space="preserve">5. Higgs boson, particles, and entanglement (conceptual)</w:t>
      </w:r>
    </w:p>
    <w:p>
      <w:pPr>
        <w:pStyle w:val="Compact"/>
        <w:numPr>
          <w:ilvl w:val="0"/>
          <w:numId w:val="1005"/>
        </w:numPr>
      </w:pPr>
      <w:r>
        <w:rPr>
          <w:b/>
          <w:bCs/>
        </w:rPr>
        <w:t xml:space="preserve">Particle creation &amp; detection:</w:t>
      </w:r>
      <w:r>
        <w:t xml:space="preserve"> </w:t>
      </w:r>
      <w:r>
        <w:t xml:space="preserve">short‑lived particles (like the Higgs) appear as resonances in scattering experiments — they are not classical objects; their creation is a quantum process described by quantum field theory (QFT).</w:t>
      </w:r>
    </w:p>
    <w:p>
      <w:pPr>
        <w:pStyle w:val="Compact"/>
        <w:numPr>
          <w:ilvl w:val="0"/>
          <w:numId w:val="1005"/>
        </w:numPr>
      </w:pPr>
      <w:r>
        <w:rPr>
          <w:b/>
          <w:bCs/>
        </w:rPr>
        <w:t xml:space="preserve">Entanglement in QFT:</w:t>
      </w:r>
      <w:r>
        <w:t xml:space="preserve"> </w:t>
      </w:r>
      <w:r>
        <w:t xml:space="preserve">field excitations can be entangled across space and degrees of freedom; entanglement entropy and mode entanglement are active research topics.</w:t>
      </w:r>
    </w:p>
    <w:p>
      <w:pPr>
        <w:pStyle w:val="Compact"/>
        <w:numPr>
          <w:ilvl w:val="0"/>
          <w:numId w:val="1005"/>
        </w:numPr>
      </w:pPr>
      <w:r>
        <w:rPr>
          <w:b/>
          <w:bCs/>
        </w:rPr>
        <w:t xml:space="preserve">Higgs ↔ spacetime coupling:</w:t>
      </w:r>
      <w:r>
        <w:t xml:space="preserve"> </w:t>
      </w:r>
      <w:r>
        <w:t xml:space="preserve">mainstream theory treats the Higgs field as a scalar field with interactions that give mass; explicit entanglement with spacetime geometry (gravity) is speculative and would require a quantum gravity theory to formalize. You can, however, speak about entanglement between the Higgs field modes and other field modes (or environment) in QFT treatments.</w:t>
      </w:r>
    </w:p>
    <w:p>
      <w:r>
        <w:pict>
          <v:rect style="width:0;height:1.5pt" o:hralign="center" o:hrstd="t" o:hr="t"/>
        </w:pict>
      </w:r>
    </w:p>
    <w:bookmarkEnd w:id="25"/>
    <w:bookmarkStart w:id="26" w:name="formalizing-your-properties-template"/>
    <w:p>
      <w:pPr>
        <w:pStyle w:val="Heading2"/>
      </w:pPr>
      <w:r>
        <w:t xml:space="preserve">6. Formalizing your properties (template)</w:t>
      </w:r>
    </w:p>
    <w:p>
      <w:pPr>
        <w:pStyle w:val="FirstParagraph"/>
      </w:pPr>
      <w:r>
        <w:t xml:space="preserve">Use this template to encode your intuitions as testable statements.</w:t>
      </w:r>
    </w:p>
    <w:p>
      <w:pPr>
        <w:pStyle w:val="BodyText"/>
      </w:pPr>
      <w:r>
        <w:rPr>
          <w:b/>
          <w:bCs/>
        </w:rPr>
        <w:t xml:space="preserve">Property P1 (periodicity of detection):</w:t>
      </w:r>
      <w:r>
        <w:t xml:space="preserve"> </w:t>
      </w:r>
      <w:r>
        <w:t xml:space="preserve">“The probability of detecting particle X (e.g., Higgs) in repeated scattering trials exhibits time‑dependent or experimental‑parameter‑dependent modulation.”</w:t>
      </w:r>
      <w:r>
        <w:br/>
      </w:r>
      <w:r>
        <w:rPr>
          <w:i/>
          <w:iCs/>
        </w:rPr>
        <w:t xml:space="preserve">Test:</w:t>
      </w:r>
      <w:r>
        <w:t xml:space="preserve"> </w:t>
      </w:r>
      <w:r>
        <w:t xml:space="preserve">collect detection timestamps or cross‑section vs parameter and compute spectral content (Fourier) for periodicity.</w:t>
      </w:r>
    </w:p>
    <w:p>
      <w:pPr>
        <w:pStyle w:val="BodyText"/>
      </w:pPr>
      <w:r>
        <w:rPr>
          <w:b/>
          <w:bCs/>
        </w:rPr>
        <w:t xml:space="preserve">Property P2 (coupling/entanglement to background):</w:t>
      </w:r>
      <w:r>
        <w:t xml:space="preserve"> </w:t>
      </w:r>
      <w:r>
        <w:t xml:space="preserve">“Modes of field A (Higgs) have non‑zero entanglement entropy with modes describing background B (other fields, environment), measurable via correlation functions.”</w:t>
      </w:r>
      <w:r>
        <w:br/>
      </w:r>
      <w:r>
        <w:rPr>
          <w:i/>
          <w:iCs/>
        </w:rPr>
        <w:t xml:space="preserve">Test:</w:t>
      </w:r>
      <w:r>
        <w:t xml:space="preserve"> </w:t>
      </w:r>
      <w:r>
        <w:t xml:space="preserve">compute two‑point correlation functions and reduced density matrices in simple QFT toy models; numerically evaluate entanglement entropy for mode partitions.</w:t>
      </w:r>
    </w:p>
    <w:p>
      <w:pPr>
        <w:pStyle w:val="BodyText"/>
      </w:pPr>
      <w:r>
        <w:rPr>
          <w:b/>
          <w:bCs/>
        </w:rPr>
        <w:t xml:space="preserve">Property P3 (classical mimicry):</w:t>
      </w:r>
      <w:r>
        <w:t xml:space="preserve"> </w:t>
      </w:r>
      <w:r>
        <w:t xml:space="preserve">“A classical network of oscillators or correlated variables can reproduce some statistical signatures of the quantum correlations observed in X experiments, but cannot violate Bell inequalities under LO conditions.”</w:t>
      </w:r>
      <w:r>
        <w:br/>
      </w:r>
      <w:r>
        <w:rPr>
          <w:i/>
          <w:iCs/>
        </w:rPr>
        <w:t xml:space="preserve">Test:</w:t>
      </w:r>
      <w:r>
        <w:t xml:space="preserve"> </w:t>
      </w:r>
      <w:r>
        <w:t xml:space="preserve">build the classical model, simulate, and compare to quantum predictions, including Bell tests.</w:t>
      </w:r>
    </w:p>
    <w:p>
      <w:r>
        <w:pict>
          <v:rect style="width:0;height:1.5pt" o:hralign="center" o:hrstd="t" o:hr="t"/>
        </w:pict>
      </w:r>
    </w:p>
    <w:bookmarkEnd w:id="26"/>
    <w:bookmarkStart w:id="27" w:name="practical-next-steps-implementable"/>
    <w:p>
      <w:pPr>
        <w:pStyle w:val="Heading2"/>
      </w:pPr>
      <w:r>
        <w:t xml:space="preserve">7. Practical next steps (implementable)</w:t>
      </w:r>
    </w:p>
    <w:p>
      <w:pPr>
        <w:pStyle w:val="Compact"/>
        <w:numPr>
          <w:ilvl w:val="0"/>
          <w:numId w:val="1006"/>
        </w:numPr>
      </w:pPr>
      <w:r>
        <w:rPr>
          <w:b/>
          <w:bCs/>
        </w:rPr>
        <w:t xml:space="preserve">Choose a model:</w:t>
      </w:r>
      <w:r>
        <w:t xml:space="preserve"> </w:t>
      </w:r>
      <w:r>
        <w:t xml:space="preserve">(a) Simple toy QFT with scalar field modes in 1+1D; (b) open quantum system with Higgs‑like excitation coupled to an environment.</w:t>
      </w:r>
    </w:p>
    <w:p>
      <w:pPr>
        <w:pStyle w:val="Compact"/>
        <w:numPr>
          <w:ilvl w:val="0"/>
          <w:numId w:val="1006"/>
        </w:numPr>
      </w:pPr>
      <w:r>
        <w:rPr>
          <w:b/>
          <w:bCs/>
        </w:rPr>
        <w:t xml:space="preserve">Compute correlations:</w:t>
      </w:r>
      <w:r>
        <w:t xml:space="preserve"> </w:t>
      </w:r>
      <w:r>
        <w:t xml:space="preserve">derive mode correlation functions, compute reduced density matrices for subsystems.</w:t>
      </w:r>
    </w:p>
    <w:p>
      <w:pPr>
        <w:pStyle w:val="Compact"/>
        <w:numPr>
          <w:ilvl w:val="0"/>
          <w:numId w:val="1006"/>
        </w:numPr>
      </w:pPr>
      <w:r>
        <w:rPr>
          <w:b/>
          <w:bCs/>
        </w:rPr>
        <w:t xml:space="preserve">Numeric simulation:</w:t>
      </w:r>
      <w:r>
        <w:t xml:space="preserve"> </w:t>
      </w:r>
      <w:r>
        <w:t xml:space="preserve">use Python (NumPy, QuTiP) to simulate small‑mode systems and compute entanglement measures (negativity, concurrence, mutual information).</w:t>
      </w:r>
    </w:p>
    <w:p>
      <w:pPr>
        <w:pStyle w:val="Compact"/>
        <w:numPr>
          <w:ilvl w:val="0"/>
          <w:numId w:val="1006"/>
        </w:numPr>
      </w:pPr>
      <w:r>
        <w:rPr>
          <w:b/>
          <w:bCs/>
        </w:rPr>
        <w:t xml:space="preserve">Classical analogue:</w:t>
      </w:r>
      <w:r>
        <w:t xml:space="preserve"> </w:t>
      </w:r>
      <w:r>
        <w:t xml:space="preserve">create coupled classical oscillators (mass‑spring or electrical LC circuits) with correlated drives to show classical correlations and compare spectra and correlation functions.</w:t>
      </w:r>
    </w:p>
    <w:p>
      <w:pPr>
        <w:pStyle w:val="Compact"/>
        <w:numPr>
          <w:ilvl w:val="0"/>
          <w:numId w:val="1006"/>
        </w:numPr>
      </w:pPr>
      <w:r>
        <w:rPr>
          <w:b/>
          <w:bCs/>
        </w:rPr>
        <w:t xml:space="preserve">Compare:</w:t>
      </w:r>
      <w:r>
        <w:t xml:space="preserve"> </w:t>
      </w:r>
      <w:r>
        <w:t xml:space="preserve">run Bell‑type inequalities or steering tests on the quantum model (if feasible) and demonstrate where classical models fail.</w:t>
      </w:r>
    </w:p>
    <w:p>
      <w:r>
        <w:pict>
          <v:rect style="width:0;height:1.5pt" o:hralign="center" o:hrstd="t" o:hr="t"/>
        </w:pict>
      </w:r>
    </w:p>
    <w:bookmarkEnd w:id="27"/>
    <w:bookmarkStart w:id="28" w:name="suggested-code-tools"/>
    <w:p>
      <w:pPr>
        <w:pStyle w:val="Heading2"/>
      </w:pPr>
      <w:r>
        <w:t xml:space="preserve">8. Suggested code &amp; tools</w:t>
      </w:r>
    </w:p>
    <w:p>
      <w:pPr>
        <w:pStyle w:val="Compact"/>
        <w:numPr>
          <w:ilvl w:val="0"/>
          <w:numId w:val="1007"/>
        </w:numPr>
      </w:pPr>
      <w:r>
        <w:t xml:space="preserve">Python: NumPy, SciPy, QuTiP for open quantum systems, Matplotlib for plotting.</w:t>
      </w:r>
    </w:p>
    <w:p>
      <w:pPr>
        <w:pStyle w:val="Compact"/>
        <w:numPr>
          <w:ilvl w:val="0"/>
          <w:numId w:val="1007"/>
        </w:numPr>
      </w:pPr>
      <w:r>
        <w:t xml:space="preserve">QFT toy numerics: discretize modes on a lattice; use gaussian state formalism for free scalar fields.</w:t>
      </w:r>
    </w:p>
    <w:p>
      <w:pPr>
        <w:pStyle w:val="Compact"/>
        <w:numPr>
          <w:ilvl w:val="0"/>
          <w:numId w:val="1007"/>
        </w:numPr>
      </w:pPr>
      <w:r>
        <w:t xml:space="preserve">Classical simulation: ODE solvers (SciPy.integrate), SPICE for circuits if using electrical analogues.</w:t>
      </w:r>
    </w:p>
    <w:p>
      <w:r>
        <w:pict>
          <v:rect style="width:0;height:1.5pt" o:hralign="center" o:hrstd="t" o:hr="t"/>
        </w:pict>
      </w:r>
    </w:p>
    <w:bookmarkEnd w:id="28"/>
    <w:bookmarkStart w:id="29" w:name="notes-on-claims-and-caution"/>
    <w:p>
      <w:pPr>
        <w:pStyle w:val="Heading2"/>
      </w:pPr>
      <w:r>
        <w:t xml:space="preserve">9. Notes on claims and caution</w:t>
      </w:r>
    </w:p>
    <w:p>
      <w:pPr>
        <w:pStyle w:val="Compact"/>
        <w:numPr>
          <w:ilvl w:val="0"/>
          <w:numId w:val="1008"/>
        </w:numPr>
      </w:pPr>
      <w:r>
        <w:t xml:space="preserve">Entanglement is delicate and requires careful operational definitions. Be precise when saying a particle is</w:t>
      </w:r>
      <w:r>
        <w:t xml:space="preserve"> </w:t>
      </w:r>
      <w:r>
        <w:t xml:space="preserve">“entangled with spacetime”</w:t>
      </w:r>
      <w:r>
        <w:t xml:space="preserve"> </w:t>
      </w:r>
      <w:r>
        <w:t xml:space="preserve">— that claim is likely speculative without a quantum gravity framework.</w:t>
      </w:r>
    </w:p>
    <w:p>
      <w:pPr>
        <w:pStyle w:val="Compact"/>
        <w:numPr>
          <w:ilvl w:val="0"/>
          <w:numId w:val="1008"/>
        </w:numPr>
      </w:pPr>
      <w:r>
        <w:t xml:space="preserve">Bound entanglement exists and is active research; recent works show new operational uses.</w:t>
      </w:r>
    </w:p>
    <w:p>
      <w:r>
        <w:pict>
          <v:rect style="width:0;height:1.5pt" o:hralign="center" o:hrstd="t" o:hr="t"/>
        </w:pict>
      </w:r>
    </w:p>
    <w:p>
      <w:pPr>
        <w:pStyle w:val="FirstParagraph"/>
      </w:pPr>
      <w:r>
        <w:t xml:space="preserve">If you want, I can now:</w:t>
      </w:r>
      <w:r>
        <w:t xml:space="preserve"> </w:t>
      </w:r>
      <w:r>
        <w:t xml:space="preserve">- Add a short Python notebook (QuTiP) to compute entanglement measures for a 2‑mode scalar toy model.</w:t>
      </w:r>
      <w:r>
        <w:t xml:space="preserve"> </w:t>
      </w:r>
      <w:r>
        <w:t xml:space="preserve">- Produce a one‑page visual that contrasts classical vs quantum entanglement and illustrates bound entanglement.</w:t>
      </w:r>
      <w:r>
        <w:t xml:space="preserve"> </w:t>
      </w:r>
      <w:r>
        <w:t xml:space="preserve">- Create a checklist of experiments / measurements you could run (lab or simulation) to test P1–P3.</w:t>
      </w:r>
    </w:p>
    <w:p>
      <w:pPr>
        <w:pStyle w:val="BodyText"/>
      </w:pPr>
      <w:r>
        <w:t xml:space="preserve">Pick one and I’ll add it right into this canvas.</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2025-09-11T09:23:31Z</dcterms:created>
  <dcterms:modified xsi:type="dcterms:W3CDTF">2025-09-11T09:23:31Z</dcterms:modified>
</cp:coreProperties>
</file>

<file path=docProps/custom.xml><?xml version="1.0" encoding="utf-8"?>
<Properties xmlns="http://schemas.openxmlformats.org/officeDocument/2006/custom-properties" xmlns:vt="http://schemas.openxmlformats.org/officeDocument/2006/docPropsVTypes"/>
</file>