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31AE7AF"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p>
    <w:p w14:paraId="6E1E62F5" w14:textId="35CC536E"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w:t>
      </w:r>
      <w:r w:rsidRPr="00A835F8">
        <w:rPr>
          <w:rFonts w:ascii="Times New Roman" w:hAnsi="Times New Roman" w:cs="Times New Roman"/>
          <w:sz w:val="24"/>
          <w:szCs w:val="24"/>
        </w:rPr>
        <w:lastRenderedPageBreak/>
        <w:t>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w:t>
      </w:r>
      <w:r w:rsidRPr="00A835F8">
        <w:rPr>
          <w:rFonts w:ascii="Times New Roman" w:hAnsi="Times New Roman" w:cs="Times New Roman"/>
          <w:sz w:val="24"/>
          <w:szCs w:val="24"/>
        </w:rPr>
        <w:lastRenderedPageBreak/>
        <w:t>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A835F8">
        <w:rPr>
          <w:rFonts w:ascii="Times New Roman" w:eastAsiaTheme="minorHAnsi" w:hAnsi="Times New Roman" w:cs="Times New Roman"/>
          <w:sz w:val="24"/>
          <w:szCs w:val="24"/>
        </w:rPr>
        <w:lastRenderedPageBreak/>
        <w:t>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Rectified Linear Unit (ReLU) activation. These layers act as perceptive filters, </w:t>
      </w:r>
      <w:r w:rsidRPr="00224473">
        <w:rPr>
          <w:rFonts w:ascii="Times New Roman" w:eastAsiaTheme="minorHAnsi" w:hAnsi="Times New Roman" w:cs="Times New Roman"/>
          <w:sz w:val="24"/>
          <w:szCs w:val="24"/>
        </w:rPr>
        <w:lastRenderedPageBreak/>
        <w:t>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w:t>
      </w:r>
      <w:r w:rsidRPr="007C3A61">
        <w:rPr>
          <w:rFonts w:ascii="Times New Roman" w:eastAsiaTheme="minorHAnsi" w:hAnsi="Times New Roman" w:cs="Times New Roman"/>
          <w:sz w:val="24"/>
          <w:szCs w:val="24"/>
        </w:rPr>
        <w:lastRenderedPageBreak/>
        <w:t>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w:t>
      </w:r>
      <w:r w:rsidRPr="00A835F8">
        <w:rPr>
          <w:rFonts w:ascii="Times New Roman" w:hAnsi="Times New Roman" w:cs="Times New Roman"/>
          <w:sz w:val="24"/>
          <w:szCs w:val="24"/>
        </w:rPr>
        <w:lastRenderedPageBreak/>
        <w:t>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 xml:space="preserve">Multi-Instrument Music Transcription Based on Deep Spherical Clustering of </w:t>
      </w:r>
      <w:r w:rsidRPr="00A835F8">
        <w:rPr>
          <w:rFonts w:ascii="Times New Roman" w:hAnsi="Times New Roman" w:cs="Times New Roman"/>
          <w:sz w:val="24"/>
          <w:szCs w:val="24"/>
        </w:rPr>
        <w:lastRenderedPageBreak/>
        <w:t>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Ogihara, M., &amp; Li, Q. (2003). A comparative study on content-based music </w:t>
      </w:r>
      <w:r w:rsidRPr="00A835F8">
        <w:rPr>
          <w:rFonts w:ascii="Times New Roman" w:hAnsi="Times New Roman" w:cs="Times New Roman"/>
          <w:sz w:val="24"/>
          <w:szCs w:val="24"/>
        </w:rPr>
        <w:lastRenderedPageBreak/>
        <w:t>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Pr="00A835F8"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A72C4" w14:textId="77777777" w:rsidR="00785728" w:rsidRDefault="00785728" w:rsidP="00E914E8">
      <w:r>
        <w:separator/>
      </w:r>
    </w:p>
  </w:endnote>
  <w:endnote w:type="continuationSeparator" w:id="0">
    <w:p w14:paraId="20F5D4F3" w14:textId="77777777" w:rsidR="00785728" w:rsidRDefault="00785728"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1026" w14:textId="77777777" w:rsidR="00785728" w:rsidRDefault="00785728" w:rsidP="00E914E8">
      <w:r>
        <w:separator/>
      </w:r>
    </w:p>
  </w:footnote>
  <w:footnote w:type="continuationSeparator" w:id="0">
    <w:p w14:paraId="56CAEEA4" w14:textId="77777777" w:rsidR="00785728" w:rsidRDefault="00785728"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62B83"/>
    <w:rsid w:val="00065493"/>
    <w:rsid w:val="00080216"/>
    <w:rsid w:val="00096F5C"/>
    <w:rsid w:val="000B42D5"/>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B690F"/>
    <w:rsid w:val="002C1672"/>
    <w:rsid w:val="002F43EC"/>
    <w:rsid w:val="00307894"/>
    <w:rsid w:val="00320760"/>
    <w:rsid w:val="00321FDF"/>
    <w:rsid w:val="0033286A"/>
    <w:rsid w:val="003520EF"/>
    <w:rsid w:val="003A2E1D"/>
    <w:rsid w:val="003A3972"/>
    <w:rsid w:val="003A7511"/>
    <w:rsid w:val="003B64CE"/>
    <w:rsid w:val="003C4030"/>
    <w:rsid w:val="004026AB"/>
    <w:rsid w:val="0041706A"/>
    <w:rsid w:val="00427AFE"/>
    <w:rsid w:val="00431C98"/>
    <w:rsid w:val="00433738"/>
    <w:rsid w:val="004362BA"/>
    <w:rsid w:val="00436348"/>
    <w:rsid w:val="004377B6"/>
    <w:rsid w:val="00454212"/>
    <w:rsid w:val="004E7118"/>
    <w:rsid w:val="00541F73"/>
    <w:rsid w:val="00552669"/>
    <w:rsid w:val="00587020"/>
    <w:rsid w:val="005935B6"/>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85728"/>
    <w:rsid w:val="007B0D96"/>
    <w:rsid w:val="007C3A61"/>
    <w:rsid w:val="007D2632"/>
    <w:rsid w:val="007E253C"/>
    <w:rsid w:val="007E3553"/>
    <w:rsid w:val="007E4B0A"/>
    <w:rsid w:val="00813DDD"/>
    <w:rsid w:val="00814DE3"/>
    <w:rsid w:val="008266C7"/>
    <w:rsid w:val="008649CD"/>
    <w:rsid w:val="00876B16"/>
    <w:rsid w:val="00882BAB"/>
    <w:rsid w:val="008A29C1"/>
    <w:rsid w:val="00935729"/>
    <w:rsid w:val="0094436F"/>
    <w:rsid w:val="009452C1"/>
    <w:rsid w:val="00947497"/>
    <w:rsid w:val="00951B6F"/>
    <w:rsid w:val="009641E8"/>
    <w:rsid w:val="00971CEF"/>
    <w:rsid w:val="009944D0"/>
    <w:rsid w:val="00996108"/>
    <w:rsid w:val="009A0AA7"/>
    <w:rsid w:val="009B728F"/>
    <w:rsid w:val="009C29E1"/>
    <w:rsid w:val="009D5B5F"/>
    <w:rsid w:val="009E147F"/>
    <w:rsid w:val="009F24EB"/>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5561E"/>
    <w:rsid w:val="00D62395"/>
    <w:rsid w:val="00D731C7"/>
    <w:rsid w:val="00D75C9E"/>
    <w:rsid w:val="00D9060A"/>
    <w:rsid w:val="00D90E88"/>
    <w:rsid w:val="00D947BD"/>
    <w:rsid w:val="00DA1B04"/>
    <w:rsid w:val="00DD0C0C"/>
    <w:rsid w:val="00DE1F67"/>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6723</TotalTime>
  <Pages>30</Pages>
  <Words>13039</Words>
  <Characters>74327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43</cp:revision>
  <dcterms:created xsi:type="dcterms:W3CDTF">2023-04-08T12:47:00Z</dcterms:created>
  <dcterms:modified xsi:type="dcterms:W3CDTF">2023-09-10T21:13:00Z</dcterms:modified>
</cp:coreProperties>
</file>