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489DB1E8" w:rsidR="00B36E59" w:rsidRPr="00C812F9" w:rsidRDefault="00243C0A" w:rsidP="00FE1BD3">
      <w:pPr>
        <w:pStyle w:val="Heading2"/>
        <w:numPr>
          <w:ilvl w:val="1"/>
          <w:numId w:val="17"/>
        </w:numPr>
        <w:rPr>
          <w:sz w:val="28"/>
          <w:szCs w:val="28"/>
        </w:rPr>
      </w:pPr>
      <w:bookmarkStart w:id="8" w:name="_Toc146214622"/>
      <w:r w:rsidRPr="00C812F9">
        <w:rPr>
          <w:sz w:val="28"/>
          <w:szCs w:val="28"/>
        </w:rPr>
        <w:t>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(Gómez, Abeßer,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w:t>
      </w:r>
      <w:r w:rsidRPr="00A835F8">
        <w:rPr>
          <w:rFonts w:ascii="Times New Roman" w:hAnsi="Times New Roman" w:cs="Times New Roman"/>
          <w:sz w:val="24"/>
          <w:szCs w:val="24"/>
        </w:rPr>
        <w:lastRenderedPageBreak/>
        <w:t>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 xml:space="preserve">The review underscores the core similarity between CNNs and traditional ANNs in terms of self-optimization through learning. CNN neurons receive input data, perform operations, and generate a single perceptive score function. The last layer contains </w:t>
      </w:r>
      <w:r w:rsidRPr="00450C8F">
        <w:rPr>
          <w:rFonts w:ascii="Times New Roman" w:hAnsi="Times New Roman" w:cs="Times New Roman"/>
          <w:sz w:val="24"/>
          <w:szCs w:val="24"/>
        </w:rPr>
        <w:lastRenderedPageBreak/>
        <w:t>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4" w:name="_Hlk146218583"/>
      <w:r w:rsidR="00AB4F8D" w:rsidRPr="00AB4F8D">
        <w:rPr>
          <w:rFonts w:ascii="Times New Roman" w:hAnsi="Times New Roman" w:cs="Times New Roman"/>
          <w:sz w:val="24"/>
          <w:szCs w:val="24"/>
        </w:rPr>
        <w:t>(O’Shea &amp; Nash, 2015)</w:t>
      </w:r>
      <w:bookmarkEnd w:id="14"/>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which can be impractical.</w:t>
      </w:r>
    </w:p>
    <w:p w14:paraId="1E0C94F9" w14:textId="7AB45ED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beginners.Overall, this review underscores the significance of CNNs in the realm of image analysis and their potential to simplify complex problems by exploiting specific features of input data.</w:t>
      </w:r>
    </w:p>
    <w:p w14:paraId="401FD994" w14:textId="77777777" w:rsidR="00450C8F" w:rsidRPr="00450C8F" w:rsidRDefault="00450C8F">
      <w:pPr>
        <w:rPr>
          <w:rFonts w:ascii="Times New Roman" w:hAnsi="Times New Roman" w:cs="Times New Roman"/>
          <w:sz w:val="24"/>
          <w:szCs w:val="24"/>
        </w:rPr>
      </w:pPr>
    </w:p>
    <w:p w14:paraId="6C4381CF" w14:textId="77777777" w:rsidR="00450C8F" w:rsidRDefault="00450C8F">
      <w:pPr>
        <w:rPr>
          <w:rFonts w:ascii="Times New Roman" w:hAnsi="Times New Roman" w:cs="Times New Roman" w:hint="eastAsia"/>
          <w:sz w:val="24"/>
          <w:szCs w:val="24"/>
        </w:rPr>
      </w:pPr>
    </w:p>
    <w:p w14:paraId="75F2D978" w14:textId="77777777" w:rsidR="00450C8F" w:rsidRPr="00450C8F" w:rsidRDefault="00450C8F">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15" w:name="_Toc146214623"/>
      <w:r w:rsidRPr="00C812F9">
        <w:rPr>
          <w:sz w:val="36"/>
          <w:szCs w:val="36"/>
        </w:rPr>
        <w:t>VALIDITY</w:t>
      </w:r>
      <w:bookmarkEnd w:id="15"/>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 xml:space="preserve">Relevance focuses on the appropriateness of the features and data used in the model. In this case, it ensures that the spectrograms and </w:t>
      </w:r>
      <w:r w:rsidR="002811D6" w:rsidRPr="002811D6">
        <w:rPr>
          <w:rFonts w:ascii="Times New Roman" w:hAnsi="Times New Roman" w:cs="Times New Roman"/>
          <w:sz w:val="24"/>
          <w:szCs w:val="24"/>
        </w:rPr>
        <w:lastRenderedPageBreak/>
        <w:t>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6" w:name="_Toc146214624"/>
      <w:r w:rsidRPr="00C812F9">
        <w:rPr>
          <w:sz w:val="36"/>
          <w:szCs w:val="36"/>
        </w:rPr>
        <w:t>Sampling Strategy</w:t>
      </w:r>
      <w:bookmarkEnd w:id="16"/>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7" w:name="_Toc146214625"/>
      <w:r w:rsidRPr="00C812F9">
        <w:rPr>
          <w:sz w:val="36"/>
          <w:szCs w:val="36"/>
        </w:rPr>
        <w:t>Primary Research Methodology</w:t>
      </w:r>
      <w:bookmarkEnd w:id="17"/>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8" w:name="_Toc146214626"/>
      <w:r w:rsidRPr="00C812F9">
        <w:rPr>
          <w:sz w:val="36"/>
          <w:szCs w:val="36"/>
        </w:rPr>
        <w:lastRenderedPageBreak/>
        <w:t>Ethics</w:t>
      </w:r>
      <w:bookmarkEnd w:id="18"/>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9" w:name="_Toc146214627"/>
      <w:r w:rsidRPr="00703B9E">
        <w:rPr>
          <w:sz w:val="36"/>
          <w:szCs w:val="36"/>
        </w:rPr>
        <w:t>METHODOLOGY</w:t>
      </w:r>
      <w:bookmarkEnd w:id="19"/>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w:t>
      </w:r>
      <w:r w:rsidRPr="00A835F8">
        <w:rPr>
          <w:rFonts w:ascii="Times New Roman" w:hAnsi="Times New Roman" w:cs="Times New Roman"/>
          <w:sz w:val="24"/>
          <w:szCs w:val="24"/>
        </w:rPr>
        <w:lastRenderedPageBreak/>
        <w:t>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0" w:name="_Toc146214628"/>
      <w:r w:rsidRPr="00703B9E">
        <w:rPr>
          <w:sz w:val="36"/>
          <w:szCs w:val="36"/>
        </w:rPr>
        <w:t>DATASET</w:t>
      </w:r>
      <w:bookmarkEnd w:id="20"/>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1" w:name="_Toc146214629"/>
      <w:r w:rsidRPr="00703B9E">
        <w:rPr>
          <w:sz w:val="36"/>
          <w:szCs w:val="36"/>
        </w:rPr>
        <w:t>FEATURE EXTRACTION</w:t>
      </w:r>
      <w:bookmarkEnd w:id="21"/>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heart of our feature extraction methodology lies in the utilization of spectrograms, providing a profound visual representation of audio signals frequency content over </w:t>
      </w:r>
      <w:r w:rsidRPr="00A835F8">
        <w:rPr>
          <w:rFonts w:ascii="Times New Roman" w:hAnsi="Times New Roman" w:cs="Times New Roman"/>
          <w:sz w:val="24"/>
          <w:szCs w:val="24"/>
        </w:rPr>
        <w:lastRenderedPageBreak/>
        <w:t>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w:t>
      </w:r>
      <w:r w:rsidRPr="00A835F8">
        <w:rPr>
          <w:rFonts w:ascii="Times New Roman" w:hAnsi="Times New Roman" w:cs="Times New Roman"/>
          <w:sz w:val="24"/>
          <w:szCs w:val="24"/>
        </w:rPr>
        <w:lastRenderedPageBreak/>
        <w:t xml:space="preserve">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2" w:name="_Toc146214630"/>
      <w:r w:rsidRPr="00703B9E">
        <w:rPr>
          <w:sz w:val="36"/>
          <w:szCs w:val="36"/>
        </w:rPr>
        <w:t>Model Architecture</w:t>
      </w:r>
      <w:bookmarkEnd w:id="22"/>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3"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3"/>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w:t>
      </w:r>
      <w:r w:rsidRPr="00A835F8">
        <w:rPr>
          <w:rFonts w:ascii="Times New Roman" w:hAnsi="Times New Roman" w:cs="Times New Roman"/>
          <w:sz w:val="24"/>
          <w:szCs w:val="24"/>
        </w:rPr>
        <w:lastRenderedPageBreak/>
        <w:t>offering insights into false positives. Recall denotes the ratio of true positives to all actual positives, illuminating false negatives. The F1 score harmonizes precision and recall, providing a comprehensive metric</w:t>
      </w:r>
      <w:bookmarkStart w:id="24"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4"/>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w:t>
      </w:r>
      <w:r w:rsidRPr="00A835F8">
        <w:rPr>
          <w:rFonts w:ascii="Times New Roman" w:hAnsi="Times New Roman" w:cs="Times New Roman"/>
          <w:sz w:val="24"/>
          <w:szCs w:val="24"/>
        </w:rPr>
        <w:lastRenderedPageBreak/>
        <w:t>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5" w:name="_Toc146214631"/>
      <w:r w:rsidRPr="00703B9E">
        <w:rPr>
          <w:sz w:val="36"/>
          <w:szCs w:val="36"/>
        </w:rPr>
        <w:t>IMPLEMENTATION</w:t>
      </w:r>
      <w:bookmarkEnd w:id="25"/>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w:t>
      </w:r>
      <w:r w:rsidRPr="00A835F8">
        <w:rPr>
          <w:rFonts w:ascii="Times New Roman" w:hAnsi="Times New Roman" w:cs="Times New Roman"/>
          <w:sz w:val="24"/>
          <w:szCs w:val="24"/>
        </w:rPr>
        <w:lastRenderedPageBreak/>
        <w:t>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6" w:name="_Toc146214632"/>
      <w:r w:rsidRPr="00703B9E">
        <w:rPr>
          <w:sz w:val="28"/>
          <w:szCs w:val="28"/>
        </w:rPr>
        <w:t>SVM DECISION TREES AND RANDOM FORESTS</w:t>
      </w:r>
      <w:bookmarkEnd w:id="26"/>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68EAF418"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w:t>
      </w:r>
      <w:r w:rsidRPr="00A835F8">
        <w:rPr>
          <w:rFonts w:ascii="Times New Roman" w:eastAsiaTheme="minorHAnsi" w:hAnsi="Times New Roman" w:cs="Times New Roman"/>
          <w:sz w:val="24"/>
          <w:szCs w:val="24"/>
        </w:rPr>
        <w:lastRenderedPageBreak/>
        <w:t>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w:t>
      </w:r>
      <w:r w:rsidR="00A11A47" w:rsidRPr="00A835F8">
        <w:rPr>
          <w:rFonts w:ascii="Times New Roman" w:eastAsiaTheme="minorHAnsi" w:hAnsi="Times New Roman" w:cs="Times New Roman"/>
          <w:sz w:val="24"/>
          <w:szCs w:val="24"/>
        </w:rPr>
        <w:lastRenderedPageBreak/>
        <w:t xml:space="preserve">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51A04282"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w:t>
      </w:r>
      <w:r w:rsidRPr="009E147F">
        <w:rPr>
          <w:rFonts w:ascii="Times New Roman" w:eastAsiaTheme="minorHAnsi" w:hAnsi="Times New Roman" w:cs="Times New Roman"/>
          <w:sz w:val="24"/>
          <w:szCs w:val="24"/>
        </w:rPr>
        <w:lastRenderedPageBreak/>
        <w:t>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7" w:name="_Toc146214633"/>
      <w:r w:rsidRPr="00703B9E">
        <w:rPr>
          <w:sz w:val="28"/>
          <w:szCs w:val="28"/>
        </w:rPr>
        <w:t>NEURAL NETWORKS</w:t>
      </w:r>
      <w:bookmarkEnd w:id="27"/>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w:t>
      </w:r>
      <w:r w:rsidRPr="00A835F8">
        <w:rPr>
          <w:rFonts w:ascii="Times New Roman" w:eastAsiaTheme="minorHAnsi" w:hAnsi="Times New Roman" w:cs="Times New Roman"/>
          <w:sz w:val="24"/>
          <w:szCs w:val="24"/>
        </w:rPr>
        <w:lastRenderedPageBreak/>
        <w:t xml:space="preserve">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w:t>
      </w:r>
      <w:r w:rsidRPr="00224473">
        <w:rPr>
          <w:rFonts w:ascii="Times New Roman" w:eastAsiaTheme="minorHAnsi" w:hAnsi="Times New Roman" w:cs="Times New Roman"/>
          <w:sz w:val="24"/>
          <w:szCs w:val="24"/>
        </w:rPr>
        <w:lastRenderedPageBreak/>
        <w:t>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w:t>
      </w:r>
      <w:r w:rsidRPr="007C3A61">
        <w:rPr>
          <w:rFonts w:ascii="Times New Roman" w:eastAsiaTheme="minorHAnsi" w:hAnsi="Times New Roman" w:cs="Times New Roman"/>
          <w:sz w:val="24"/>
          <w:szCs w:val="24"/>
        </w:rPr>
        <w:lastRenderedPageBreak/>
        <w:t>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8" w:name="_Toc146214634"/>
      <w:r w:rsidRPr="00703B9E">
        <w:rPr>
          <w:sz w:val="36"/>
          <w:szCs w:val="36"/>
        </w:rPr>
        <w:t>Discussion</w:t>
      </w:r>
      <w:bookmarkEnd w:id="28"/>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9" w:name="_Hlk145509891"/>
      <w:r w:rsidR="00E35C51">
        <w:rPr>
          <w:rFonts w:ascii="Times New Roman" w:eastAsiaTheme="minorHAnsi" w:hAnsi="Times New Roman" w:cs="Times New Roman"/>
          <w:sz w:val="24"/>
          <w:szCs w:val="24"/>
        </w:rPr>
        <w:t>Figure 1: Confusion Matrix Linear SVM</w:t>
      </w:r>
      <w:bookmarkEnd w:id="29"/>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 xml:space="preserve">The confusion matrix for the Polynomial SVM should show better performance </w:t>
      </w:r>
      <w:r w:rsidRPr="00C671C0">
        <w:rPr>
          <w:rFonts w:ascii="Times New Roman" w:eastAsiaTheme="minorHAnsi" w:hAnsi="Times New Roman" w:cs="Times New Roman"/>
          <w:sz w:val="24"/>
          <w:szCs w:val="24"/>
        </w:rPr>
        <w:lastRenderedPageBreak/>
        <w:t>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30"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30"/>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1"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1"/>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2" w:name="_Toc146214635"/>
      <w:r w:rsidRPr="00703B9E">
        <w:rPr>
          <w:sz w:val="36"/>
          <w:szCs w:val="36"/>
        </w:rPr>
        <w:t>CONCLUSION</w:t>
      </w:r>
      <w:bookmarkEnd w:id="32"/>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3" w:name="_Toc146214636"/>
      <w:r w:rsidRPr="00703B9E">
        <w:rPr>
          <w:sz w:val="36"/>
          <w:szCs w:val="36"/>
        </w:rPr>
        <w:t>Future Research Directions</w:t>
      </w:r>
      <w:bookmarkEnd w:id="33"/>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4"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4"/>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Bhalke, D., Rao, C., &amp; Bormane, D.S. (2016). Automatic musical instrument </w:t>
      </w:r>
      <w:r w:rsidRPr="00A835F8">
        <w:rPr>
          <w:rFonts w:ascii="Times New Roman" w:hAnsi="Times New Roman" w:cs="Times New Roman"/>
          <w:sz w:val="24"/>
          <w:szCs w:val="24"/>
        </w:rPr>
        <w:lastRenderedPageBreak/>
        <w:t>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5" w:name="_Hlk145346182"/>
      <w:r w:rsidRPr="00E32B27">
        <w:rPr>
          <w:rFonts w:ascii="Times New Roman" w:hAnsi="Times New Roman" w:cs="Times New Roman"/>
          <w:sz w:val="24"/>
          <w:szCs w:val="24"/>
        </w:rPr>
        <w:t>Whibley, S. (2016</w:t>
      </w:r>
      <w:bookmarkEnd w:id="35"/>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6" w:name="_Hlk145408830"/>
      <w:r w:rsidRPr="004E5A37">
        <w:rPr>
          <w:rFonts w:ascii="Times New Roman" w:hAnsi="Times New Roman" w:cs="Times New Roman"/>
          <w:sz w:val="24"/>
          <w:szCs w:val="24"/>
        </w:rPr>
        <w:t>AltexSoft &amp; Bruxlab. (2022</w:t>
      </w:r>
      <w:bookmarkEnd w:id="36"/>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 xml:space="preserve">Gopal, S., &amp; Yang, Y. (2014). Von Mises-Fisher Clustering Models. In </w:t>
      </w:r>
      <w:r w:rsidRPr="00753253">
        <w:rPr>
          <w:rFonts w:ascii="Times New Roman" w:hAnsi="Times New Roman" w:cs="Times New Roman"/>
          <w:sz w:val="24"/>
          <w:szCs w:val="24"/>
        </w:rPr>
        <w:lastRenderedPageBreak/>
        <w:t>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Pr="00A008C5" w:rsidRDefault="00AB4F8D" w:rsidP="00A008C5">
      <w:pPr>
        <w:pStyle w:val="ListParagraph"/>
        <w:numPr>
          <w:ilvl w:val="0"/>
          <w:numId w:val="3"/>
        </w:numPr>
        <w:ind w:firstLineChars="0"/>
        <w:jc w:val="left"/>
        <w:rPr>
          <w:rFonts w:ascii="Times New Roman" w:hAnsi="Times New Roman" w:cs="Times New Roman"/>
          <w:sz w:val="24"/>
          <w:szCs w:val="24"/>
        </w:rPr>
      </w:pPr>
      <w:bookmarkStart w:id="37" w:name="_Hlk146218498"/>
      <w:r w:rsidRPr="00AB4F8D">
        <w:rPr>
          <w:rFonts w:ascii="Times New Roman" w:hAnsi="Times New Roman" w:cs="Times New Roman"/>
          <w:sz w:val="24"/>
          <w:szCs w:val="24"/>
        </w:rPr>
        <w:t>Deng, L., 2012</w:t>
      </w:r>
      <w:bookmarkEnd w:id="37"/>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sectPr w:rsidR="00AB4F8D"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DA44" w14:textId="77777777" w:rsidR="00591320" w:rsidRDefault="00591320" w:rsidP="00E914E8">
      <w:r>
        <w:separator/>
      </w:r>
    </w:p>
  </w:endnote>
  <w:endnote w:type="continuationSeparator" w:id="0">
    <w:p w14:paraId="1FBAA0BA" w14:textId="77777777" w:rsidR="00591320" w:rsidRDefault="00591320"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4F22F" w14:textId="77777777" w:rsidR="00591320" w:rsidRDefault="00591320" w:rsidP="00E914E8">
      <w:r>
        <w:separator/>
      </w:r>
    </w:p>
  </w:footnote>
  <w:footnote w:type="continuationSeparator" w:id="0">
    <w:p w14:paraId="385D61A9" w14:textId="77777777" w:rsidR="00591320" w:rsidRDefault="00591320"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724CE"/>
    <w:rsid w:val="00080216"/>
    <w:rsid w:val="00096F5C"/>
    <w:rsid w:val="00097A89"/>
    <w:rsid w:val="000A5033"/>
    <w:rsid w:val="000B42D5"/>
    <w:rsid w:val="000B6965"/>
    <w:rsid w:val="000D6524"/>
    <w:rsid w:val="000E49BA"/>
    <w:rsid w:val="000E4DD8"/>
    <w:rsid w:val="000F63EC"/>
    <w:rsid w:val="00101330"/>
    <w:rsid w:val="00113860"/>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C7797"/>
    <w:rsid w:val="001D0B99"/>
    <w:rsid w:val="001D4BBA"/>
    <w:rsid w:val="001E5ACC"/>
    <w:rsid w:val="001F6581"/>
    <w:rsid w:val="001F7C93"/>
    <w:rsid w:val="00205A62"/>
    <w:rsid w:val="00224473"/>
    <w:rsid w:val="0023158C"/>
    <w:rsid w:val="00243C0A"/>
    <w:rsid w:val="0025087D"/>
    <w:rsid w:val="002534DB"/>
    <w:rsid w:val="002619DE"/>
    <w:rsid w:val="002750D4"/>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34E"/>
    <w:rsid w:val="0033286A"/>
    <w:rsid w:val="003520EF"/>
    <w:rsid w:val="0038076A"/>
    <w:rsid w:val="00396A4C"/>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8699C"/>
    <w:rsid w:val="004C1003"/>
    <w:rsid w:val="004C534B"/>
    <w:rsid w:val="004D0B2B"/>
    <w:rsid w:val="004D1274"/>
    <w:rsid w:val="004E5A37"/>
    <w:rsid w:val="004E7118"/>
    <w:rsid w:val="004F552C"/>
    <w:rsid w:val="00506E5D"/>
    <w:rsid w:val="00541F73"/>
    <w:rsid w:val="00552669"/>
    <w:rsid w:val="00554A38"/>
    <w:rsid w:val="00563920"/>
    <w:rsid w:val="00574D0D"/>
    <w:rsid w:val="00587020"/>
    <w:rsid w:val="00591320"/>
    <w:rsid w:val="005935B6"/>
    <w:rsid w:val="00595664"/>
    <w:rsid w:val="005964BA"/>
    <w:rsid w:val="005A30A9"/>
    <w:rsid w:val="005A3D46"/>
    <w:rsid w:val="005B3787"/>
    <w:rsid w:val="005B4D1E"/>
    <w:rsid w:val="005B67A8"/>
    <w:rsid w:val="005C55EE"/>
    <w:rsid w:val="005C57DC"/>
    <w:rsid w:val="005C5E2B"/>
    <w:rsid w:val="005E32F5"/>
    <w:rsid w:val="005F4D09"/>
    <w:rsid w:val="005F7681"/>
    <w:rsid w:val="00617BB3"/>
    <w:rsid w:val="0062321F"/>
    <w:rsid w:val="00630111"/>
    <w:rsid w:val="00633DBA"/>
    <w:rsid w:val="00644B60"/>
    <w:rsid w:val="00654603"/>
    <w:rsid w:val="006677E3"/>
    <w:rsid w:val="006720A9"/>
    <w:rsid w:val="006769E5"/>
    <w:rsid w:val="0068394F"/>
    <w:rsid w:val="00686549"/>
    <w:rsid w:val="006937E5"/>
    <w:rsid w:val="00693F8D"/>
    <w:rsid w:val="0069408B"/>
    <w:rsid w:val="0069754A"/>
    <w:rsid w:val="006A1062"/>
    <w:rsid w:val="006A2F13"/>
    <w:rsid w:val="006C3DA4"/>
    <w:rsid w:val="006C5F32"/>
    <w:rsid w:val="006D169D"/>
    <w:rsid w:val="006D4F33"/>
    <w:rsid w:val="006F26B5"/>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4411A"/>
    <w:rsid w:val="008468EE"/>
    <w:rsid w:val="00847C19"/>
    <w:rsid w:val="00864655"/>
    <w:rsid w:val="008649CD"/>
    <w:rsid w:val="008656EA"/>
    <w:rsid w:val="008720F3"/>
    <w:rsid w:val="00876B16"/>
    <w:rsid w:val="00882BAB"/>
    <w:rsid w:val="00892EC0"/>
    <w:rsid w:val="008A1F34"/>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2C37"/>
    <w:rsid w:val="009B728F"/>
    <w:rsid w:val="009C29E1"/>
    <w:rsid w:val="009C2FD8"/>
    <w:rsid w:val="009C445A"/>
    <w:rsid w:val="009D5B5F"/>
    <w:rsid w:val="009E147F"/>
    <w:rsid w:val="009F24EB"/>
    <w:rsid w:val="009F49DB"/>
    <w:rsid w:val="00A008C5"/>
    <w:rsid w:val="00A11A47"/>
    <w:rsid w:val="00A15DC7"/>
    <w:rsid w:val="00A26149"/>
    <w:rsid w:val="00A320B6"/>
    <w:rsid w:val="00A37D45"/>
    <w:rsid w:val="00A40FA1"/>
    <w:rsid w:val="00A56385"/>
    <w:rsid w:val="00A62BEF"/>
    <w:rsid w:val="00A77E3E"/>
    <w:rsid w:val="00A835F8"/>
    <w:rsid w:val="00AA7400"/>
    <w:rsid w:val="00AB4F8D"/>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BF5C3F"/>
    <w:rsid w:val="00C15A96"/>
    <w:rsid w:val="00C164AB"/>
    <w:rsid w:val="00C24089"/>
    <w:rsid w:val="00C25A38"/>
    <w:rsid w:val="00C5549D"/>
    <w:rsid w:val="00C60D28"/>
    <w:rsid w:val="00C61238"/>
    <w:rsid w:val="00C671C0"/>
    <w:rsid w:val="00C766CC"/>
    <w:rsid w:val="00C812F9"/>
    <w:rsid w:val="00C9204A"/>
    <w:rsid w:val="00CA22E9"/>
    <w:rsid w:val="00CB5CAF"/>
    <w:rsid w:val="00CE14A3"/>
    <w:rsid w:val="00CE1E0A"/>
    <w:rsid w:val="00D056DD"/>
    <w:rsid w:val="00D10E92"/>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908"/>
    <w:rsid w:val="00DA02F7"/>
    <w:rsid w:val="00DA1B04"/>
    <w:rsid w:val="00DB4F16"/>
    <w:rsid w:val="00DB5FB2"/>
    <w:rsid w:val="00DC3BAF"/>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13063</TotalTime>
  <Pages>40</Pages>
  <Words>14566</Words>
  <Characters>83029</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181</cp:revision>
  <dcterms:created xsi:type="dcterms:W3CDTF">2023-04-08T12:47:00Z</dcterms:created>
  <dcterms:modified xsi:type="dcterms:W3CDTF">2023-09-21T18:56:00Z</dcterms:modified>
</cp:coreProperties>
</file>