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Kainos AI Lifecycle Policy</w:t>
      </w:r>
    </w:p>
    <w:p>
      <w:pPr>
        <w:jc w:val="center"/>
      </w:pPr>
      <w:r>
        <w:rPr>
          <w:rFonts w:ascii="Aptos Display" w:hAnsi="Aptos Display"/>
          <w:b/>
          <w:sz w:val="40"/>
        </w:rPr>
        <w:t>Adaptive Triage current position</w:t>
      </w:r>
    </w:p>
    <w:p/>
    <w:p>
      <w:pPr>
        <w:jc w:val="center"/>
      </w:pPr>
      <w:r>
        <w:rPr>
          <w:sz w:val="22"/>
        </w:rPr>
        <w:t>Current-state mapping of Adaptive Triage against Kainos AI Lifecycle Policy controls C1-C15</w:t>
      </w:r>
    </w:p>
    <w:p/>
    <w:p>
      <w:pPr>
        <w:jc w:val="center"/>
      </w:pPr>
      <w:r>
        <w:rPr>
          <w:b/>
          <w:sz w:val="22"/>
        </w:rPr>
        <w:t>Working assumption: Tier 3 (High)</w:t>
      </w:r>
    </w:p>
    <w:p>
      <w:r>
        <w:br w:type="page"/>
      </w:r>
    </w:p>
    <w:p>
      <w:pPr>
        <w:pStyle w:val="Heading1"/>
      </w:pPr>
      <w:r>
        <w:t>Executive summary</w:t>
      </w:r>
    </w:p>
    <w:p>
      <w:r>
        <w:t>This report assesses the current Adaptive Triage programme against the Kainos AI Lifecycle Policy. The policy requires AI systems to be classified by risk during Discovery and applies progressively stronger controls according to that classification. Medical triage support is explicitly given as an indicative Tier 3 (High) example, so this report uses Tier 3 as the working assumption pending formal classification by the AI Governance Forum.</w:t>
      </w:r>
    </w:p>
    <w:p>
      <w:r>
        <w:t>The overall position is that Adaptive Triage is already strongly aligned with the intent of the policy. The programme's existing emphasis on clinical safety, explainability, model governance, clinician approval, auditability, testing and controlled release provides substantial coverage of many controls. The principal gap is not the absence of core technical or safety mechanisms, but the need to consolidate and formalise existing evidence into the specific Kainos assurance structure.</w:t>
      </w:r>
    </w:p>
    <w:p>
      <w:pPr>
        <w:pStyle w:val="Heading2"/>
      </w:pPr>
      <w:r>
        <w:t>Current assessment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D3"/>
          </w:tcPr>
          <w:p>
            <w:r/>
            <w:r>
              <w:rPr>
                <w:rFonts w:ascii="Aptos" w:hAnsi="Aptos"/>
                <w:b/>
                <w:sz w:val="17"/>
              </w:rPr>
              <w:t>Assessment</w:t>
            </w:r>
          </w:p>
        </w:tc>
        <w:tc>
          <w:tcPr>
            <w:tcW w:type="dxa" w:w="3408"/>
            <w:vAlign w:val="center"/>
            <w:shd w:fill="D9EAD3"/>
          </w:tcPr>
          <w:p>
            <w:r/>
            <w:r>
              <w:rPr>
                <w:rFonts w:ascii="Aptos" w:hAnsi="Aptos"/>
                <w:b/>
                <w:sz w:val="17"/>
              </w:rPr>
              <w:t>Meaning</w:t>
            </w:r>
          </w:p>
        </w:tc>
        <w:tc>
          <w:tcPr>
            <w:tcW w:type="dxa" w:w="3408"/>
            <w:vAlign w:val="center"/>
            <w:shd w:fill="D9EAD3"/>
          </w:tcPr>
          <w:p>
            <w:r/>
            <w:r>
              <w:rPr>
                <w:rFonts w:ascii="Aptos" w:hAnsi="Aptos"/>
                <w:b/>
                <w:sz w:val="17"/>
              </w:rPr>
              <w:t>Controls</w:t>
            </w:r>
          </w:p>
        </w:tc>
      </w:tr>
      <w:tr>
        <w:tc>
          <w:tcPr>
            <w:tcW w:type="dxa" w:w="3408"/>
            <w:vAlign w:val="center"/>
          </w:tcPr>
          <w:p>
            <w:r/>
            <w:r>
              <w:rPr>
                <w:rFonts w:ascii="Aptos" w:hAnsi="Aptos"/>
                <w:b w:val="0"/>
                <w:sz w:val="17"/>
              </w:rPr>
              <w:t>Substantially addressed</w:t>
            </w:r>
          </w:p>
        </w:tc>
        <w:tc>
          <w:tcPr>
            <w:tcW w:type="dxa" w:w="3408"/>
            <w:vAlign w:val="center"/>
          </w:tcPr>
          <w:p>
            <w:r/>
            <w:r>
              <w:rPr>
                <w:rFonts w:ascii="Aptos" w:hAnsi="Aptos"/>
                <w:b w:val="0"/>
                <w:sz w:val="17"/>
              </w:rPr>
              <w:t>Capability or governance mechanism already exists and mainly needs evidence consolidation.</w:t>
            </w:r>
          </w:p>
        </w:tc>
        <w:tc>
          <w:tcPr>
            <w:tcW w:type="dxa" w:w="3408"/>
            <w:vAlign w:val="center"/>
          </w:tcPr>
          <w:p>
            <w:r/>
            <w:r>
              <w:rPr>
                <w:rFonts w:ascii="Aptos" w:hAnsi="Aptos"/>
                <w:b w:val="0"/>
                <w:sz w:val="17"/>
              </w:rPr>
              <w:t>C4, C6, C7</w:t>
            </w:r>
          </w:p>
        </w:tc>
      </w:tr>
      <w:tr>
        <w:tc>
          <w:tcPr>
            <w:tcW w:type="dxa" w:w="3408"/>
            <w:vAlign w:val="center"/>
          </w:tcPr>
          <w:p>
            <w:r/>
            <w:r>
              <w:rPr>
                <w:rFonts w:ascii="Aptos" w:hAnsi="Aptos"/>
                <w:b w:val="0"/>
                <w:sz w:val="17"/>
              </w:rPr>
              <w:t>Partially addressed</w:t>
            </w:r>
          </w:p>
        </w:tc>
        <w:tc>
          <w:tcPr>
            <w:tcW w:type="dxa" w:w="3408"/>
            <w:vAlign w:val="center"/>
          </w:tcPr>
          <w:p>
            <w:r/>
            <w:r>
              <w:rPr>
                <w:rFonts w:ascii="Aptos" w:hAnsi="Aptos"/>
                <w:b w:val="0"/>
                <w:sz w:val="17"/>
              </w:rPr>
              <w:t>Intent/capability exists but needs formalisation, ownership, thresholds or policy-specific evidence.</w:t>
            </w:r>
          </w:p>
        </w:tc>
        <w:tc>
          <w:tcPr>
            <w:tcW w:type="dxa" w:w="3408"/>
            <w:vAlign w:val="center"/>
          </w:tcPr>
          <w:p>
            <w:r/>
            <w:r>
              <w:rPr>
                <w:rFonts w:ascii="Aptos" w:hAnsi="Aptos"/>
                <w:b w:val="0"/>
                <w:sz w:val="17"/>
              </w:rPr>
              <w:t>C1, C2, C3, C5, C8, C9, C10, C11, C12, C13, C15</w:t>
            </w:r>
          </w:p>
        </w:tc>
      </w:tr>
      <w:tr>
        <w:tc>
          <w:tcPr>
            <w:tcW w:type="dxa" w:w="3408"/>
            <w:vAlign w:val="center"/>
          </w:tcPr>
          <w:p>
            <w:r/>
            <w:r>
              <w:rPr>
                <w:rFonts w:ascii="Aptos" w:hAnsi="Aptos"/>
                <w:b w:val="0"/>
                <w:sz w:val="17"/>
              </w:rPr>
              <w:t>Material gap / explicit work needed</w:t>
            </w:r>
          </w:p>
        </w:tc>
        <w:tc>
          <w:tcPr>
            <w:tcW w:type="dxa" w:w="3408"/>
            <w:vAlign w:val="center"/>
          </w:tcPr>
          <w:p>
            <w:r/>
            <w:r>
              <w:rPr>
                <w:rFonts w:ascii="Aptos" w:hAnsi="Aptos"/>
                <w:b w:val="0"/>
                <w:sz w:val="17"/>
              </w:rPr>
              <w:t>Needs a distinct capability or workstream to satisfy the Tier 3 expectation.</w:t>
            </w:r>
          </w:p>
        </w:tc>
        <w:tc>
          <w:tcPr>
            <w:tcW w:type="dxa" w:w="3408"/>
            <w:vAlign w:val="center"/>
          </w:tcPr>
          <w:p>
            <w:r/>
            <w:r>
              <w:rPr>
                <w:rFonts w:ascii="Aptos" w:hAnsi="Aptos"/>
                <w:b w:val="0"/>
                <w:sz w:val="17"/>
              </w:rPr>
              <w:t>C14</w:t>
            </w:r>
          </w:p>
        </w:tc>
      </w:tr>
    </w:tbl>
    <w:p/>
    <w:p>
      <w:r>
        <w:rPr>
          <w:b/>
        </w:rPr>
        <w:t xml:space="preserve">Key conclusion: </w:t>
      </w:r>
      <w:r>
        <w:t>Adaptive Triage should be treated as broadly aligned with the Kainos AI Lifecycle Policy, with the immediate priority being to formalise evidence, assign policy roles, define operational acceptance/monitoring thresholds, and establish a formal Tier 3 adversarial testing approach.</w:t>
      </w:r>
    </w:p>
    <w:p>
      <w:pPr>
        <w:pStyle w:val="Heading1"/>
      </w:pPr>
      <w:r>
        <w:t>Policy context</w:t>
      </w:r>
    </w:p>
    <w:p>
      <w:r>
        <w:t>The Kainos AI Lifecycle Policy defines minimum controls for developing and operating AI responsibly across the full lifecycle. It uses a risk-tiered approach and states that the AI Governance Forum assigns the risk tier through review of the AI System Impact Assessment.</w:t>
      </w:r>
    </w:p>
    <w:p>
      <w:r>
        <w:t>For Tier 2 and Tier 3 systems, controls C1-C12 are mandatory. Tier 3 adds C13 independent review, C14 adversarial/red-team testing and C15 post-go-live monitoring.</w:t>
      </w:r>
    </w:p>
    <w:p>
      <w:pPr>
        <w:pStyle w:val="Heading2"/>
      </w:pPr>
      <w:r>
        <w:t>Why Tier 3 is the working assumption</w:t>
      </w:r>
    </w:p>
    <w:p>
      <w:pPr>
        <w:pStyle w:val="ListBullet"/>
        <w:spacing w:after="40"/>
      </w:pPr>
      <w:r>
        <w:t>Medical triage support is explicitly listed in the policy as an indicative Tier 3 example.</w:t>
      </w:r>
    </w:p>
    <w:p>
      <w:pPr>
        <w:pStyle w:val="ListBullet"/>
        <w:spacing w:after="40"/>
      </w:pPr>
      <w:r>
        <w:t>Adaptive Triage contributes to high-stakes clinical decision support and is intended for use with potentially vulnerable users.</w:t>
      </w:r>
    </w:p>
    <w:p>
      <w:pPr>
        <w:pStyle w:val="ListBullet"/>
        <w:spacing w:after="40"/>
      </w:pPr>
      <w:r>
        <w:t>Formal classification must still be completed through the Kainos AI Governance process; this report does not replace that decision.</w:t>
      </w:r>
    </w:p>
    <w:p>
      <w:pPr>
        <w:pStyle w:val="Heading1"/>
      </w:pPr>
      <w:r>
        <w:t>Control-by-control mapping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AD3"/>
          </w:tcPr>
          <w:p>
            <w:r/>
            <w:r>
              <w:rPr>
                <w:rFonts w:ascii="Aptos" w:hAnsi="Aptos"/>
                <w:b/>
                <w:sz w:val="15"/>
              </w:rPr>
              <w:t>ID</w:t>
            </w:r>
          </w:p>
        </w:tc>
        <w:tc>
          <w:tcPr>
            <w:tcW w:type="dxa" w:w="2045"/>
            <w:vAlign w:val="center"/>
            <w:shd w:fill="D9EAD3"/>
          </w:tcPr>
          <w:p>
            <w:r/>
            <w:r>
              <w:rPr>
                <w:rFonts w:ascii="Aptos" w:hAnsi="Aptos"/>
                <w:b/>
                <w:sz w:val="15"/>
              </w:rPr>
              <w:t>Policy requirement</w:t>
            </w:r>
          </w:p>
        </w:tc>
        <w:tc>
          <w:tcPr>
            <w:tcW w:type="dxa" w:w="2045"/>
            <w:vAlign w:val="center"/>
            <w:shd w:fill="D9EAD3"/>
          </w:tcPr>
          <w:p>
            <w:r/>
            <w:r>
              <w:rPr>
                <w:rFonts w:ascii="Aptos" w:hAnsi="Aptos"/>
                <w:b/>
                <w:sz w:val="15"/>
              </w:rPr>
              <w:t>Adaptive Triage current position</w:t>
            </w:r>
          </w:p>
        </w:tc>
        <w:tc>
          <w:tcPr>
            <w:tcW w:type="dxa" w:w="2045"/>
            <w:vAlign w:val="center"/>
            <w:shd w:fill="D9EAD3"/>
          </w:tcPr>
          <w:p>
            <w:r/>
            <w:r>
              <w:rPr>
                <w:rFonts w:ascii="Aptos" w:hAnsi="Aptos"/>
                <w:b/>
                <w:sz w:val="15"/>
              </w:rPr>
              <w:t>Status</w:t>
            </w:r>
          </w:p>
        </w:tc>
        <w:tc>
          <w:tcPr>
            <w:tcW w:type="dxa" w:w="2045"/>
            <w:vAlign w:val="center"/>
            <w:shd w:fill="D9EAD3"/>
          </w:tcPr>
          <w:p>
            <w:r/>
            <w:r>
              <w:rPr>
                <w:rFonts w:ascii="Aptos" w:hAnsi="Aptos"/>
                <w:b/>
                <w:sz w:val="15"/>
              </w:rPr>
              <w:t>Required action</w:t>
            </w:r>
          </w:p>
        </w:tc>
      </w:tr>
      <w:tr>
        <w:tc>
          <w:tcPr>
            <w:tcW w:type="dxa" w:w="2045"/>
            <w:vAlign w:val="center"/>
          </w:tcPr>
          <w:p>
            <w:r/>
            <w:r>
              <w:rPr>
                <w:rFonts w:ascii="Aptos" w:hAnsi="Aptos"/>
                <w:b/>
                <w:sz w:val="14"/>
              </w:rPr>
              <w:t>C1</w:t>
            </w:r>
          </w:p>
        </w:tc>
        <w:tc>
          <w:tcPr>
            <w:tcW w:type="dxa" w:w="2045"/>
            <w:vAlign w:val="center"/>
          </w:tcPr>
          <w:p>
            <w:r/>
            <w:r>
              <w:rPr>
                <w:rFonts w:ascii="Aptos" w:hAnsi="Aptos"/>
                <w:b w:val="0"/>
                <w:sz w:val="14"/>
              </w:rPr>
              <w:t>AI System Impact Assessment completed before development.</w:t>
            </w:r>
          </w:p>
        </w:tc>
        <w:tc>
          <w:tcPr>
            <w:tcW w:type="dxa" w:w="2045"/>
            <w:vAlign w:val="center"/>
          </w:tcPr>
          <w:p>
            <w:r/>
            <w:r>
              <w:rPr>
                <w:rFonts w:ascii="Aptos" w:hAnsi="Aptos"/>
                <w:b w:val="0"/>
                <w:sz w:val="14"/>
              </w:rPr>
              <w:t>Intended use, clinical purpose, users, centralised service model and rationale for probabilistic reasoning are established through existing programme work, but the policy-specific assessment has not yet been formalised.</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Complete the Kainos AI System Impact Assessment and obtain formal AI Governance Forum tier classification. Include why a probabilistic/AI approach is appropriate and why a non-AI approach was not selected.</w:t>
            </w:r>
          </w:p>
        </w:tc>
      </w:tr>
      <w:tr>
        <w:tc>
          <w:tcPr>
            <w:tcW w:type="dxa" w:w="2045"/>
            <w:vAlign w:val="center"/>
          </w:tcPr>
          <w:p>
            <w:r/>
            <w:r>
              <w:rPr>
                <w:rFonts w:ascii="Aptos" w:hAnsi="Aptos"/>
                <w:b/>
                <w:sz w:val="14"/>
              </w:rPr>
              <w:t>C2</w:t>
            </w:r>
          </w:p>
        </w:tc>
        <w:tc>
          <w:tcPr>
            <w:tcW w:type="dxa" w:w="2045"/>
            <w:vAlign w:val="center"/>
          </w:tcPr>
          <w:p>
            <w:r/>
            <w:r>
              <w:rPr>
                <w:rFonts w:ascii="Aptos" w:hAnsi="Aptos"/>
                <w:b w:val="0"/>
                <w:sz w:val="14"/>
              </w:rPr>
              <w:t>Data Management Record covering sources, sensitivity, quality and provenance.</w:t>
            </w:r>
          </w:p>
        </w:tc>
        <w:tc>
          <w:tcPr>
            <w:tcW w:type="dxa" w:w="2045"/>
            <w:vAlign w:val="center"/>
          </w:tcPr>
          <w:p>
            <w:r/>
            <w:r>
              <w:rPr>
                <w:rFonts w:ascii="Aptos" w:hAnsi="Aptos"/>
                <w:b w:val="0"/>
                <w:sz w:val="14"/>
              </w:rPr>
              <w:t>Data sources and flows are understood, including deterministic pathway content, linked triage/ECDS-derived data, terminology sources, model artefacts and restricted build-time LLM use. Evidence is distributed across architecture and governance documents.</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Consolidate into a formal Data Management Record covering lineage, lawful basis, quality limitations, provenance, access, retention and handling.</w:t>
            </w:r>
          </w:p>
        </w:tc>
      </w:tr>
      <w:tr>
        <w:tc>
          <w:tcPr>
            <w:tcW w:type="dxa" w:w="2045"/>
            <w:vAlign w:val="center"/>
          </w:tcPr>
          <w:p>
            <w:r/>
            <w:r>
              <w:rPr>
                <w:rFonts w:ascii="Aptos" w:hAnsi="Aptos"/>
                <w:b/>
                <w:sz w:val="14"/>
              </w:rPr>
              <w:t>C3</w:t>
            </w:r>
          </w:p>
        </w:tc>
        <w:tc>
          <w:tcPr>
            <w:tcW w:type="dxa" w:w="2045"/>
            <w:vAlign w:val="center"/>
          </w:tcPr>
          <w:p>
            <w:r/>
            <w:r>
              <w:rPr>
                <w:rFonts w:ascii="Aptos" w:hAnsi="Aptos"/>
                <w:b w:val="0"/>
                <w:sz w:val="14"/>
              </w:rPr>
              <w:t>Accountabilities and competence documented.</w:t>
            </w:r>
          </w:p>
        </w:tc>
        <w:tc>
          <w:tcPr>
            <w:tcW w:type="dxa" w:w="2045"/>
            <w:vAlign w:val="center"/>
          </w:tcPr>
          <w:p>
            <w:r/>
            <w:r>
              <w:rPr>
                <w:rFonts w:ascii="Aptos" w:hAnsi="Aptos"/>
                <w:b w:val="0"/>
                <w:sz w:val="14"/>
              </w:rPr>
              <w:t>Product, architecture, clinical safety, security, AI ethics, engineering and clinical review responsibilities exist, but policy roles are not yet captured in one authoritative register.</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Nominate Accountable Owner, independent Approver and relevant Reviewers. Record required competencies and ensure Tier 3 Owner and Approver are different people.</w:t>
            </w:r>
          </w:p>
        </w:tc>
      </w:tr>
      <w:tr>
        <w:tc>
          <w:tcPr>
            <w:tcW w:type="dxa" w:w="2045"/>
            <w:vAlign w:val="center"/>
          </w:tcPr>
          <w:p>
            <w:r/>
            <w:r>
              <w:rPr>
                <w:rFonts w:ascii="Aptos" w:hAnsi="Aptos"/>
                <w:b/>
                <w:sz w:val="14"/>
              </w:rPr>
              <w:t>C4</w:t>
            </w:r>
          </w:p>
        </w:tc>
        <w:tc>
          <w:tcPr>
            <w:tcW w:type="dxa" w:w="2045"/>
            <w:vAlign w:val="center"/>
          </w:tcPr>
          <w:p>
            <w:r/>
            <w:r>
              <w:rPr>
                <w:rFonts w:ascii="Aptos" w:hAnsi="Aptos"/>
                <w:b w:val="0"/>
                <w:sz w:val="14"/>
              </w:rPr>
              <w:t>AI System Description capturing architecture, model rationale and design decisions.</w:t>
            </w:r>
          </w:p>
        </w:tc>
        <w:tc>
          <w:tcPr>
            <w:tcW w:type="dxa" w:w="2045"/>
            <w:vAlign w:val="center"/>
          </w:tcPr>
          <w:p>
            <w:r/>
            <w:r>
              <w:rPr>
                <w:rFonts w:ascii="Aptos" w:hAnsi="Aptos"/>
                <w:b w:val="0"/>
                <w:sz w:val="14"/>
              </w:rPr>
              <w:t>Strong coverage exists through ODPs, ADRs, intended use material, BN/inference architecture and model lifecycle design.</w:t>
            </w:r>
          </w:p>
        </w:tc>
        <w:tc>
          <w:tcPr>
            <w:tcW w:type="dxa" w:w="2045"/>
            <w:vAlign w:val="center"/>
            <w:shd w:fill="D9EAD3"/>
          </w:tcPr>
          <w:p>
            <w:r/>
            <w:r>
              <w:rPr>
                <w:rFonts w:ascii="Aptos" w:hAnsi="Aptos"/>
                <w:b w:val="0"/>
                <w:sz w:val="14"/>
              </w:rPr>
              <w:t>Strong</w:t>
            </w:r>
          </w:p>
        </w:tc>
        <w:tc>
          <w:tcPr>
            <w:tcW w:type="dxa" w:w="2045"/>
            <w:vAlign w:val="center"/>
          </w:tcPr>
          <w:p>
            <w:r/>
            <w:r>
              <w:rPr>
                <w:rFonts w:ascii="Aptos" w:hAnsi="Aptos"/>
                <w:b w:val="0"/>
                <w:sz w:val="14"/>
              </w:rPr>
              <w:t>Create the policy AI System Description / Model Card primarily by consolidating and referencing existing approved architecture and decision records.</w:t>
            </w:r>
          </w:p>
        </w:tc>
      </w:tr>
      <w:tr>
        <w:tc>
          <w:tcPr>
            <w:tcW w:type="dxa" w:w="2045"/>
            <w:vAlign w:val="center"/>
          </w:tcPr>
          <w:p>
            <w:r/>
            <w:r>
              <w:rPr>
                <w:rFonts w:ascii="Aptos" w:hAnsi="Aptos"/>
                <w:b/>
                <w:sz w:val="14"/>
              </w:rPr>
              <w:t>C5</w:t>
            </w:r>
          </w:p>
        </w:tc>
        <w:tc>
          <w:tcPr>
            <w:tcW w:type="dxa" w:w="2045"/>
            <w:vAlign w:val="center"/>
          </w:tcPr>
          <w:p>
            <w:r/>
            <w:r>
              <w:rPr>
                <w:rFonts w:ascii="Aptos" w:hAnsi="Aptos"/>
                <w:b w:val="0"/>
                <w:sz w:val="14"/>
              </w:rPr>
              <w:t>AI Risk Assessment and Treatment Plan including foreseeable misuse and residual risk.</w:t>
            </w:r>
          </w:p>
        </w:tc>
        <w:tc>
          <w:tcPr>
            <w:tcW w:type="dxa" w:w="2045"/>
            <w:vAlign w:val="center"/>
          </w:tcPr>
          <w:p>
            <w:r/>
            <w:r>
              <w:rPr>
                <w:rFonts w:ascii="Aptos" w:hAnsi="Aptos"/>
                <w:b w:val="0"/>
                <w:sz w:val="14"/>
              </w:rPr>
              <w:t>Clinical safety, cyber, model limits, guardrails, thresholds, build-time LLM constraints and clinician-in-the-loop mitigations are already being designed and governed. Risks are not yet consolidated into one AI-specific assessment.</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Create a unified AI Risk &amp; Impact Assessment covering bias, drift, unsafe inference, model/data errors, misuse, security threats, third-party model dependencies and residual-risk acceptance.</w:t>
            </w:r>
          </w:p>
        </w:tc>
      </w:tr>
      <w:tr>
        <w:tc>
          <w:tcPr>
            <w:tcW w:type="dxa" w:w="2045"/>
            <w:vAlign w:val="center"/>
          </w:tcPr>
          <w:p>
            <w:r/>
            <w:r>
              <w:rPr>
                <w:rFonts w:ascii="Aptos" w:hAnsi="Aptos"/>
                <w:b/>
                <w:sz w:val="14"/>
              </w:rPr>
              <w:t>C6</w:t>
            </w:r>
          </w:p>
        </w:tc>
        <w:tc>
          <w:tcPr>
            <w:tcW w:type="dxa" w:w="2045"/>
            <w:vAlign w:val="center"/>
          </w:tcPr>
          <w:p>
            <w:r/>
            <w:r>
              <w:rPr>
                <w:rFonts w:ascii="Aptos" w:hAnsi="Aptos"/>
                <w:b w:val="0"/>
                <w:sz w:val="14"/>
              </w:rPr>
              <w:t>Verification and validation proportionate to risk with documented acceptance criteria.</w:t>
            </w:r>
          </w:p>
        </w:tc>
        <w:tc>
          <w:tcPr>
            <w:tcW w:type="dxa" w:w="2045"/>
            <w:vAlign w:val="center"/>
          </w:tcPr>
          <w:p>
            <w:r/>
            <w:r>
              <w:rPr>
                <w:rFonts w:ascii="Aptos" w:hAnsi="Aptos"/>
                <w:b w:val="0"/>
                <w:sz w:val="14"/>
              </w:rPr>
              <w:t>Testing capability is a major part of the programme: vignettes, evaluation platform, regression, calibration/discrimination, high-risk detection and clinician validation are planned or underway.</w:t>
            </w:r>
          </w:p>
        </w:tc>
        <w:tc>
          <w:tcPr>
            <w:tcW w:type="dxa" w:w="2045"/>
            <w:vAlign w:val="center"/>
            <w:shd w:fill="D9EAD3"/>
          </w:tcPr>
          <w:p>
            <w:r/>
            <w:r>
              <w:rPr>
                <w:rFonts w:ascii="Aptos" w:hAnsi="Aptos"/>
                <w:b w:val="0"/>
                <w:sz w:val="14"/>
              </w:rPr>
              <w:t>Strong/Partial</w:t>
            </w:r>
          </w:p>
        </w:tc>
        <w:tc>
          <w:tcPr>
            <w:tcW w:type="dxa" w:w="2045"/>
            <w:vAlign w:val="center"/>
          </w:tcPr>
          <w:p>
            <w:r/>
            <w:r>
              <w:rPr>
                <w:rFonts w:ascii="Aptos" w:hAnsi="Aptos"/>
                <w:b w:val="0"/>
                <w:sz w:val="14"/>
              </w:rPr>
              <w:t>Formalise acceptance criteria and release thresholds. Add explicit fairness/subgroup testing and ensure results are retained in the Monitoring &amp; Review Record.</w:t>
            </w:r>
          </w:p>
        </w:tc>
      </w:tr>
      <w:tr>
        <w:tc>
          <w:tcPr>
            <w:tcW w:type="dxa" w:w="2045"/>
            <w:vAlign w:val="center"/>
          </w:tcPr>
          <w:p>
            <w:r/>
            <w:r>
              <w:rPr>
                <w:rFonts w:ascii="Aptos" w:hAnsi="Aptos"/>
                <w:b/>
                <w:sz w:val="14"/>
              </w:rPr>
              <w:t>C7</w:t>
            </w:r>
          </w:p>
        </w:tc>
        <w:tc>
          <w:tcPr>
            <w:tcW w:type="dxa" w:w="2045"/>
            <w:vAlign w:val="center"/>
          </w:tcPr>
          <w:p>
            <w:r/>
            <w:r>
              <w:rPr>
                <w:rFonts w:ascii="Aptos" w:hAnsi="Aptos"/>
                <w:b w:val="0"/>
                <w:sz w:val="14"/>
              </w:rPr>
              <w:t>Event logging sufficient to reconstruct inputs, outputs, tool/agent actions and material decisions.</w:t>
            </w:r>
          </w:p>
        </w:tc>
        <w:tc>
          <w:tcPr>
            <w:tcW w:type="dxa" w:w="2045"/>
            <w:vAlign w:val="center"/>
          </w:tcPr>
          <w:p>
            <w:r/>
            <w:r>
              <w:rPr>
                <w:rFonts w:ascii="Aptos" w:hAnsi="Aptos"/>
                <w:b w:val="0"/>
                <w:sz w:val="14"/>
              </w:rPr>
              <w:t>Explainability and audit design already expects interaction evidence, model version, inference state and audit logging. This aligns well with the policy requirement.</w:t>
            </w:r>
          </w:p>
        </w:tc>
        <w:tc>
          <w:tcPr>
            <w:tcW w:type="dxa" w:w="2045"/>
            <w:vAlign w:val="center"/>
            <w:shd w:fill="D9EAD3"/>
          </w:tcPr>
          <w:p>
            <w:r/>
            <w:r>
              <w:rPr>
                <w:rFonts w:ascii="Aptos" w:hAnsi="Aptos"/>
                <w:b w:val="0"/>
                <w:sz w:val="14"/>
              </w:rPr>
              <w:t>Strong</w:t>
            </w:r>
          </w:p>
        </w:tc>
        <w:tc>
          <w:tcPr>
            <w:tcW w:type="dxa" w:w="2045"/>
            <w:vAlign w:val="center"/>
          </w:tcPr>
          <w:p>
            <w:r/>
            <w:r>
              <w:rPr>
                <w:rFonts w:ascii="Aptos" w:hAnsi="Aptos"/>
                <w:b w:val="0"/>
                <w:sz w:val="14"/>
              </w:rPr>
              <w:t>Specify the minimum reconstructable clinical decision record, tamper protection, access controls and retention period.</w:t>
            </w:r>
          </w:p>
        </w:tc>
      </w:tr>
      <w:tr>
        <w:tc>
          <w:tcPr>
            <w:tcW w:type="dxa" w:w="2045"/>
            <w:vAlign w:val="center"/>
          </w:tcPr>
          <w:p>
            <w:r/>
            <w:r>
              <w:rPr>
                <w:rFonts w:ascii="Aptos" w:hAnsi="Aptos"/>
                <w:b/>
                <w:sz w:val="14"/>
              </w:rPr>
              <w:t>C8</w:t>
            </w:r>
          </w:p>
        </w:tc>
        <w:tc>
          <w:tcPr>
            <w:tcW w:type="dxa" w:w="2045"/>
            <w:vAlign w:val="center"/>
          </w:tcPr>
          <w:p>
            <w:r/>
            <w:r>
              <w:rPr>
                <w:rFonts w:ascii="Aptos" w:hAnsi="Aptos"/>
                <w:b w:val="0"/>
                <w:sz w:val="14"/>
              </w:rPr>
              <w:t>Documented pre-deployment approval including readiness and rollback.</w:t>
            </w:r>
          </w:p>
        </w:tc>
        <w:tc>
          <w:tcPr>
            <w:tcW w:type="dxa" w:w="2045"/>
            <w:vAlign w:val="center"/>
          </w:tcPr>
          <w:p>
            <w:r/>
            <w:r>
              <w:rPr>
                <w:rFonts w:ascii="Aptos" w:hAnsi="Aptos"/>
                <w:b w:val="0"/>
                <w:sz w:val="14"/>
              </w:rPr>
              <w:t>Clinical approval gates, immutable model artefacts, controlled releases and sign-off are core parts of the proposed lifecycle.</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Create a formal go/no-go gate recorded in the Approvals &amp; Exceptions Log. Include evidence acceptance, residual risk acceptance, environment readiness and rollback.</w:t>
            </w:r>
          </w:p>
        </w:tc>
      </w:tr>
      <w:tr>
        <w:tc>
          <w:tcPr>
            <w:tcW w:type="dxa" w:w="2045"/>
            <w:vAlign w:val="center"/>
          </w:tcPr>
          <w:p>
            <w:r/>
            <w:r>
              <w:rPr>
                <w:rFonts w:ascii="Aptos" w:hAnsi="Aptos"/>
                <w:b/>
                <w:sz w:val="14"/>
              </w:rPr>
              <w:t>C9</w:t>
            </w:r>
          </w:p>
        </w:tc>
        <w:tc>
          <w:tcPr>
            <w:tcW w:type="dxa" w:w="2045"/>
            <w:vAlign w:val="center"/>
          </w:tcPr>
          <w:p>
            <w:r/>
            <w:r>
              <w:rPr>
                <w:rFonts w:ascii="Aptos" w:hAnsi="Aptos"/>
                <w:b w:val="0"/>
                <w:sz w:val="14"/>
              </w:rPr>
              <w:t>User/operator information covering intended use, limitations and redress.</w:t>
            </w:r>
          </w:p>
        </w:tc>
        <w:tc>
          <w:tcPr>
            <w:tcW w:type="dxa" w:w="2045"/>
            <w:vAlign w:val="center"/>
          </w:tcPr>
          <w:p>
            <w:r/>
            <w:r>
              <w:rPr>
                <w:rFonts w:ascii="Aptos" w:hAnsi="Aptos"/>
                <w:b w:val="0"/>
                <w:sz w:val="14"/>
              </w:rPr>
              <w:t>Intended use and operator concepts exist, and the Clinical Admin UI is intended to expose model behaviour and governance. Consumer/operator documentation is not yet consolidated.</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Produce operator and API-consumer guidance covering intended use, limitations, oversight expectations, interpretation of outputs, failure modes and escalation/redress routes.</w:t>
            </w:r>
          </w:p>
        </w:tc>
      </w:tr>
      <w:tr>
        <w:tc>
          <w:tcPr>
            <w:tcW w:type="dxa" w:w="2045"/>
            <w:vAlign w:val="center"/>
          </w:tcPr>
          <w:p>
            <w:r/>
            <w:r>
              <w:rPr>
                <w:rFonts w:ascii="Aptos" w:hAnsi="Aptos"/>
                <w:b/>
                <w:sz w:val="14"/>
              </w:rPr>
              <w:t>C10</w:t>
            </w:r>
          </w:p>
        </w:tc>
        <w:tc>
          <w:tcPr>
            <w:tcW w:type="dxa" w:w="2045"/>
            <w:vAlign w:val="center"/>
          </w:tcPr>
          <w:p>
            <w:r/>
            <w:r>
              <w:rPr>
                <w:rFonts w:ascii="Aptos" w:hAnsi="Aptos"/>
                <w:b w:val="0"/>
                <w:sz w:val="14"/>
              </w:rPr>
              <w:t>Monitoring and review maintained at risk-proportionate intervals.</w:t>
            </w:r>
          </w:p>
        </w:tc>
        <w:tc>
          <w:tcPr>
            <w:tcW w:type="dxa" w:w="2045"/>
            <w:vAlign w:val="center"/>
          </w:tcPr>
          <w:p>
            <w:r/>
            <w:r>
              <w:rPr>
                <w:rFonts w:ascii="Aptos" w:hAnsi="Aptos"/>
                <w:b w:val="0"/>
                <w:sz w:val="14"/>
              </w:rPr>
              <w:t>Monitoring for calibration, performance, safety, drift, audit and analytics is part of the programme direction, but the operational regime is not yet fully defined.</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Define production metrics, thresholds, review cadence, accountable owners and triggers for investigation, suspension, rollback or retraining.</w:t>
            </w:r>
          </w:p>
        </w:tc>
      </w:tr>
      <w:tr>
        <w:tc>
          <w:tcPr>
            <w:tcW w:type="dxa" w:w="2045"/>
            <w:vAlign w:val="center"/>
          </w:tcPr>
          <w:p>
            <w:r/>
            <w:r>
              <w:rPr>
                <w:rFonts w:ascii="Aptos" w:hAnsi="Aptos"/>
                <w:b/>
                <w:sz w:val="14"/>
              </w:rPr>
              <w:t>C11</w:t>
            </w:r>
          </w:p>
        </w:tc>
        <w:tc>
          <w:tcPr>
            <w:tcW w:type="dxa" w:w="2045"/>
            <w:vAlign w:val="center"/>
          </w:tcPr>
          <w:p>
            <w:r/>
            <w:r>
              <w:rPr>
                <w:rFonts w:ascii="Aptos" w:hAnsi="Aptos"/>
                <w:b w:val="0"/>
                <w:sz w:val="14"/>
              </w:rPr>
              <w:t>AI incidents managed through organisational incident response.</w:t>
            </w:r>
          </w:p>
        </w:tc>
        <w:tc>
          <w:tcPr>
            <w:tcW w:type="dxa" w:w="2045"/>
            <w:vAlign w:val="center"/>
          </w:tcPr>
          <w:p>
            <w:r/>
            <w:r>
              <w:rPr>
                <w:rFonts w:ascii="Aptos" w:hAnsi="Aptos"/>
                <w:b w:val="0"/>
                <w:sz w:val="14"/>
              </w:rPr>
              <w:t>Clinical safety and operational incident processes exist conceptually, but AI-specific incident classification and escalation are not yet captured in a single process.</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Map AI-related clinical/model incidents into Kainos and NHSE incident processes. Define severity, reporting, CSO/product/security/AI governance escalation and evidence retention.</w:t>
            </w:r>
          </w:p>
        </w:tc>
      </w:tr>
      <w:tr>
        <w:tc>
          <w:tcPr>
            <w:tcW w:type="dxa" w:w="2045"/>
            <w:vAlign w:val="center"/>
          </w:tcPr>
          <w:p>
            <w:r/>
            <w:r>
              <w:rPr>
                <w:rFonts w:ascii="Aptos" w:hAnsi="Aptos"/>
                <w:b/>
                <w:sz w:val="14"/>
              </w:rPr>
              <w:t>C12</w:t>
            </w:r>
          </w:p>
        </w:tc>
        <w:tc>
          <w:tcPr>
            <w:tcW w:type="dxa" w:w="2045"/>
            <w:vAlign w:val="center"/>
          </w:tcPr>
          <w:p>
            <w:r/>
            <w:r>
              <w:rPr>
                <w:rFonts w:ascii="Aptos" w:hAnsi="Aptos"/>
                <w:b w:val="0"/>
                <w:sz w:val="14"/>
              </w:rPr>
              <w:t>Core artefacts retained under documented information control and linked via AI System Register.</w:t>
            </w:r>
          </w:p>
        </w:tc>
        <w:tc>
          <w:tcPr>
            <w:tcW w:type="dxa" w:w="2045"/>
            <w:vAlign w:val="center"/>
          </w:tcPr>
          <w:p>
            <w:r/>
            <w:r>
              <w:rPr>
                <w:rFonts w:ascii="Aptos" w:hAnsi="Aptos"/>
                <w:b w:val="0"/>
                <w:sz w:val="14"/>
              </w:rPr>
              <w:t>Architecture already favours immutable model artefacts, versioning, audit trails and approval histories.</w:t>
            </w:r>
          </w:p>
        </w:tc>
        <w:tc>
          <w:tcPr>
            <w:tcW w:type="dxa" w:w="2045"/>
            <w:vAlign w:val="center"/>
            <w:shd w:fill="D9EAD3"/>
          </w:tcPr>
          <w:p>
            <w:r/>
            <w:r>
              <w:rPr>
                <w:rFonts w:ascii="Aptos" w:hAnsi="Aptos"/>
                <w:b w:val="0"/>
                <w:sz w:val="14"/>
              </w:rPr>
              <w:t>Strong/Partial</w:t>
            </w:r>
          </w:p>
        </w:tc>
        <w:tc>
          <w:tcPr>
            <w:tcW w:type="dxa" w:w="2045"/>
            <w:vAlign w:val="center"/>
          </w:tcPr>
          <w:p>
            <w:r/>
            <w:r>
              <w:rPr>
                <w:rFonts w:ascii="Aptos" w:hAnsi="Aptos"/>
                <w:b w:val="0"/>
                <w:sz w:val="14"/>
              </w:rPr>
              <w:t>Establish one AI System Register entry linking the four required artefacts plus the Approvals &amp; Exceptions Log, with controlled versions and ownership.</w:t>
            </w:r>
          </w:p>
        </w:tc>
      </w:tr>
      <w:tr>
        <w:tc>
          <w:tcPr>
            <w:tcW w:type="dxa" w:w="2045"/>
            <w:vAlign w:val="center"/>
          </w:tcPr>
          <w:p>
            <w:r/>
            <w:r>
              <w:rPr>
                <w:rFonts w:ascii="Aptos" w:hAnsi="Aptos"/>
                <w:b/>
                <w:sz w:val="14"/>
              </w:rPr>
              <w:t>C13</w:t>
            </w:r>
          </w:p>
        </w:tc>
        <w:tc>
          <w:tcPr>
            <w:tcW w:type="dxa" w:w="2045"/>
            <w:vAlign w:val="center"/>
          </w:tcPr>
          <w:p>
            <w:r/>
            <w:r>
              <w:rPr>
                <w:rFonts w:ascii="Aptos" w:hAnsi="Aptos"/>
                <w:b w:val="0"/>
                <w:sz w:val="14"/>
              </w:rPr>
              <w:t>Independent review of the Risk and Impact Assessment.</w:t>
            </w:r>
          </w:p>
        </w:tc>
        <w:tc>
          <w:tcPr>
            <w:tcW w:type="dxa" w:w="2045"/>
            <w:vAlign w:val="center"/>
          </w:tcPr>
          <w:p>
            <w:r/>
            <w:r>
              <w:rPr>
                <w:rFonts w:ascii="Aptos" w:hAnsi="Aptos"/>
                <w:b w:val="0"/>
                <w:sz w:val="14"/>
              </w:rPr>
              <w:t>Independent disciplines are already involved across clinical safety, security, AI ethics, IG and legal, but the Tier 3 independent review required by policy is not yet explicitly assigned.</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Appoint an independent reviewer and record formal sign-off of the Risk &amp; Impact Assessment.</w:t>
            </w:r>
          </w:p>
        </w:tc>
      </w:tr>
      <w:tr>
        <w:tc>
          <w:tcPr>
            <w:tcW w:type="dxa" w:w="2045"/>
            <w:vAlign w:val="center"/>
          </w:tcPr>
          <w:p>
            <w:r/>
            <w:r>
              <w:rPr>
                <w:rFonts w:ascii="Aptos" w:hAnsi="Aptos"/>
                <w:b/>
                <w:sz w:val="14"/>
              </w:rPr>
              <w:t>C14</w:t>
            </w:r>
          </w:p>
        </w:tc>
        <w:tc>
          <w:tcPr>
            <w:tcW w:type="dxa" w:w="2045"/>
            <w:vAlign w:val="center"/>
          </w:tcPr>
          <w:p>
            <w:r/>
            <w:r>
              <w:rPr>
                <w:rFonts w:ascii="Aptos" w:hAnsi="Aptos"/>
                <w:b w:val="0"/>
                <w:sz w:val="14"/>
              </w:rPr>
              <w:t>Adversarial / red-team testing.</w:t>
            </w:r>
          </w:p>
        </w:tc>
        <w:tc>
          <w:tcPr>
            <w:tcW w:type="dxa" w:w="2045"/>
            <w:vAlign w:val="center"/>
          </w:tcPr>
          <w:p>
            <w:r/>
            <w:r>
              <w:rPr>
                <w:rFonts w:ascii="Aptos" w:hAnsi="Aptos"/>
                <w:b w:val="0"/>
                <w:sz w:val="14"/>
              </w:rPr>
              <w:t>Safety and edge-case vignette testing are planned, but this does not yet constitute a defined Tier 3 adversarial/red-team test activity.</w:t>
            </w:r>
          </w:p>
        </w:tc>
        <w:tc>
          <w:tcPr>
            <w:tcW w:type="dxa" w:w="2045"/>
            <w:vAlign w:val="center"/>
            <w:shd w:fill="F4CCCC"/>
          </w:tcPr>
          <w:p>
            <w:r/>
            <w:r>
              <w:rPr>
                <w:rFonts w:ascii="Aptos" w:hAnsi="Aptos"/>
                <w:b w:val="0"/>
                <w:sz w:val="14"/>
              </w:rPr>
              <w:t>Gap</w:t>
            </w:r>
          </w:p>
        </w:tc>
        <w:tc>
          <w:tcPr>
            <w:tcW w:type="dxa" w:w="2045"/>
            <w:vAlign w:val="center"/>
          </w:tcPr>
          <w:p>
            <w:r/>
            <w:r>
              <w:rPr>
                <w:rFonts w:ascii="Aptos" w:hAnsi="Aptos"/>
                <w:b w:val="0"/>
                <w:sz w:val="14"/>
              </w:rPr>
              <w:t>Create a formal adversarial testing workstream covering clinical misuse, contradictory/incomplete evidence, boundary cases, malformed inputs, model manipulation, distribution shift and technical attack scenarios.</w:t>
            </w:r>
          </w:p>
        </w:tc>
      </w:tr>
      <w:tr>
        <w:tc>
          <w:tcPr>
            <w:tcW w:type="dxa" w:w="2045"/>
            <w:vAlign w:val="center"/>
          </w:tcPr>
          <w:p>
            <w:r/>
            <w:r>
              <w:rPr>
                <w:rFonts w:ascii="Aptos" w:hAnsi="Aptos"/>
                <w:b/>
                <w:sz w:val="14"/>
              </w:rPr>
              <w:t>C15</w:t>
            </w:r>
          </w:p>
        </w:tc>
        <w:tc>
          <w:tcPr>
            <w:tcW w:type="dxa" w:w="2045"/>
            <w:vAlign w:val="center"/>
          </w:tcPr>
          <w:p>
            <w:r/>
            <w:r>
              <w:rPr>
                <w:rFonts w:ascii="Aptos" w:hAnsi="Aptos"/>
                <w:b w:val="0"/>
                <w:sz w:val="14"/>
              </w:rPr>
              <w:t>Post-go-live monitoring plan.</w:t>
            </w:r>
          </w:p>
        </w:tc>
        <w:tc>
          <w:tcPr>
            <w:tcW w:type="dxa" w:w="2045"/>
            <w:vAlign w:val="center"/>
          </w:tcPr>
          <w:p>
            <w:r/>
            <w:r>
              <w:rPr>
                <w:rFonts w:ascii="Aptos" w:hAnsi="Aptos"/>
                <w:b w:val="0"/>
                <w:sz w:val="14"/>
              </w:rPr>
              <w:t>Post-deployment monitoring is part of the architecture and Beta planning, but it has not yet been consolidated into the policy-required plan.</w:t>
            </w:r>
          </w:p>
        </w:tc>
        <w:tc>
          <w:tcPr>
            <w:tcW w:type="dxa" w:w="2045"/>
            <w:vAlign w:val="center"/>
            <w:shd w:fill="FCE5CD"/>
          </w:tcPr>
          <w:p>
            <w:r/>
            <w:r>
              <w:rPr>
                <w:rFonts w:ascii="Aptos" w:hAnsi="Aptos"/>
                <w:b w:val="0"/>
                <w:sz w:val="14"/>
              </w:rPr>
              <w:t>Partial</w:t>
            </w:r>
          </w:p>
        </w:tc>
        <w:tc>
          <w:tcPr>
            <w:tcW w:type="dxa" w:w="2045"/>
            <w:vAlign w:val="center"/>
          </w:tcPr>
          <w:p>
            <w:r/>
            <w:r>
              <w:rPr>
                <w:rFonts w:ascii="Aptos" w:hAnsi="Aptos"/>
                <w:b w:val="0"/>
                <w:sz w:val="14"/>
              </w:rPr>
              <w:t>Create a formal post-go-live monitoring plan covering safety, performance, calibration, drift, incidents, rollback, review cadence and accountable owners.</w:t>
            </w:r>
          </w:p>
        </w:tc>
      </w:tr>
    </w:tbl>
    <w:p>
      <w:pPr>
        <w:pStyle w:val="Heading1"/>
      </w:pPr>
      <w:r>
        <w:t>Mapping to Adaptive Triage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D3"/>
          </w:tcPr>
          <w:p>
            <w:r/>
            <w:r>
              <w:rPr>
                <w:rFonts w:ascii="Aptos" w:hAnsi="Aptos"/>
                <w:b/>
                <w:sz w:val="17"/>
              </w:rPr>
              <w:t>Adaptive Triage component/capability</w:t>
            </w:r>
          </w:p>
        </w:tc>
        <w:tc>
          <w:tcPr>
            <w:tcW w:type="dxa" w:w="5112"/>
            <w:vAlign w:val="center"/>
            <w:shd w:fill="D9EAD3"/>
          </w:tcPr>
          <w:p>
            <w:r/>
            <w:r>
              <w:rPr>
                <w:rFonts w:ascii="Aptos" w:hAnsi="Aptos"/>
                <w:b/>
                <w:sz w:val="17"/>
              </w:rPr>
              <w:t>Primary policy controls</w:t>
            </w:r>
          </w:p>
        </w:tc>
      </w:tr>
      <w:tr>
        <w:tc>
          <w:tcPr>
            <w:tcW w:type="dxa" w:w="5112"/>
            <w:vAlign w:val="center"/>
          </w:tcPr>
          <w:p>
            <w:r/>
            <w:r>
              <w:rPr>
                <w:rFonts w:ascii="Aptos" w:hAnsi="Aptos"/>
                <w:b w:val="0"/>
                <w:sz w:val="17"/>
              </w:rPr>
              <w:t>Bayesian Network build pipeline</w:t>
            </w:r>
          </w:p>
        </w:tc>
        <w:tc>
          <w:tcPr>
            <w:tcW w:type="dxa" w:w="5112"/>
            <w:vAlign w:val="center"/>
          </w:tcPr>
          <w:p>
            <w:r/>
            <w:r>
              <w:rPr>
                <w:rFonts w:ascii="Aptos" w:hAnsi="Aptos"/>
                <w:b w:val="0"/>
                <w:sz w:val="17"/>
              </w:rPr>
              <w:t>C2, C4, C5, C6, C7, C12, C14</w:t>
            </w:r>
          </w:p>
        </w:tc>
      </w:tr>
      <w:tr>
        <w:tc>
          <w:tcPr>
            <w:tcW w:type="dxa" w:w="5112"/>
            <w:vAlign w:val="center"/>
          </w:tcPr>
          <w:p>
            <w:r/>
            <w:r>
              <w:rPr>
                <w:rFonts w:ascii="Aptos" w:hAnsi="Aptos"/>
                <w:b w:val="0"/>
                <w:sz w:val="17"/>
              </w:rPr>
              <w:t>Inference engine</w:t>
            </w:r>
          </w:p>
        </w:tc>
        <w:tc>
          <w:tcPr>
            <w:tcW w:type="dxa" w:w="5112"/>
            <w:vAlign w:val="center"/>
          </w:tcPr>
          <w:p>
            <w:r/>
            <w:r>
              <w:rPr>
                <w:rFonts w:ascii="Aptos" w:hAnsi="Aptos"/>
                <w:b w:val="0"/>
                <w:sz w:val="17"/>
              </w:rPr>
              <w:t>C4, C5, C6, C7, C10, C14, C15</w:t>
            </w:r>
          </w:p>
        </w:tc>
      </w:tr>
      <w:tr>
        <w:tc>
          <w:tcPr>
            <w:tcW w:type="dxa" w:w="5112"/>
            <w:vAlign w:val="center"/>
          </w:tcPr>
          <w:p>
            <w:r/>
            <w:r>
              <w:rPr>
                <w:rFonts w:ascii="Aptos" w:hAnsi="Aptos"/>
                <w:b w:val="0"/>
                <w:sz w:val="17"/>
              </w:rPr>
              <w:t>Clinical Admin UI / model governance capability</w:t>
            </w:r>
          </w:p>
        </w:tc>
        <w:tc>
          <w:tcPr>
            <w:tcW w:type="dxa" w:w="5112"/>
            <w:vAlign w:val="center"/>
          </w:tcPr>
          <w:p>
            <w:r/>
            <w:r>
              <w:rPr>
                <w:rFonts w:ascii="Aptos" w:hAnsi="Aptos"/>
                <w:b w:val="0"/>
                <w:sz w:val="17"/>
              </w:rPr>
              <w:t>C3, C5, C8, C9, C10, C11, C12</w:t>
            </w:r>
          </w:p>
        </w:tc>
      </w:tr>
      <w:tr>
        <w:tc>
          <w:tcPr>
            <w:tcW w:type="dxa" w:w="5112"/>
            <w:vAlign w:val="center"/>
          </w:tcPr>
          <w:p>
            <w:r/>
            <w:r>
              <w:rPr>
                <w:rFonts w:ascii="Aptos" w:hAnsi="Aptos"/>
                <w:b w:val="0"/>
                <w:sz w:val="17"/>
              </w:rPr>
              <w:t>Evaluation and testing capability (including Provena)</w:t>
            </w:r>
          </w:p>
        </w:tc>
        <w:tc>
          <w:tcPr>
            <w:tcW w:type="dxa" w:w="5112"/>
            <w:vAlign w:val="center"/>
          </w:tcPr>
          <w:p>
            <w:r/>
            <w:r>
              <w:rPr>
                <w:rFonts w:ascii="Aptos" w:hAnsi="Aptos"/>
                <w:b w:val="0"/>
                <w:sz w:val="17"/>
              </w:rPr>
              <w:t>C5, C6, C10, C14, C15</w:t>
            </w:r>
          </w:p>
        </w:tc>
      </w:tr>
      <w:tr>
        <w:tc>
          <w:tcPr>
            <w:tcW w:type="dxa" w:w="5112"/>
            <w:vAlign w:val="center"/>
          </w:tcPr>
          <w:p>
            <w:r/>
            <w:r>
              <w:rPr>
                <w:rFonts w:ascii="Aptos" w:hAnsi="Aptos"/>
                <w:b w:val="0"/>
                <w:sz w:val="17"/>
              </w:rPr>
              <w:t>FHIR / triage API interaction layer</w:t>
            </w:r>
          </w:p>
        </w:tc>
        <w:tc>
          <w:tcPr>
            <w:tcW w:type="dxa" w:w="5112"/>
            <w:vAlign w:val="center"/>
          </w:tcPr>
          <w:p>
            <w:r/>
            <w:r>
              <w:rPr>
                <w:rFonts w:ascii="Aptos" w:hAnsi="Aptos"/>
                <w:b w:val="0"/>
                <w:sz w:val="17"/>
              </w:rPr>
              <w:t>C4, C6, C7, C9, C10</w:t>
            </w:r>
          </w:p>
        </w:tc>
      </w:tr>
      <w:tr>
        <w:tc>
          <w:tcPr>
            <w:tcW w:type="dxa" w:w="5112"/>
            <w:vAlign w:val="center"/>
          </w:tcPr>
          <w:p>
            <w:r/>
            <w:r>
              <w:rPr>
                <w:rFonts w:ascii="Aptos" w:hAnsi="Aptos"/>
                <w:b w:val="0"/>
                <w:sz w:val="17"/>
              </w:rPr>
              <w:t>Model lifecycle and release pipeline</w:t>
            </w:r>
          </w:p>
        </w:tc>
        <w:tc>
          <w:tcPr>
            <w:tcW w:type="dxa" w:w="5112"/>
            <w:vAlign w:val="center"/>
          </w:tcPr>
          <w:p>
            <w:r/>
            <w:r>
              <w:rPr>
                <w:rFonts w:ascii="Aptos" w:hAnsi="Aptos"/>
                <w:b w:val="0"/>
                <w:sz w:val="17"/>
              </w:rPr>
              <w:t>C3, C8, C10, C12, C15</w:t>
            </w:r>
          </w:p>
        </w:tc>
      </w:tr>
      <w:tr>
        <w:tc>
          <w:tcPr>
            <w:tcW w:type="dxa" w:w="5112"/>
            <w:vAlign w:val="center"/>
          </w:tcPr>
          <w:p>
            <w:r/>
            <w:r>
              <w:rPr>
                <w:rFonts w:ascii="Aptos" w:hAnsi="Aptos"/>
                <w:b w:val="0"/>
                <w:sz w:val="17"/>
              </w:rPr>
              <w:t>Data and analytics capability</w:t>
            </w:r>
          </w:p>
        </w:tc>
        <w:tc>
          <w:tcPr>
            <w:tcW w:type="dxa" w:w="5112"/>
            <w:vAlign w:val="center"/>
          </w:tcPr>
          <w:p>
            <w:r/>
            <w:r>
              <w:rPr>
                <w:rFonts w:ascii="Aptos" w:hAnsi="Aptos"/>
                <w:b w:val="0"/>
                <w:sz w:val="17"/>
              </w:rPr>
              <w:t>C2, C6, C10, C15</w:t>
            </w:r>
          </w:p>
        </w:tc>
      </w:tr>
      <w:tr>
        <w:tc>
          <w:tcPr>
            <w:tcW w:type="dxa" w:w="5112"/>
            <w:vAlign w:val="center"/>
          </w:tcPr>
          <w:p>
            <w:r/>
            <w:r>
              <w:rPr>
                <w:rFonts w:ascii="Aptos" w:hAnsi="Aptos"/>
                <w:b w:val="0"/>
                <w:sz w:val="17"/>
              </w:rPr>
              <w:t>Future ML diagnostic-probability capability</w:t>
            </w:r>
          </w:p>
        </w:tc>
        <w:tc>
          <w:tcPr>
            <w:tcW w:type="dxa" w:w="5112"/>
            <w:vAlign w:val="center"/>
          </w:tcPr>
          <w:p>
            <w:r/>
            <w:r>
              <w:rPr>
                <w:rFonts w:ascii="Aptos" w:hAnsi="Aptos"/>
                <w:b w:val="0"/>
                <w:sz w:val="17"/>
              </w:rPr>
              <w:t>C2, C4, C5, C6, C10, C14, C15</w:t>
            </w:r>
          </w:p>
        </w:tc>
      </w:tr>
    </w:tbl>
    <w:p>
      <w:pPr>
        <w:pStyle w:val="Heading1"/>
      </w:pPr>
      <w:r>
        <w:t>Key implications for the current architecture and delivery</w:t>
      </w:r>
    </w:p>
    <w:p>
      <w:pPr>
        <w:pStyle w:val="Heading2"/>
      </w:pPr>
      <w:r>
        <w:t>Bayesian Network build pipeline</w:t>
      </w:r>
    </w:p>
    <w:p>
      <w:pPr>
        <w:pStyle w:val="ListBullet"/>
        <w:spacing w:after="40"/>
      </w:pPr>
      <w:r>
        <w:t>Maintain end-to-end provenance from source evidence through extraction, ontology mapping, BN variables, edges/CPTs, validation and approved model artefact.</w:t>
      </w:r>
    </w:p>
    <w:p>
      <w:pPr>
        <w:pStyle w:val="ListBullet"/>
        <w:spacing w:after="40"/>
      </w:pPr>
      <w:r>
        <w:t>Treat clinician review and approval as an explicit mitigation for generated or inferred model content.</w:t>
      </w:r>
    </w:p>
    <w:p>
      <w:pPr>
        <w:pStyle w:val="ListBullet"/>
        <w:spacing w:after="40"/>
      </w:pPr>
      <w:r>
        <w:t>Ensure every released network is reproducible from controlled inputs, versions, configurations and approval evidence.</w:t>
      </w:r>
    </w:p>
    <w:p>
      <w:pPr>
        <w:pStyle w:val="ListBullet"/>
        <w:spacing w:after="40"/>
      </w:pPr>
      <w:r>
        <w:t>Retain evidence of structural checks, probabilistic tests, vignette results and clinical sign-off.</w:t>
      </w:r>
    </w:p>
    <w:p>
      <w:pPr>
        <w:pStyle w:val="Heading2"/>
      </w:pPr>
      <w:r>
        <w:t>Inference engine</w:t>
      </w:r>
    </w:p>
    <w:p>
      <w:pPr>
        <w:pStyle w:val="ListBullet"/>
        <w:spacing w:after="40"/>
      </w:pPr>
      <w:r>
        <w:t>Define safety-weighted acceptance criteria rather than relying on overall accuracy alone.</w:t>
      </w:r>
    </w:p>
    <w:p>
      <w:pPr>
        <w:pStyle w:val="ListBullet"/>
        <w:spacing w:after="40"/>
      </w:pPr>
      <w:r>
        <w:t>Capture enough evidence to reconstruct how each material triage decision was reached, including evidence state, model version, probability changes, selected questions and thresholds/rules invoked.</w:t>
      </w:r>
    </w:p>
    <w:p>
      <w:pPr>
        <w:pStyle w:val="ListBullet"/>
        <w:spacing w:after="40"/>
      </w:pPr>
      <w:r>
        <w:t>Explicitly risk assess incorrect posteriors, unsafe stopping criteria, contradictory evidence, missing evidence, inappropriate question selection and federated-model aggregation failures.</w:t>
      </w:r>
    </w:p>
    <w:p>
      <w:pPr>
        <w:pStyle w:val="ListBullet"/>
        <w:spacing w:after="40"/>
      </w:pPr>
      <w:r>
        <w:t>Include inference-specific adversarial testing in C14.</w:t>
      </w:r>
    </w:p>
    <w:p>
      <w:pPr>
        <w:pStyle w:val="Heading2"/>
      </w:pPr>
      <w:r>
        <w:t>Clinical Admin UI / model governance capability</w:t>
      </w:r>
    </w:p>
    <w:p>
      <w:r>
        <w:t>The policy strengthens the case for treating the Clinical Admin UI as a model governance and clinical assurance capability rather than only an authoring interface.</w:t>
      </w:r>
    </w:p>
    <w:p>
      <w:pPr>
        <w:pStyle w:val="ListBullet"/>
        <w:spacing w:after="40"/>
      </w:pPr>
      <w:r>
        <w:t>Expose model version, approval state, approving clinician, validation state and deployment history.</w:t>
      </w:r>
    </w:p>
    <w:p>
      <w:pPr>
        <w:pStyle w:val="ListBullet"/>
        <w:spacing w:after="40"/>
      </w:pPr>
      <w:r>
        <w:t>Govern changes to safety guardrails, channel policies, probability thresholds and risk tolerances through draft, validation, approval and release stages.</w:t>
      </w:r>
    </w:p>
    <w:p>
      <w:pPr>
        <w:pStyle w:val="ListBullet"/>
        <w:spacing w:after="40"/>
      </w:pPr>
      <w:r>
        <w:t>Prevent material configuration changes from becoming immediately effective without C5 re-assessment and C8 re-approval.</w:t>
      </w:r>
    </w:p>
    <w:p>
      <w:pPr>
        <w:pStyle w:val="ListBullet"/>
        <w:spacing w:after="40"/>
      </w:pPr>
      <w:r>
        <w:t>Expose DAG/CPT provenance, model evidence and linked test/approval history where practical.</w:t>
      </w:r>
    </w:p>
    <w:p>
      <w:pPr>
        <w:pStyle w:val="Heading2"/>
      </w:pPr>
      <w:r>
        <w:t>Evaluation and testing capability</w:t>
      </w:r>
    </w:p>
    <w:p>
      <w:pPr>
        <w:pStyle w:val="ListBullet"/>
        <w:spacing w:after="40"/>
      </w:pPr>
      <w:r>
        <w:t>Use the evaluation platform as the primary evidence-producing mechanism for C6, C10, C14 and C15.</w:t>
      </w:r>
    </w:p>
    <w:p>
      <w:pPr>
        <w:pStyle w:val="ListBullet"/>
        <w:spacing w:after="40"/>
      </w:pPr>
      <w:r>
        <w:t>Separate functional verification, clinical validation, safety validation and adversarial testing.</w:t>
      </w:r>
    </w:p>
    <w:p>
      <w:pPr>
        <w:pStyle w:val="ListBullet"/>
        <w:spacing w:after="40"/>
      </w:pPr>
      <w:r>
        <w:t>Include contradictory responses, incomplete evidence, intentionally misleading inputs, rare/extreme presentations, boundary conditions, malformed API data, out-of-distribution inputs and other foreseeable misuse cases.</w:t>
      </w:r>
    </w:p>
    <w:p>
      <w:pPr>
        <w:pStyle w:val="ListBullet"/>
        <w:spacing w:after="40"/>
      </w:pPr>
      <w:r>
        <w:t>Retain all acceptance criteria and results in a form suitable for governance review and audit.</w:t>
      </w:r>
    </w:p>
    <w:p>
      <w:pPr>
        <w:pStyle w:val="Heading2"/>
      </w:pPr>
      <w:r>
        <w:t>FHIR / triage API interaction layer</w:t>
      </w:r>
    </w:p>
    <w:p>
      <w:pPr>
        <w:pStyle w:val="ListBullet"/>
        <w:spacing w:after="40"/>
      </w:pPr>
      <w:r>
        <w:t>Ensure every request/response can be correlated to the model version and inference interaction that produced it.</w:t>
      </w:r>
    </w:p>
    <w:p>
      <w:pPr>
        <w:pStyle w:val="ListBullet"/>
        <w:spacing w:after="40"/>
      </w:pPr>
      <w:r>
        <w:t>Document interpretation of probabilistic outputs, safety assumptions, failure behaviour and integration responsibilities for consuming services.</w:t>
      </w:r>
    </w:p>
    <w:p>
      <w:pPr>
        <w:pStyle w:val="ListBullet"/>
        <w:spacing w:after="40"/>
      </w:pPr>
      <w:r>
        <w:t>Test not only inference correctness but also whether a consuming channel can misinterpret a valid response.</w:t>
      </w:r>
    </w:p>
    <w:p>
      <w:pPr>
        <w:pStyle w:val="Heading2"/>
      </w:pPr>
      <w:r>
        <w:t>Model lifecycle and release</w:t>
      </w:r>
    </w:p>
    <w:p>
      <w:r>
        <w:rPr>
          <w:b/>
        </w:rPr>
        <w:t xml:space="preserve">Recommended lifecycle: </w:t>
      </w:r>
      <w:r>
        <w:t>Draft → Built → Technical Validation → Clinical Validation → Approved → Released → Active → Superseded → Retired.</w:t>
      </w:r>
    </w:p>
    <w:p>
      <w:pPr>
        <w:pStyle w:val="ListBullet"/>
        <w:spacing w:after="40"/>
      </w:pPr>
      <w:r>
        <w:t>Only approved artefacts should be deployable.</w:t>
      </w:r>
    </w:p>
    <w:p>
      <w:pPr>
        <w:pStyle w:val="ListBullet"/>
        <w:spacing w:after="40"/>
      </w:pPr>
      <w:r>
        <w:t>Each lifecycle transition should record actor, timestamp, evidence, approval/reason and model/version identifier.</w:t>
      </w:r>
    </w:p>
    <w:p>
      <w:pPr>
        <w:pStyle w:val="ListBullet"/>
        <w:spacing w:after="40"/>
      </w:pPr>
      <w:r>
        <w:t>Material model, service, training-data or intended-use changes should trigger risk reassessment and re-approval before release.</w:t>
      </w:r>
    </w:p>
    <w:p>
      <w:pPr>
        <w:pStyle w:val="Heading1"/>
      </w:pPr>
      <w:r>
        <w:t>Mapping to the four mandatory Kainos artefacts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D3"/>
          </w:tcPr>
          <w:p>
            <w:r/>
            <w:r>
              <w:rPr>
                <w:rFonts w:ascii="Aptos" w:hAnsi="Aptos"/>
                <w:b/>
                <w:sz w:val="16"/>
              </w:rPr>
              <w:t>Kainos artefact</w:t>
            </w:r>
          </w:p>
        </w:tc>
        <w:tc>
          <w:tcPr>
            <w:tcW w:type="dxa" w:w="3408"/>
            <w:vAlign w:val="center"/>
            <w:shd w:fill="D9EAD3"/>
          </w:tcPr>
          <w:p>
            <w:r/>
            <w:r>
              <w:rPr>
                <w:rFonts w:ascii="Aptos" w:hAnsi="Aptos"/>
                <w:b/>
                <w:sz w:val="16"/>
              </w:rPr>
              <w:t>Existing Adaptive Triage evidence that can feed it</w:t>
            </w:r>
          </w:p>
        </w:tc>
        <w:tc>
          <w:tcPr>
            <w:tcW w:type="dxa" w:w="3408"/>
            <w:vAlign w:val="center"/>
            <w:shd w:fill="D9EAD3"/>
          </w:tcPr>
          <w:p>
            <w:r/>
            <w:r>
              <w:rPr>
                <w:rFonts w:ascii="Aptos" w:hAnsi="Aptos"/>
                <w:b/>
                <w:sz w:val="16"/>
              </w:rPr>
              <w:t>Current position</w:t>
            </w:r>
          </w:p>
        </w:tc>
      </w:tr>
      <w:tr>
        <w:tc>
          <w:tcPr>
            <w:tcW w:type="dxa" w:w="3408"/>
            <w:vAlign w:val="center"/>
          </w:tcPr>
          <w:p>
            <w:r/>
            <w:r>
              <w:rPr>
                <w:rFonts w:ascii="Aptos" w:hAnsi="Aptos"/>
                <w:b w:val="0"/>
                <w:sz w:val="15"/>
              </w:rPr>
              <w:t>AI System Description / Model Card</w:t>
            </w:r>
          </w:p>
        </w:tc>
        <w:tc>
          <w:tcPr>
            <w:tcW w:type="dxa" w:w="3408"/>
            <w:vAlign w:val="center"/>
          </w:tcPr>
          <w:p>
            <w:r/>
            <w:r>
              <w:rPr>
                <w:rFonts w:ascii="Aptos" w:hAnsi="Aptos"/>
                <w:b w:val="0"/>
                <w:sz w:val="15"/>
              </w:rPr>
              <w:t>ODPs, ADRs, intended use, logical/physical architecture, BN architecture, inference engine design, model lifecycle and integration design.</w:t>
            </w:r>
          </w:p>
        </w:tc>
        <w:tc>
          <w:tcPr>
            <w:tcW w:type="dxa" w:w="3408"/>
            <w:vAlign w:val="center"/>
          </w:tcPr>
          <w:p>
            <w:r/>
            <w:r>
              <w:rPr>
                <w:rFonts w:ascii="Aptos" w:hAnsi="Aptos"/>
                <w:b w:val="0"/>
                <w:sz w:val="15"/>
              </w:rPr>
              <w:t>Strong source material exists; needs consolidation into the Kainos format.</w:t>
            </w:r>
          </w:p>
        </w:tc>
      </w:tr>
      <w:tr>
        <w:tc>
          <w:tcPr>
            <w:tcW w:type="dxa" w:w="3408"/>
            <w:vAlign w:val="center"/>
          </w:tcPr>
          <w:p>
            <w:r/>
            <w:r>
              <w:rPr>
                <w:rFonts w:ascii="Aptos" w:hAnsi="Aptos"/>
                <w:b w:val="0"/>
                <w:sz w:val="15"/>
              </w:rPr>
              <w:t>Risk &amp; Impact Assessment</w:t>
            </w:r>
          </w:p>
        </w:tc>
        <w:tc>
          <w:tcPr>
            <w:tcW w:type="dxa" w:w="3408"/>
            <w:vAlign w:val="center"/>
          </w:tcPr>
          <w:p>
            <w:r/>
            <w:r>
              <w:rPr>
                <w:rFonts w:ascii="Aptos" w:hAnsi="Aptos"/>
                <w:b w:val="0"/>
                <w:sz w:val="15"/>
              </w:rPr>
              <w:t>Clinical safety work/hazard log, AI risk work, DPIA, AI ethics, Bedrock assurance, cyber assessment, model guardrails and known limitations.</w:t>
            </w:r>
          </w:p>
        </w:tc>
        <w:tc>
          <w:tcPr>
            <w:tcW w:type="dxa" w:w="3408"/>
            <w:vAlign w:val="center"/>
          </w:tcPr>
          <w:p>
            <w:r/>
            <w:r>
              <w:rPr>
                <w:rFonts w:ascii="Aptos" w:hAnsi="Aptos"/>
                <w:b w:val="0"/>
                <w:sz w:val="15"/>
              </w:rPr>
              <w:t>Substantial material exists but is distributed; requires one authoritative AI risk/impact view.</w:t>
            </w:r>
          </w:p>
        </w:tc>
      </w:tr>
      <w:tr>
        <w:tc>
          <w:tcPr>
            <w:tcW w:type="dxa" w:w="3408"/>
            <w:vAlign w:val="center"/>
          </w:tcPr>
          <w:p>
            <w:r/>
            <w:r>
              <w:rPr>
                <w:rFonts w:ascii="Aptos" w:hAnsi="Aptos"/>
                <w:b w:val="0"/>
                <w:sz w:val="15"/>
              </w:rPr>
              <w:t>Data Management Record</w:t>
            </w:r>
          </w:p>
        </w:tc>
        <w:tc>
          <w:tcPr>
            <w:tcW w:type="dxa" w:w="3408"/>
            <w:vAlign w:val="center"/>
          </w:tcPr>
          <w:p>
            <w:r/>
            <w:r>
              <w:rPr>
                <w:rFonts w:ascii="Aptos" w:hAnsi="Aptos"/>
                <w:b w:val="0"/>
                <w:sz w:val="15"/>
              </w:rPr>
              <w:t>Data-flow architecture, extraction pipeline, deterministic pathway data, TIM/ECDS-derived sources, terminology sources, artefact lineage and retention/access controls.</w:t>
            </w:r>
          </w:p>
        </w:tc>
        <w:tc>
          <w:tcPr>
            <w:tcW w:type="dxa" w:w="3408"/>
            <w:vAlign w:val="center"/>
          </w:tcPr>
          <w:p>
            <w:r/>
            <w:r>
              <w:rPr>
                <w:rFonts w:ascii="Aptos" w:hAnsi="Aptos"/>
                <w:b w:val="0"/>
                <w:sz w:val="15"/>
              </w:rPr>
              <w:t>Core sources are understood; formal DMR is required.</w:t>
            </w:r>
          </w:p>
        </w:tc>
      </w:tr>
      <w:tr>
        <w:tc>
          <w:tcPr>
            <w:tcW w:type="dxa" w:w="3408"/>
            <w:vAlign w:val="center"/>
          </w:tcPr>
          <w:p>
            <w:r/>
            <w:r>
              <w:rPr>
                <w:rFonts w:ascii="Aptos" w:hAnsi="Aptos"/>
                <w:b w:val="0"/>
                <w:sz w:val="15"/>
              </w:rPr>
              <w:t>Monitoring &amp; Review Record</w:t>
            </w:r>
          </w:p>
        </w:tc>
        <w:tc>
          <w:tcPr>
            <w:tcW w:type="dxa" w:w="3408"/>
            <w:vAlign w:val="center"/>
          </w:tcPr>
          <w:p>
            <w:r/>
            <w:r>
              <w:rPr>
                <w:rFonts w:ascii="Aptos" w:hAnsi="Aptos"/>
                <w:b w:val="0"/>
                <w:sz w:val="15"/>
              </w:rPr>
              <w:t>Evaluation results, vignette/regression tests, calibration/discrimination, safety testing, operational monitoring, drift metrics, incidents and log reviews.</w:t>
            </w:r>
          </w:p>
        </w:tc>
        <w:tc>
          <w:tcPr>
            <w:tcW w:type="dxa" w:w="3408"/>
            <w:vAlign w:val="center"/>
          </w:tcPr>
          <w:p>
            <w:r/>
            <w:r>
              <w:rPr>
                <w:rFonts w:ascii="Aptos" w:hAnsi="Aptos"/>
                <w:b w:val="0"/>
                <w:sz w:val="15"/>
              </w:rPr>
              <w:t>Testing direction is strong; operational monitoring and evidence structure require formalisation.</w:t>
            </w:r>
          </w:p>
        </w:tc>
      </w:tr>
    </w:tbl>
    <w:p>
      <w:pPr>
        <w:pStyle w:val="Heading1"/>
      </w:pPr>
      <w:r>
        <w:t>Priority actions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D3"/>
          </w:tcPr>
          <w:p>
            <w:r/>
            <w:r>
              <w:rPr>
                <w:rFonts w:ascii="Aptos" w:hAnsi="Aptos"/>
                <w:b/>
                <w:sz w:val="17"/>
              </w:rPr>
              <w:t>Priority</w:t>
            </w:r>
          </w:p>
        </w:tc>
        <w:tc>
          <w:tcPr>
            <w:tcW w:type="dxa" w:w="3408"/>
            <w:vAlign w:val="center"/>
            <w:shd w:fill="D9EAD3"/>
          </w:tcPr>
          <w:p>
            <w:r/>
            <w:r>
              <w:rPr>
                <w:rFonts w:ascii="Aptos" w:hAnsi="Aptos"/>
                <w:b/>
                <w:sz w:val="17"/>
              </w:rPr>
              <w:t>Gap / action</w:t>
            </w:r>
          </w:p>
        </w:tc>
        <w:tc>
          <w:tcPr>
            <w:tcW w:type="dxa" w:w="3408"/>
            <w:vAlign w:val="center"/>
            <w:shd w:fill="D9EAD3"/>
          </w:tcPr>
          <w:p>
            <w:r/>
            <w:r>
              <w:rPr>
                <w:rFonts w:ascii="Aptos" w:hAnsi="Aptos"/>
                <w:b/>
                <w:sz w:val="17"/>
              </w:rPr>
              <w:t>Outcome</w:t>
            </w:r>
          </w:p>
        </w:tc>
      </w:tr>
      <w:tr>
        <w:tc>
          <w:tcPr>
            <w:tcW w:type="dxa" w:w="3408"/>
            <w:vAlign w:val="center"/>
          </w:tcPr>
          <w:p>
            <w:r/>
            <w:r>
              <w:rPr>
                <w:rFonts w:ascii="Aptos" w:hAnsi="Aptos"/>
                <w:b w:val="0"/>
                <w:sz w:val="16"/>
              </w:rPr>
              <w:t>1</w:t>
            </w:r>
          </w:p>
        </w:tc>
        <w:tc>
          <w:tcPr>
            <w:tcW w:type="dxa" w:w="3408"/>
            <w:vAlign w:val="center"/>
          </w:tcPr>
          <w:p>
            <w:r/>
            <w:r>
              <w:rPr>
                <w:rFonts w:ascii="Aptos" w:hAnsi="Aptos"/>
                <w:b w:val="0"/>
                <w:sz w:val="16"/>
              </w:rPr>
              <w:t>Complete the formal AI System Impact Assessment and obtain the AI Governance Forum risk-tier decision.</w:t>
            </w:r>
          </w:p>
        </w:tc>
        <w:tc>
          <w:tcPr>
            <w:tcW w:type="dxa" w:w="3408"/>
            <w:vAlign w:val="center"/>
          </w:tcPr>
          <w:p>
            <w:r/>
            <w:r>
              <w:rPr>
                <w:rFonts w:ascii="Aptos" w:hAnsi="Aptos"/>
                <w:b w:val="0"/>
                <w:sz w:val="16"/>
              </w:rPr>
              <w:t>Establishes the authoritative policy classification and control depth.</w:t>
            </w:r>
          </w:p>
        </w:tc>
      </w:tr>
      <w:tr>
        <w:tc>
          <w:tcPr>
            <w:tcW w:type="dxa" w:w="3408"/>
            <w:vAlign w:val="center"/>
          </w:tcPr>
          <w:p>
            <w:r/>
            <w:r>
              <w:rPr>
                <w:rFonts w:ascii="Aptos" w:hAnsi="Aptos"/>
                <w:b w:val="0"/>
                <w:sz w:val="16"/>
              </w:rPr>
              <w:t>2</w:t>
            </w:r>
          </w:p>
        </w:tc>
        <w:tc>
          <w:tcPr>
            <w:tcW w:type="dxa" w:w="3408"/>
            <w:vAlign w:val="center"/>
          </w:tcPr>
          <w:p>
            <w:r/>
            <w:r>
              <w:rPr>
                <w:rFonts w:ascii="Aptos" w:hAnsi="Aptos"/>
                <w:b w:val="0"/>
                <w:sz w:val="16"/>
              </w:rPr>
              <w:t>Create one AI System Register entry and consolidate the four mandatory artefacts.</w:t>
            </w:r>
          </w:p>
        </w:tc>
        <w:tc>
          <w:tcPr>
            <w:tcW w:type="dxa" w:w="3408"/>
            <w:vAlign w:val="center"/>
          </w:tcPr>
          <w:p>
            <w:r/>
            <w:r>
              <w:rPr>
                <w:rFonts w:ascii="Aptos" w:hAnsi="Aptos"/>
                <w:b w:val="0"/>
                <w:sz w:val="16"/>
              </w:rPr>
              <w:t>Moves assurance evidence from distributed programme material into the Kainos governance model.</w:t>
            </w:r>
          </w:p>
        </w:tc>
      </w:tr>
      <w:tr>
        <w:tc>
          <w:tcPr>
            <w:tcW w:type="dxa" w:w="3408"/>
            <w:vAlign w:val="center"/>
          </w:tcPr>
          <w:p>
            <w:r/>
            <w:r>
              <w:rPr>
                <w:rFonts w:ascii="Aptos" w:hAnsi="Aptos"/>
                <w:b w:val="0"/>
                <w:sz w:val="16"/>
              </w:rPr>
              <w:t>3</w:t>
            </w:r>
          </w:p>
        </w:tc>
        <w:tc>
          <w:tcPr>
            <w:tcW w:type="dxa" w:w="3408"/>
            <w:vAlign w:val="center"/>
          </w:tcPr>
          <w:p>
            <w:r/>
            <w:r>
              <w:rPr>
                <w:rFonts w:ascii="Aptos" w:hAnsi="Aptos"/>
                <w:b w:val="0"/>
                <w:sz w:val="16"/>
              </w:rPr>
              <w:t>Consolidate an AI-specific Risk &amp; Impact Assessment.</w:t>
            </w:r>
          </w:p>
        </w:tc>
        <w:tc>
          <w:tcPr>
            <w:tcW w:type="dxa" w:w="3408"/>
            <w:vAlign w:val="center"/>
          </w:tcPr>
          <w:p>
            <w:r/>
            <w:r>
              <w:rPr>
                <w:rFonts w:ascii="Aptos" w:hAnsi="Aptos"/>
                <w:b w:val="0"/>
                <w:sz w:val="16"/>
              </w:rPr>
              <w:t>Creates one authoritative view of AI, clinical, security, misuse, bias and drift risks plus residual-risk acceptance.</w:t>
            </w:r>
          </w:p>
        </w:tc>
      </w:tr>
      <w:tr>
        <w:tc>
          <w:tcPr>
            <w:tcW w:type="dxa" w:w="3408"/>
            <w:vAlign w:val="center"/>
          </w:tcPr>
          <w:p>
            <w:r/>
            <w:r>
              <w:rPr>
                <w:rFonts w:ascii="Aptos" w:hAnsi="Aptos"/>
                <w:b w:val="0"/>
                <w:sz w:val="16"/>
              </w:rPr>
              <w:t>4</w:t>
            </w:r>
          </w:p>
        </w:tc>
        <w:tc>
          <w:tcPr>
            <w:tcW w:type="dxa" w:w="3408"/>
            <w:vAlign w:val="center"/>
          </w:tcPr>
          <w:p>
            <w:r/>
            <w:r>
              <w:rPr>
                <w:rFonts w:ascii="Aptos" w:hAnsi="Aptos"/>
                <w:b w:val="0"/>
                <w:sz w:val="16"/>
              </w:rPr>
              <w:t>Establish a formal Tier 3 adversarial/red-team testing workstream.</w:t>
            </w:r>
          </w:p>
        </w:tc>
        <w:tc>
          <w:tcPr>
            <w:tcW w:type="dxa" w:w="3408"/>
            <w:vAlign w:val="center"/>
          </w:tcPr>
          <w:p>
            <w:r/>
            <w:r>
              <w:rPr>
                <w:rFonts w:ascii="Aptos" w:hAnsi="Aptos"/>
                <w:b w:val="0"/>
                <w:sz w:val="16"/>
              </w:rPr>
              <w:t>Closes the clearest current policy-specific gap (C14).</w:t>
            </w:r>
          </w:p>
        </w:tc>
      </w:tr>
      <w:tr>
        <w:tc>
          <w:tcPr>
            <w:tcW w:type="dxa" w:w="3408"/>
            <w:vAlign w:val="center"/>
          </w:tcPr>
          <w:p>
            <w:r/>
            <w:r>
              <w:rPr>
                <w:rFonts w:ascii="Aptos" w:hAnsi="Aptos"/>
                <w:b w:val="0"/>
                <w:sz w:val="16"/>
              </w:rPr>
              <w:t>5</w:t>
            </w:r>
          </w:p>
        </w:tc>
        <w:tc>
          <w:tcPr>
            <w:tcW w:type="dxa" w:w="3408"/>
            <w:vAlign w:val="center"/>
          </w:tcPr>
          <w:p>
            <w:r/>
            <w:r>
              <w:rPr>
                <w:rFonts w:ascii="Aptos" w:hAnsi="Aptos"/>
                <w:b w:val="0"/>
                <w:sz w:val="16"/>
              </w:rPr>
              <w:t>Define formal V&amp;V acceptance criteria and production monitoring thresholds.</w:t>
            </w:r>
          </w:p>
        </w:tc>
        <w:tc>
          <w:tcPr>
            <w:tcW w:type="dxa" w:w="3408"/>
            <w:vAlign w:val="center"/>
          </w:tcPr>
          <w:p>
            <w:r/>
            <w:r>
              <w:rPr>
                <w:rFonts w:ascii="Aptos" w:hAnsi="Aptos"/>
                <w:b w:val="0"/>
                <w:sz w:val="16"/>
              </w:rPr>
              <w:t>Turns existing testing/monitoring intentions into objective release and operational controls.</w:t>
            </w:r>
          </w:p>
        </w:tc>
      </w:tr>
      <w:tr>
        <w:tc>
          <w:tcPr>
            <w:tcW w:type="dxa" w:w="3408"/>
            <w:vAlign w:val="center"/>
          </w:tcPr>
          <w:p>
            <w:r/>
            <w:r>
              <w:rPr>
                <w:rFonts w:ascii="Aptos" w:hAnsi="Aptos"/>
                <w:b w:val="0"/>
                <w:sz w:val="16"/>
              </w:rPr>
              <w:t>6</w:t>
            </w:r>
          </w:p>
        </w:tc>
        <w:tc>
          <w:tcPr>
            <w:tcW w:type="dxa" w:w="3408"/>
            <w:vAlign w:val="center"/>
          </w:tcPr>
          <w:p>
            <w:r/>
            <w:r>
              <w:rPr>
                <w:rFonts w:ascii="Aptos" w:hAnsi="Aptos"/>
                <w:b w:val="0"/>
                <w:sz w:val="16"/>
              </w:rPr>
              <w:t>Formalise C8 release approval and rollback around the existing clinical/model lifecycle.</w:t>
            </w:r>
          </w:p>
        </w:tc>
        <w:tc>
          <w:tcPr>
            <w:tcW w:type="dxa" w:w="3408"/>
            <w:vAlign w:val="center"/>
          </w:tcPr>
          <w:p>
            <w:r/>
            <w:r>
              <w:rPr>
                <w:rFonts w:ascii="Aptos" w:hAnsi="Aptos"/>
                <w:b w:val="0"/>
                <w:sz w:val="16"/>
              </w:rPr>
              <w:t>Provides a clear auditable deployment gate.</w:t>
            </w:r>
          </w:p>
        </w:tc>
      </w:tr>
      <w:tr>
        <w:tc>
          <w:tcPr>
            <w:tcW w:type="dxa" w:w="3408"/>
            <w:vAlign w:val="center"/>
          </w:tcPr>
          <w:p>
            <w:r/>
            <w:r>
              <w:rPr>
                <w:rFonts w:ascii="Aptos" w:hAnsi="Aptos"/>
                <w:b w:val="0"/>
                <w:sz w:val="16"/>
              </w:rPr>
              <w:t>7</w:t>
            </w:r>
          </w:p>
        </w:tc>
        <w:tc>
          <w:tcPr>
            <w:tcW w:type="dxa" w:w="3408"/>
            <w:vAlign w:val="center"/>
          </w:tcPr>
          <w:p>
            <w:r/>
            <w:r>
              <w:rPr>
                <w:rFonts w:ascii="Aptos" w:hAnsi="Aptos"/>
                <w:b w:val="0"/>
                <w:sz w:val="16"/>
              </w:rPr>
              <w:t>Appoint the C13 independent reviewer and formalise post-go-live monitoring.</w:t>
            </w:r>
          </w:p>
        </w:tc>
        <w:tc>
          <w:tcPr>
            <w:tcW w:type="dxa" w:w="3408"/>
            <w:vAlign w:val="center"/>
          </w:tcPr>
          <w:p>
            <w:r/>
            <w:r>
              <w:rPr>
                <w:rFonts w:ascii="Aptos" w:hAnsi="Aptos"/>
                <w:b w:val="0"/>
                <w:sz w:val="16"/>
              </w:rPr>
              <w:t>Completes the enhanced Tier 3 assurance set.</w:t>
            </w:r>
          </w:p>
        </w:tc>
      </w:tr>
    </w:tbl>
    <w:p>
      <w:pPr>
        <w:pStyle w:val="Heading1"/>
      </w:pPr>
      <w:r>
        <w:t>Recommended governance positioning</w:t>
      </w:r>
    </w:p>
    <w:p>
      <w:r>
        <w:t>The Clinical Admin UI should be positioned as the Model Governance and Clinical Assurance capability for Adaptive Triage. This makes it a practical mechanism for implementing and evidencing a large proportion of C4-C15.</w:t>
      </w:r>
    </w:p>
    <w:p>
      <w:pPr>
        <w:pStyle w:val="ListBullet"/>
        <w:spacing w:after="40"/>
      </w:pPr>
      <w:r>
        <w:t>Model: DAG, CPTs, model version and provenance.</w:t>
      </w:r>
    </w:p>
    <w:p>
      <w:pPr>
        <w:pStyle w:val="ListBullet"/>
        <w:spacing w:after="40"/>
      </w:pPr>
      <w:r>
        <w:t>Safety: guardrails, channel policies, thresholds and risk policy.</w:t>
      </w:r>
    </w:p>
    <w:p>
      <w:pPr>
        <w:pStyle w:val="ListBullet"/>
        <w:spacing w:after="40"/>
      </w:pPr>
      <w:r>
        <w:t>Evaluation: vignettes, regression, safety validation and adversarial testing.</w:t>
      </w:r>
    </w:p>
    <w:p>
      <w:pPr>
        <w:pStyle w:val="ListBullet"/>
        <w:spacing w:after="40"/>
      </w:pPr>
      <w:r>
        <w:t>Approval: clinical sign-off, readiness evidence and release gates.</w:t>
      </w:r>
    </w:p>
    <w:p>
      <w:pPr>
        <w:pStyle w:val="ListBullet"/>
        <w:spacing w:after="40"/>
      </w:pPr>
      <w:r>
        <w:t>Monitoring: safety, calibration, drift, performance and incidents.</w:t>
      </w:r>
    </w:p>
    <w:p>
      <w:pPr>
        <w:pStyle w:val="ListBullet"/>
        <w:spacing w:after="40"/>
      </w:pPr>
      <w:r>
        <w:t>Audit: model history, decision evidence, approvals, exceptions and change history.</w:t>
      </w:r>
    </w:p>
    <w:p>
      <w:pPr>
        <w:pStyle w:val="Heading1"/>
      </w:pPr>
      <w:r>
        <w:t>Conclusion</w:t>
      </w:r>
    </w:p>
    <w:p>
      <w:r>
        <w:t>Adaptive Triage is already substantially aligned with the intent of the Kainos AI Lifecycle Policy. The programme's existing clinical assurance, explainability, governance, testing and audit design provide a strong foundation for Tier 3 compliance. The immediate challenge is to formalise and consolidate the evidence into the policy's required artefacts and governance records, rather than to redesign the core solution.</w:t>
      </w:r>
    </w:p>
    <w:p>
      <w:r>
        <w:t>The most significant additional policy-specific activity is the establishment of an explicit Tier 3 adversarial/red-team testing capability. Other key actions are formal risk-tier classification, a consolidated Risk &amp; Impact Assessment, clear independent approval roles, objective acceptance/monitoring thresholds, and a documented post-go-live monitoring plan.</w:t>
      </w:r>
    </w:p>
    <w:p>
      <w:r>
        <w:rPr>
          <w:b/>
        </w:rPr>
        <w:t xml:space="preserve">Next step: </w:t>
      </w:r>
      <w:r>
        <w:t>Use this report as the baseline current-position assessment. The four mandatory Kainos artefacts can then be introduced one at a time, with a separate report created for each artefact that answers its questions using Adaptive Triage evidence and explicitly identifies any unsupported or incomplete areas.</w:t>
      </w:r>
    </w:p>
    <w:p>
      <w:pPr>
        <w:pStyle w:val="Heading1"/>
      </w:pPr>
      <w:r>
        <w:t>Source basis</w:t>
      </w:r>
    </w:p>
    <w:p>
      <w:r>
        <w:t>This current-position report is grounded in the Kainos AI Lifecycle Policy (Version 2.0, approved 2 July 2026) and the Adaptive Triage programme information established to date. Where programme evidence is not yet formally documented in a Kainos artefact, the report records that as a formalisation or evidence gap rather than assuming completion.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Kainos AI Lifecycle Policy - Adaptive Triage current position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