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32"/>
        </w:rPr>
        <w:t>Artefact 1</w:t>
      </w:r>
    </w:p>
    <w:p>
      <w:pPr>
        <w:jc w:val="center"/>
      </w:pPr>
      <w:r>
        <w:rPr>
          <w:rFonts w:ascii="Aptos Display" w:hAnsi="Aptos Display"/>
          <w:b/>
          <w:sz w:val="48"/>
        </w:rPr>
        <w:t>Kainos AI System Description</w:t>
      </w:r>
    </w:p>
    <w:p>
      <w:pPr>
        <w:jc w:val="center"/>
      </w:pPr>
      <w:r>
        <w:rPr>
          <w:rFonts w:ascii="Aptos Display" w:hAnsi="Aptos Display"/>
          <w:b/>
          <w:sz w:val="40"/>
        </w:rPr>
        <w:t>Adaptive Triage</w:t>
      </w:r>
    </w:p>
    <w:p/>
    <w:p>
      <w:pPr>
        <w:jc w:val="center"/>
      </w:pPr>
      <w:r>
        <w:rPr>
          <w:sz w:val="22"/>
        </w:rPr>
        <w:t>Question-by-question response pack for copy and paste into the Kainos assurance system</w:t>
      </w:r>
    </w:p>
    <w:p/>
    <w:p>
      <w:pPr>
        <w:jc w:val="center"/>
      </w:pPr>
      <w:r>
        <w:rPr>
          <w:b/>
          <w:sz w:val="20"/>
        </w:rPr>
        <w:t>Status: Draft working response</w:t>
      </w:r>
    </w:p>
    <w:p>
      <w:r>
        <w:br w:type="page"/>
      </w:r>
    </w:p>
    <w:p>
      <w:pPr>
        <w:pStyle w:val="Heading1"/>
      </w:pPr>
      <w:r>
        <w:t>How to use this report</w:t>
      </w:r>
    </w:p>
    <w:p>
      <w:r>
        <w:t>This report follows the Kainos AI System Description Template in the same order as the source artefact. Every field, question or requested entry in the template is listed explicitly, followed by a copy-and-paste-ready answer for Adaptive Triage. Where the programme does not yet have an authoritative answer, the response is deliberately marked TBC rather than inventing information.</w:t>
      </w:r>
    </w:p>
    <w:p>
      <w:r>
        <w:t>The source template describes the AI System Description as the single source of truth for what the system is, how it works, what it uses and its limitations, supporting controls C4, C7 and C9.</w:t>
      </w:r>
    </w:p>
    <w:p>
      <w:pPr>
        <w:pStyle w:val="Heading1"/>
      </w:pPr>
      <w:r>
        <w:t>1. System Identity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D9EAD3"/>
          </w:tcPr>
          <w:p>
            <w:r/>
            <w:r>
              <w:rPr>
                <w:rFonts w:ascii="Aptos" w:hAnsi="Aptos"/>
                <w:b/>
                <w:sz w:val="16"/>
              </w:rPr>
              <w:t>Template field</w:t>
            </w:r>
          </w:p>
        </w:tc>
        <w:tc>
          <w:tcPr>
            <w:tcW w:type="dxa" w:w="5112"/>
            <w:vAlign w:val="top"/>
            <w:shd w:fill="D9EAD3"/>
          </w:tcPr>
          <w:p>
            <w:r/>
            <w:r>
              <w:rPr>
                <w:rFonts w:ascii="Aptos" w:hAnsi="Aptos"/>
                <w:b/>
                <w:sz w:val="16"/>
              </w:rPr>
              <w:t>Copy/paste answer</w:t>
            </w:r>
          </w:p>
        </w:tc>
      </w:tr>
      <w:tr>
        <w:tc>
          <w:tcPr>
            <w:tcW w:type="dxa" w:w="5112"/>
            <w:vAlign w:val="top"/>
          </w:tcPr>
          <w:p>
            <w:r/>
            <w:r>
              <w:rPr>
                <w:rFonts w:ascii="Aptos" w:hAnsi="Aptos"/>
                <w:b w:val="0"/>
                <w:sz w:val="16"/>
              </w:rPr>
              <w:t>AI System Name</w:t>
            </w:r>
          </w:p>
        </w:tc>
        <w:tc>
          <w:tcPr>
            <w:tcW w:type="dxa" w:w="5112"/>
            <w:vAlign w:val="top"/>
          </w:tcPr>
          <w:p>
            <w:r/>
            <w:r>
              <w:rPr>
                <w:rFonts w:ascii="Aptos" w:hAnsi="Aptos"/>
                <w:b w:val="0"/>
                <w:sz w:val="16"/>
              </w:rPr>
              <w:t>Adaptive Triage</w:t>
            </w:r>
          </w:p>
        </w:tc>
      </w:tr>
      <w:tr>
        <w:tc>
          <w:tcPr>
            <w:tcW w:type="dxa" w:w="5112"/>
            <w:vAlign w:val="top"/>
          </w:tcPr>
          <w:p>
            <w:r/>
            <w:r>
              <w:rPr>
                <w:rFonts w:ascii="Aptos" w:hAnsi="Aptos"/>
                <w:b w:val="0"/>
                <w:sz w:val="16"/>
              </w:rPr>
              <w:t>OneTrust Assessment</w:t>
            </w:r>
          </w:p>
        </w:tc>
        <w:tc>
          <w:tcPr>
            <w:tcW w:type="dxa" w:w="5112"/>
            <w:vAlign w:val="top"/>
          </w:tcPr>
          <w:p>
            <w:r/>
            <w:r>
              <w:rPr>
                <w:rFonts w:ascii="Aptos" w:hAnsi="Aptos"/>
                <w:b w:val="0"/>
                <w:sz w:val="16"/>
              </w:rPr>
              <w:t>[TBC - insert OneTrust Assessment ID once created/confirmed.]</w:t>
            </w:r>
          </w:p>
        </w:tc>
      </w:tr>
      <w:tr>
        <w:tc>
          <w:tcPr>
            <w:tcW w:type="dxa" w:w="5112"/>
            <w:vAlign w:val="top"/>
          </w:tcPr>
          <w:p>
            <w:r/>
            <w:r>
              <w:rPr>
                <w:rFonts w:ascii="Aptos" w:hAnsi="Aptos"/>
                <w:b w:val="0"/>
                <w:sz w:val="16"/>
              </w:rPr>
              <w:t>Risk Tier</w:t>
            </w:r>
          </w:p>
        </w:tc>
        <w:tc>
          <w:tcPr>
            <w:tcW w:type="dxa" w:w="5112"/>
            <w:vAlign w:val="top"/>
          </w:tcPr>
          <w:p>
            <w:r/>
            <w:r>
              <w:rPr>
                <w:rFonts w:ascii="Aptos" w:hAnsi="Aptos"/>
                <w:b w:val="0"/>
                <w:sz w:val="16"/>
              </w:rPr>
              <w:t>Tier 3 - High (working assumption because the Kainos AI Lifecycle Policy explicitly lists medical triage support as a Tier 3 example; formal classification remains subject to the AI Governance Forum).</w:t>
            </w:r>
          </w:p>
        </w:tc>
      </w:tr>
      <w:tr>
        <w:tc>
          <w:tcPr>
            <w:tcW w:type="dxa" w:w="5112"/>
            <w:vAlign w:val="top"/>
          </w:tcPr>
          <w:p>
            <w:r/>
            <w:r>
              <w:rPr>
                <w:rFonts w:ascii="Aptos" w:hAnsi="Aptos"/>
                <w:b w:val="0"/>
                <w:sz w:val="16"/>
              </w:rPr>
              <w:t>Customer (if applicable)</w:t>
            </w:r>
          </w:p>
        </w:tc>
        <w:tc>
          <w:tcPr>
            <w:tcW w:type="dxa" w:w="5112"/>
            <w:vAlign w:val="top"/>
          </w:tcPr>
          <w:p>
            <w:r/>
            <w:r>
              <w:rPr>
                <w:rFonts w:ascii="Aptos" w:hAnsi="Aptos"/>
                <w:b w:val="0"/>
                <w:sz w:val="16"/>
              </w:rPr>
              <w:t>NHS England</w:t>
            </w:r>
          </w:p>
        </w:tc>
      </w:tr>
      <w:tr>
        <w:tc>
          <w:tcPr>
            <w:tcW w:type="dxa" w:w="5112"/>
            <w:vAlign w:val="top"/>
          </w:tcPr>
          <w:p>
            <w:r/>
            <w:r>
              <w:rPr>
                <w:rFonts w:ascii="Aptos" w:hAnsi="Aptos"/>
                <w:b w:val="0"/>
                <w:sz w:val="16"/>
              </w:rPr>
              <w:t>Data Governance Role</w:t>
            </w:r>
          </w:p>
        </w:tc>
        <w:tc>
          <w:tcPr>
            <w:tcW w:type="dxa" w:w="5112"/>
            <w:vAlign w:val="top"/>
          </w:tcPr>
          <w:p>
            <w:r/>
            <w:r>
              <w:rPr>
                <w:rFonts w:ascii="Aptos" w:hAnsi="Aptos"/>
                <w:b w:val="0"/>
                <w:sz w:val="16"/>
              </w:rPr>
              <w:t>Processor - proposed working position for Kainos delivery of the service on behalf of NHS England. [TBC - confirm with Information Governance / contractual position before submission.]</w:t>
            </w:r>
          </w:p>
        </w:tc>
      </w:tr>
      <w:tr>
        <w:tc>
          <w:tcPr>
            <w:tcW w:type="dxa" w:w="5112"/>
            <w:vAlign w:val="top"/>
          </w:tcPr>
          <w:p>
            <w:r/>
            <w:r>
              <w:rPr>
                <w:rFonts w:ascii="Aptos" w:hAnsi="Aptos"/>
                <w:b w:val="0"/>
                <w:sz w:val="16"/>
              </w:rPr>
              <w:t>Data Controller</w:t>
            </w:r>
          </w:p>
        </w:tc>
        <w:tc>
          <w:tcPr>
            <w:tcW w:type="dxa" w:w="5112"/>
            <w:vAlign w:val="top"/>
          </w:tcPr>
          <w:p>
            <w:r/>
            <w:r>
              <w:rPr>
                <w:rFonts w:ascii="Aptos" w:hAnsi="Aptos"/>
                <w:b w:val="0"/>
                <w:sz w:val="16"/>
              </w:rPr>
              <w:t>NHS England, subject to confirmation through the Data Management Record / DPIA and contractual governance.</w:t>
            </w:r>
          </w:p>
        </w:tc>
      </w:tr>
      <w:tr>
        <w:tc>
          <w:tcPr>
            <w:tcW w:type="dxa" w:w="5112"/>
            <w:vAlign w:val="top"/>
          </w:tcPr>
          <w:p>
            <w:r/>
            <w:r>
              <w:rPr>
                <w:rFonts w:ascii="Aptos" w:hAnsi="Aptos"/>
                <w:b w:val="0"/>
                <w:sz w:val="16"/>
              </w:rPr>
              <w:t>Monitoring Owner</w:t>
            </w:r>
          </w:p>
        </w:tc>
        <w:tc>
          <w:tcPr>
            <w:tcW w:type="dxa" w:w="5112"/>
            <w:vAlign w:val="top"/>
          </w:tcPr>
          <w:p>
            <w:r/>
            <w:r>
              <w:rPr>
                <w:rFonts w:ascii="Aptos" w:hAnsi="Aptos"/>
                <w:b w:val="0"/>
                <w:sz w:val="16"/>
              </w:rPr>
              <w:t>Shared - Kainos will implement and operate technical/model monitoring within the delivered service, with NHS England retaining customer and clinical governance accountability. [TBC - confirm final operational ownership model.]</w:t>
            </w:r>
          </w:p>
        </w:tc>
      </w:tr>
      <w:tr>
        <w:tc>
          <w:tcPr>
            <w:tcW w:type="dxa" w:w="5112"/>
            <w:vAlign w:val="top"/>
          </w:tcPr>
          <w:p>
            <w:r/>
            <w:r>
              <w:rPr>
                <w:rFonts w:ascii="Aptos" w:hAnsi="Aptos"/>
                <w:b w:val="0"/>
                <w:sz w:val="16"/>
              </w:rPr>
              <w:t>Accountable Owner</w:t>
            </w:r>
          </w:p>
        </w:tc>
        <w:tc>
          <w:tcPr>
            <w:tcW w:type="dxa" w:w="5112"/>
            <w:vAlign w:val="top"/>
          </w:tcPr>
          <w:p>
            <w:r/>
            <w:r>
              <w:rPr>
                <w:rFonts w:ascii="Aptos" w:hAnsi="Aptos"/>
                <w:b w:val="0"/>
                <w:sz w:val="16"/>
              </w:rPr>
              <w:t>[TBC - insert named Accountable Owner and role.]</w:t>
            </w:r>
          </w:p>
        </w:tc>
      </w:tr>
      <w:tr>
        <w:tc>
          <w:tcPr>
            <w:tcW w:type="dxa" w:w="5112"/>
            <w:vAlign w:val="top"/>
          </w:tcPr>
          <w:p>
            <w:r/>
            <w:r>
              <w:rPr>
                <w:rFonts w:ascii="Aptos" w:hAnsi="Aptos"/>
                <w:b w:val="0"/>
                <w:sz w:val="16"/>
              </w:rPr>
              <w:t>Approver</w:t>
            </w:r>
          </w:p>
        </w:tc>
        <w:tc>
          <w:tcPr>
            <w:tcW w:type="dxa" w:w="5112"/>
            <w:vAlign w:val="top"/>
          </w:tcPr>
          <w:p>
            <w:r/>
            <w:r>
              <w:rPr>
                <w:rFonts w:ascii="Aptos" w:hAnsi="Aptos"/>
                <w:b w:val="0"/>
                <w:sz w:val="16"/>
              </w:rPr>
              <w:t>[TBC - insert named Approver and role. For Tier 3 this must not be the Accountable Owner.]</w:t>
            </w:r>
          </w:p>
        </w:tc>
      </w:tr>
      <w:tr>
        <w:tc>
          <w:tcPr>
            <w:tcW w:type="dxa" w:w="5112"/>
            <w:vAlign w:val="top"/>
          </w:tcPr>
          <w:p>
            <w:r/>
            <w:r>
              <w:rPr>
                <w:rFonts w:ascii="Aptos" w:hAnsi="Aptos"/>
                <w:b w:val="0"/>
                <w:sz w:val="16"/>
              </w:rPr>
              <w:t>Reviewer(s)</w:t>
            </w:r>
          </w:p>
        </w:tc>
        <w:tc>
          <w:tcPr>
            <w:tcW w:type="dxa" w:w="5112"/>
            <w:vAlign w:val="top"/>
          </w:tcPr>
          <w:p>
            <w:r/>
            <w:r>
              <w:rPr>
                <w:rFonts w:ascii="Aptos" w:hAnsi="Aptos"/>
                <w:b w:val="0"/>
                <w:sz w:val="16"/>
              </w:rPr>
              <w:t>Security; Clinical Safety; Data/AI Ethics; Quality Assurance; Information Governance / Data Protection; Legal / Compliance; Architecture and relevant clinical reviewers, as required.</w:t>
            </w:r>
          </w:p>
        </w:tc>
      </w:tr>
      <w:tr>
        <w:tc>
          <w:tcPr>
            <w:tcW w:type="dxa" w:w="5112"/>
            <w:vAlign w:val="top"/>
          </w:tcPr>
          <w:p>
            <w:r/>
            <w:r>
              <w:rPr>
                <w:rFonts w:ascii="Aptos" w:hAnsi="Aptos"/>
                <w:b w:val="0"/>
                <w:sz w:val="16"/>
              </w:rPr>
              <w:t>Lifecycle Stage</w:t>
            </w:r>
          </w:p>
        </w:tc>
        <w:tc>
          <w:tcPr>
            <w:tcW w:type="dxa" w:w="5112"/>
            <w:vAlign w:val="top"/>
          </w:tcPr>
          <w:p>
            <w:r/>
            <w:r>
              <w:rPr>
                <w:rFonts w:ascii="Aptos" w:hAnsi="Aptos"/>
                <w:b w:val="0"/>
                <w:sz w:val="16"/>
              </w:rPr>
              <w:t>Develop - Alpha progressing towards Beta, with design, implementation, evaluation and clinical assurance activities underway.</w:t>
            </w:r>
          </w:p>
        </w:tc>
      </w:tr>
      <w:tr>
        <w:tc>
          <w:tcPr>
            <w:tcW w:type="dxa" w:w="5112"/>
            <w:vAlign w:val="top"/>
          </w:tcPr>
          <w:p>
            <w:r/>
            <w:r>
              <w:rPr>
                <w:rFonts w:ascii="Aptos" w:hAnsi="Aptos"/>
                <w:b w:val="0"/>
                <w:sz w:val="16"/>
              </w:rPr>
              <w:t>Version</w:t>
            </w:r>
          </w:p>
        </w:tc>
        <w:tc>
          <w:tcPr>
            <w:tcW w:type="dxa" w:w="5112"/>
            <w:vAlign w:val="top"/>
          </w:tcPr>
          <w:p>
            <w:r/>
            <w:r>
              <w:rPr>
                <w:rFonts w:ascii="Aptos" w:hAnsi="Aptos"/>
                <w:b w:val="0"/>
                <w:sz w:val="16"/>
              </w:rPr>
              <w:t>0.1</w:t>
            </w:r>
          </w:p>
        </w:tc>
      </w:tr>
      <w:tr>
        <w:tc>
          <w:tcPr>
            <w:tcW w:type="dxa" w:w="5112"/>
            <w:vAlign w:val="top"/>
          </w:tcPr>
          <w:p>
            <w:r/>
            <w:r>
              <w:rPr>
                <w:rFonts w:ascii="Aptos" w:hAnsi="Aptos"/>
                <w:b w:val="0"/>
                <w:sz w:val="16"/>
              </w:rPr>
              <w:t>Date</w:t>
            </w:r>
          </w:p>
        </w:tc>
        <w:tc>
          <w:tcPr>
            <w:tcW w:type="dxa" w:w="5112"/>
            <w:vAlign w:val="top"/>
          </w:tcPr>
          <w:p>
            <w:r/>
            <w:r>
              <w:rPr>
                <w:rFonts w:ascii="Aptos" w:hAnsi="Aptos"/>
                <w:b w:val="0"/>
                <w:sz w:val="16"/>
              </w:rPr>
              <w:t>06.09.2026</w:t>
            </w:r>
          </w:p>
        </w:tc>
      </w:tr>
      <w:tr>
        <w:tc>
          <w:tcPr>
            <w:tcW w:type="dxa" w:w="5112"/>
            <w:vAlign w:val="top"/>
          </w:tcPr>
          <w:p>
            <w:r/>
            <w:r>
              <w:rPr>
                <w:rFonts w:ascii="Aptos" w:hAnsi="Aptos"/>
                <w:b w:val="0"/>
                <w:sz w:val="16"/>
              </w:rPr>
              <w:t>Status</w:t>
            </w:r>
          </w:p>
        </w:tc>
        <w:tc>
          <w:tcPr>
            <w:tcW w:type="dxa" w:w="5112"/>
            <w:vAlign w:val="top"/>
          </w:tcPr>
          <w:p>
            <w:r/>
            <w:r>
              <w:rPr>
                <w:rFonts w:ascii="Aptos" w:hAnsi="Aptos"/>
                <w:b w:val="0"/>
                <w:sz w:val="16"/>
              </w:rPr>
              <w:t>Draft</w:t>
            </w:r>
          </w:p>
        </w:tc>
      </w:tr>
    </w:tbl>
    <w:p/>
    <w:p>
      <w:pPr>
        <w:pStyle w:val="Heading2"/>
      </w:pPr>
      <w:r>
        <w:t>1.2 Summary</w:t>
      </w:r>
    </w:p>
    <w:p>
      <w:pPr>
        <w:pStyle w:val="Question"/>
        <w:spacing w:before="120" w:after="40"/>
      </w:pPr>
      <w:r>
        <w:t>What the system does and who it is for.</w:t>
      </w:r>
    </w:p>
    <w:p>
      <w:pPr>
        <w:pStyle w:val="Answer"/>
        <w:spacing w:after="120"/>
      </w:pPr>
      <w:r>
        <w:t>Adaptive Triage is a centralised, clinically explainable probabilistic triage capability for NHS digital urgent and emergency care. It uses Bayesian Network-based clinical reasoning to combine symptoms, risk factors and evidence gathered during an assessment, dynamically select the next most useful questions, and produce structured triage outcomes for onward care/service selection. The runtime capability is consumed by approved NHS channels and integrating services rather than directly presenting an unrestricted public AI interface. Clinical authors, clinicians, safety users and authorised administrators use the associated governance capability to review, test, approve and manage model behaviour.</w:t>
      </w:r>
    </w:p>
    <w:p>
      <w:pPr>
        <w:pStyle w:val="Question"/>
        <w:spacing w:before="120" w:after="40"/>
      </w:pPr>
      <w:r>
        <w:t>How it is built (architecture, components, models).</w:t>
      </w:r>
    </w:p>
    <w:p>
      <w:pPr>
        <w:pStyle w:val="Answer"/>
        <w:spacing w:after="120"/>
      </w:pPr>
      <w:r>
        <w:t>The service is built as a centralised AWS-hosted capability. Its core runtime uses one or more Bayesian Networks, an inference engine, a risk/safety policy layer, a FHIR-aligned API interaction layer and controlled model artefacts. The model build pipeline extracts and structures clinical knowledge, maps it to an ontology, builds the Bayesian Network structure and conditional probability tables, and subjects the resulting model to automated and clinical validation before approval. Generative AI/LLMs accessed through AWS Bedrock are used only as build-time assistants for selected engineering and clinical authoring activities; they are not intended to make runtime triage decisions.</w:t>
      </w:r>
    </w:p>
    <w:p>
      <w:pPr>
        <w:pStyle w:val="Question"/>
        <w:spacing w:before="120" w:after="40"/>
      </w:pPr>
      <w:r>
        <w:t>Why those choices were made (selection rationale).</w:t>
      </w:r>
    </w:p>
    <w:p>
      <w:pPr>
        <w:pStyle w:val="Answer"/>
        <w:spacing w:after="120"/>
      </w:pPr>
      <w:r>
        <w:t>Bayesian Networks were selected because they support probabilistic reasoning across multiple pieces of clinical evidence while remaining inspectable and explainable. They allow posterior probabilities to be updated as new evidence is collected and support adaptive question selection without relying on an opaque runtime generative model. A centralised service was selected so that probabilistic inference, safety policy, model governance, versioning and assurance can be controlled consistently rather than being distributed across multiple consuming channels.</w:t>
      </w:r>
    </w:p>
    <w:p>
      <w:pPr>
        <w:pStyle w:val="Question"/>
        <w:spacing w:before="120" w:after="40"/>
      </w:pPr>
      <w:r>
        <w:t>What it depends on (data, services, sub-processors).</w:t>
      </w:r>
    </w:p>
    <w:p>
      <w:pPr>
        <w:pStyle w:val="Answer"/>
        <w:spacing w:after="120"/>
      </w:pPr>
      <w:r>
        <w:t>The system depends on approved NHS clinical knowledge/content, terminology services, model build and evaluation datasets, the AWS hosting platform, approved AWS services used for model build/runtime, and consuming NHS services/channels that provide assessment evidence and consume structured triage outputs. Detailed source, provenance, sensitivity, retention and lawful-basis information will be maintained in the Data Management Record.</w:t>
      </w:r>
    </w:p>
    <w:p>
      <w:pPr>
        <w:pStyle w:val="Question"/>
        <w:spacing w:before="120" w:after="40"/>
      </w:pPr>
      <w:r>
        <w:t>What it logs and how that logging supports oversight.</w:t>
      </w:r>
    </w:p>
    <w:p>
      <w:pPr>
        <w:pStyle w:val="Answer"/>
        <w:spacing w:after="120"/>
      </w:pPr>
      <w:r>
        <w:t>The service is designed to retain sufficient audit evidence to reconstruct a triage interaction and the material reasoning steps that produced an outcome. This includes interaction/session identifiers, timestamps, model/version identifiers, evidence supplied, questions selected, probability state changes where required for explanation/audit, applied thresholds or safety rules, outputs, errors and relevant deployment/configuration versions. Logs are access-controlled and protected from unauthorised modification, with retention aligned to the Data Management Record.</w:t>
      </w:r>
    </w:p>
    <w:p>
      <w:pPr>
        <w:pStyle w:val="Question"/>
        <w:spacing w:before="120" w:after="40"/>
      </w:pPr>
      <w:r>
        <w:t>What users and operators must know to use it safely.</w:t>
      </w:r>
    </w:p>
    <w:p>
      <w:pPr>
        <w:pStyle w:val="Answer"/>
        <w:spacing w:after="120"/>
      </w:pPr>
      <w:r>
        <w:t>Users and operators must understand that Adaptive Triage is a clinically governed decision-support/triage capability operating within its approved intended use, channels, population and evidence model. It must not be treated as an unrestricted diagnostic system or general-purpose medical advice model. Operators must use only approved model versions and safety configurations, follow the defined governance and clinical escalation process, and treat material model or safety-policy changes as controlled releases requiring validation and approval.</w:t>
      </w:r>
    </w:p>
    <w:p>
      <w:pPr>
        <w:pStyle w:val="Question"/>
        <w:spacing w:before="120" w:after="40"/>
      </w:pPr>
      <w:r>
        <w:t>Known limitations and out-of-scope uses.</w:t>
      </w:r>
    </w:p>
    <w:p>
      <w:pPr>
        <w:pStyle w:val="Answer"/>
        <w:spacing w:after="120"/>
      </w:pPr>
      <w:r>
        <w:t>The system can only reason over clinical concepts, variables and relationships represented in the approved model and evidence supplied during the interaction. Performance may degrade for presentations that are poorly represented, out of distribution, incomplete, contradictory or affected by data/model drift. It is not intended for autonomous diagnosis, unrestricted clinical decision-making outside the approved triage scope, direct use of a generative LLM for runtime triage decisions, or deployment in unapproved channels/populations without assessment and re-approval.</w:t>
      </w:r>
    </w:p>
    <w:p>
      <w:pPr>
        <w:pStyle w:val="Heading1"/>
      </w:pPr>
      <w:r>
        <w:t>2. System Overview (C4)</w:t>
      </w:r>
    </w:p>
    <w:p>
      <w:pPr>
        <w:pStyle w:val="Question"/>
        <w:spacing w:before="120" w:after="40"/>
      </w:pPr>
      <w:r>
        <w:t>Provide a concise plain-English description of the system: the business problem it solves, the value it delivers, and the boundary of the system.</w:t>
      </w:r>
    </w:p>
    <w:p>
      <w:pPr>
        <w:pStyle w:val="Answer"/>
        <w:spacing w:after="120"/>
      </w:pPr>
      <w:r>
        <w:t>Adaptive Triage is a centralised NHS triage capability that uses clinically explainable probabilistic reasoning to adapt an assessment to the evidence provided by a patient or consuming channel. Instead of relying only on a fixed sequence of questions, it uses an approved Bayesian Network to update the likelihood of relevant clinical states as evidence is collected and select the next most informative safe question. It returns structured triage outcomes for onward service selection. The system boundary includes the model build and release pipeline, approved Bayesian Network artefacts, runtime inference and safety policy, the API interaction layer, evaluation/testing capability, model governance/clinical administration capability, and the logging/monitoring required to operate the service safely. Public-facing channel presentation and unrelated downstream service-selection components sit outside the core Adaptive Triage system boundary, although their interfaces with the service are governed and tested.</w:t>
      </w:r>
    </w:p>
    <w:p>
      <w:pPr>
        <w:pStyle w:val="Heading2"/>
      </w:pPr>
      <w:r>
        <w:t>2.1 Business Context and Objectives</w:t>
      </w:r>
    </w:p>
    <w:p>
      <w:pPr>
        <w:pStyle w:val="Question"/>
        <w:spacing w:before="120" w:after="40"/>
      </w:pPr>
      <w:r>
        <w:t>State the business objectives the system supports, expected benefits, and success measures.</w:t>
      </w:r>
    </w:p>
    <w:p>
      <w:pPr>
        <w:pStyle w:val="Answer"/>
        <w:spacing w:after="120"/>
      </w:pPr>
      <w:r>
        <w:t>Adaptive Triage supports NHS England's objective to improve digital urgent and emergency care triage by making assessments more responsive to the individual evidence presented while retaining clinical safety, governance and explainability. Expected benefits are: reducing unnecessary or low-value questions; improving the ability to reason across multiple symptoms and risk factors; directing people to the most appropriate care setting first time; reducing avoidable onward referrals and emergency department attendances where clinically appropriate; improving patient experience; and supporting more efficient downstream clinical processes. Business success will be measured through agreed Beta/pilot measures covering assessment efficiency, patient experience, appropriate service matching and downstream impact. [TBC - insert the formally approved numeric business targets once Product/Clinical agree them. Technical safety and model acceptance thresholds are intentionally managed in the Monitoring &amp; Review artefact rather than here.]</w:t>
      </w:r>
    </w:p>
    <w:p>
      <w:pPr>
        <w:pStyle w:val="Heading1"/>
      </w:pPr>
      <w:r>
        <w:t>3. Intended Use and Users (C9)</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D9EAD3"/>
          </w:tcPr>
          <w:p>
            <w:r/>
            <w:r>
              <w:rPr>
                <w:rFonts w:ascii="Aptos" w:hAnsi="Aptos"/>
                <w:b/>
                <w:sz w:val="16"/>
              </w:rPr>
              <w:t>Aspect</w:t>
            </w:r>
          </w:p>
        </w:tc>
        <w:tc>
          <w:tcPr>
            <w:tcW w:type="dxa" w:w="5112"/>
            <w:vAlign w:val="top"/>
            <w:shd w:fill="D9EAD3"/>
          </w:tcPr>
          <w:p>
            <w:r/>
            <w:r>
              <w:rPr>
                <w:rFonts w:ascii="Aptos" w:hAnsi="Aptos"/>
                <w:b/>
                <w:sz w:val="16"/>
              </w:rPr>
              <w:t>Copy/paste answer</w:t>
            </w:r>
          </w:p>
        </w:tc>
      </w:tr>
      <w:tr>
        <w:tc>
          <w:tcPr>
            <w:tcW w:type="dxa" w:w="5112"/>
            <w:vAlign w:val="top"/>
          </w:tcPr>
          <w:p>
            <w:r/>
            <w:r>
              <w:rPr>
                <w:rFonts w:ascii="Aptos" w:hAnsi="Aptos"/>
                <w:b w:val="0"/>
                <w:sz w:val="16"/>
              </w:rPr>
              <w:t>Primary intended use</w:t>
            </w:r>
          </w:p>
        </w:tc>
        <w:tc>
          <w:tcPr>
            <w:tcW w:type="dxa" w:w="5112"/>
            <w:vAlign w:val="top"/>
          </w:tcPr>
          <w:p>
            <w:r/>
            <w:r>
              <w:rPr>
                <w:rFonts w:ascii="Aptos" w:hAnsi="Aptos"/>
                <w:b w:val="0"/>
                <w:sz w:val="16"/>
              </w:rPr>
              <w:t>To provide clinically governed probabilistic triage reasoning that combines evidence gathered during an assessment, dynamically selects appropriate next questions and returns structured triage outcomes for onward care/service selection.</w:t>
            </w:r>
          </w:p>
        </w:tc>
      </w:tr>
      <w:tr>
        <w:tc>
          <w:tcPr>
            <w:tcW w:type="dxa" w:w="5112"/>
            <w:vAlign w:val="top"/>
          </w:tcPr>
          <w:p>
            <w:r/>
            <w:r>
              <w:rPr>
                <w:rFonts w:ascii="Aptos" w:hAnsi="Aptos"/>
                <w:b w:val="0"/>
                <w:sz w:val="16"/>
              </w:rPr>
              <w:t>Primary users</w:t>
            </w:r>
          </w:p>
        </w:tc>
        <w:tc>
          <w:tcPr>
            <w:tcW w:type="dxa" w:w="5112"/>
            <w:vAlign w:val="top"/>
          </w:tcPr>
          <w:p>
            <w:r/>
            <w:r>
              <w:rPr>
                <w:rFonts w:ascii="Aptos" w:hAnsi="Aptos"/>
                <w:b w:val="0"/>
                <w:sz w:val="16"/>
              </w:rPr>
              <w:t>Primary service users are people accessing NHS digital urgent and emergency care through approved consuming channels. Direct operational users include clinicians, clinical authors, safety users and authorised administrators responsible for model review, assurance and governance. Detailed stakeholder/impact analysis should be cross-referenced to the Risk &amp; Impact Assessment.</w:t>
            </w:r>
          </w:p>
        </w:tc>
      </w:tr>
      <w:tr>
        <w:tc>
          <w:tcPr>
            <w:tcW w:type="dxa" w:w="5112"/>
            <w:vAlign w:val="top"/>
          </w:tcPr>
          <w:p>
            <w:r/>
            <w:r>
              <w:rPr>
                <w:rFonts w:ascii="Aptos" w:hAnsi="Aptos"/>
                <w:b w:val="0"/>
                <w:sz w:val="16"/>
              </w:rPr>
              <w:t>Operators / oversight role</w:t>
            </w:r>
          </w:p>
        </w:tc>
        <w:tc>
          <w:tcPr>
            <w:tcW w:type="dxa" w:w="5112"/>
            <w:vAlign w:val="top"/>
          </w:tcPr>
          <w:p>
            <w:r/>
            <w:r>
              <w:rPr>
                <w:rFonts w:ascii="Aptos" w:hAnsi="Aptos"/>
                <w:b w:val="0"/>
                <w:sz w:val="16"/>
              </w:rPr>
              <w:t>Kainos/NHS England delivery and operational teams operate and monitor the service according to the agreed support model. Clinical reviewers and the Clinical Safety Officer provide clinical oversight; Product/Delivery owns lifecycle governance; Security, QA, AI Ethics and IG/Legal provide specialist assurance. Named owners are to be recorded once formally assigned.</w:t>
            </w:r>
          </w:p>
        </w:tc>
      </w:tr>
      <w:tr>
        <w:tc>
          <w:tcPr>
            <w:tcW w:type="dxa" w:w="5112"/>
            <w:vAlign w:val="top"/>
          </w:tcPr>
          <w:p>
            <w:r/>
            <w:r>
              <w:rPr>
                <w:rFonts w:ascii="Aptos" w:hAnsi="Aptos"/>
                <w:b w:val="0"/>
                <w:sz w:val="16"/>
              </w:rPr>
              <w:t>Out-of-scope uses</w:t>
            </w:r>
          </w:p>
        </w:tc>
        <w:tc>
          <w:tcPr>
            <w:tcW w:type="dxa" w:w="5112"/>
            <w:vAlign w:val="top"/>
          </w:tcPr>
          <w:p>
            <w:r/>
            <w:r>
              <w:rPr>
                <w:rFonts w:ascii="Aptos" w:hAnsi="Aptos"/>
                <w:b w:val="0"/>
                <w:sz w:val="16"/>
              </w:rPr>
              <w:t>Autonomous diagnosis; unrestricted general medical advice; replacement of clinician judgement where human review is required; use outside approved triage pathways/populations/channels; runtime use of a general-purpose LLM to determine triage outcomes; use of unapproved model artefacts or safety configurations; secondary use of outputs for eligibility, employment, insurance or other unrelated decision-making.</w:t>
            </w:r>
          </w:p>
        </w:tc>
      </w:tr>
      <w:tr>
        <w:tc>
          <w:tcPr>
            <w:tcW w:type="dxa" w:w="5112"/>
            <w:vAlign w:val="top"/>
          </w:tcPr>
          <w:p>
            <w:r/>
            <w:r>
              <w:rPr>
                <w:rFonts w:ascii="Aptos" w:hAnsi="Aptos"/>
                <w:b w:val="0"/>
                <w:sz w:val="16"/>
              </w:rPr>
              <w:t>Deployment context</w:t>
            </w:r>
          </w:p>
        </w:tc>
        <w:tc>
          <w:tcPr>
            <w:tcW w:type="dxa" w:w="5112"/>
            <w:vAlign w:val="top"/>
          </w:tcPr>
          <w:p>
            <w:r/>
            <w:r>
              <w:rPr>
                <w:rFonts w:ascii="Aptos" w:hAnsi="Aptos"/>
                <w:b w:val="0"/>
                <w:sz w:val="16"/>
              </w:rPr>
              <w:t>Customer-facing NHS service consumed through approved NHS digital channels/integrating services. Hosted in an approved UK AWS environment for NHS England. Clinical administration/governance access is restricted to authorised users.</w:t>
            </w:r>
          </w:p>
        </w:tc>
      </w:tr>
    </w:tbl>
    <w:p/>
    <w:p>
      <w:pPr>
        <w:pStyle w:val="Heading2"/>
      </w:pPr>
      <w:r>
        <w:t>3.1 Problem Statement</w:t>
      </w:r>
    </w:p>
    <w:p>
      <w:pPr>
        <w:pStyle w:val="Question"/>
        <w:spacing w:before="120" w:after="40"/>
      </w:pPr>
      <w:r>
        <w:t>State the problem the system is intended to solve.</w:t>
      </w:r>
    </w:p>
    <w:p>
      <w:pPr>
        <w:pStyle w:val="Answer"/>
        <w:spacing w:after="120"/>
      </w:pPr>
      <w:r>
        <w:t>Current digital triage services predominantly use pre-authored deterministic question flows. This provides strong consistency and safety controls, but fixed pathways can be less flexible when a person presents with multiple symptoms, interacting risk factors or evidence that would justify changing the order or relevance of subsequent questions. Adaptive Triage is intended to introduce a clinically governed probabilistic reasoning capability that can continuously update its assessment as evidence is gathered, ask the most useful next question, and produce a structured triage outcome while retaining traceability, clinical assurance and central governance.</w:t>
      </w:r>
    </w:p>
    <w:p>
      <w:pPr>
        <w:pStyle w:val="Heading2"/>
      </w:pPr>
      <w:r>
        <w:t>3.2 Rationale for Using AI</w:t>
      </w:r>
    </w:p>
    <w:p>
      <w:pPr>
        <w:pStyle w:val="Question"/>
        <w:spacing w:before="120" w:after="40"/>
      </w:pPr>
      <w:r>
        <w:t>Explain why an AI approach is appropriate; reference alternatives considered.</w:t>
      </w:r>
    </w:p>
    <w:p>
      <w:pPr>
        <w:pStyle w:val="Answer"/>
        <w:spacing w:after="120"/>
      </w:pPr>
      <w:r>
        <w:t>An AI/probabilistic approach is appropriate because the problem requires reasoning under uncertainty across multiple interacting pieces of clinical evidence and adapting the assessment as new evidence becomes available. A Bayesian Network provides an explicit probabilistic model of relationships between evidence and clinical states, allowing posterior probabilities to be updated in a transparent and testable way. Alternatives considered include continuing with deterministic pathways only, using a single monolithic Bayesian Network, using specialised/federated Bayesian Networks, distributing probabilistic decision-making into consuming services, and using generative LLMs for runtime reasoning. The current direction is a centralised Adaptive Triage service using clinically governed Bayesian inference, with a hierarchical/federated topology where appropriate. Runtime generative LLM decision-making is excluded because the programme requires predictable, reproducible, auditable and clinically approvable reasoning.</w:t>
      </w:r>
    </w:p>
    <w:p>
      <w:pPr>
        <w:pStyle w:val="Heading2"/>
      </w:pPr>
      <w:r>
        <w:t>3.3 Success Criteria</w:t>
      </w:r>
    </w:p>
    <w:p>
      <w:pPr>
        <w:pStyle w:val="Question"/>
        <w:spacing w:before="120" w:after="40"/>
      </w:pPr>
      <w:r>
        <w:t>Measurable criteria for success (business outcomes only).</w:t>
      </w:r>
    </w:p>
    <w:p>
      <w:pPr>
        <w:pStyle w:val="Answer"/>
        <w:spacing w:after="120"/>
      </w:pPr>
      <w:r>
        <w:t>Adaptive Triage will be considered successful if it demonstrates, through Beta/pilot evidence, that it can reduce unnecessary assessment burden while maintaining clinically acceptable triage outcomes and improving the likelihood that users are directed to the appropriate care setting first time. Business measures will cover: reduction in average/median questions or assessment effort relative to the agreed deterministic baseline; user/patient experience; appropriate service matching; reduction in avoidable onward referrals or ED attendance where clinically appropriate; and operational adoption by approved channels. [TBC - Product and Clinical teams to insert the formally approved numeric targets before final approval.]</w:t>
      </w:r>
    </w:p>
    <w:p>
      <w:pPr>
        <w:pStyle w:val="Heading1"/>
      </w:pPr>
      <w:r>
        <w:t>4. Architecture and Components (C4)</w:t>
      </w:r>
    </w:p>
    <w:p>
      <w:pPr>
        <w:pStyle w:val="Question"/>
        <w:spacing w:before="120" w:after="40"/>
      </w:pPr>
      <w:r>
        <w:t>Insert architecture diagram or reference.</w:t>
      </w:r>
    </w:p>
    <w:p>
      <w:pPr>
        <w:pStyle w:val="Answer"/>
        <w:spacing w:after="120"/>
      </w:pPr>
      <w:r>
        <w:t>Reference the approved Adaptive Triage logical and physical architecture documentation and the relevant ODPs/ADRs covering the Bayesian Network build pipeline, centralised runtime inference service, model lifecycle, explainability/auditability, clinical governance UI and FHIR/API integration. [TBC - insert final document/Confluence links or architecture reference IDs in the assurance system.]</w:t>
      </w:r>
    </w:p>
    <w:p>
      <w:pPr>
        <w:pStyle w:val="Heading2"/>
      </w:pPr>
      <w:r>
        <w:t>4.1 Component Inventory</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top"/>
            <w:shd w:fill="D9EAD3"/>
          </w:tcPr>
          <w:p>
            <w:r/>
            <w:r>
              <w:rPr>
                <w:rFonts w:ascii="Aptos" w:hAnsi="Aptos"/>
                <w:b/>
                <w:sz w:val="13"/>
              </w:rPr>
              <w:t>Component</w:t>
            </w:r>
          </w:p>
        </w:tc>
        <w:tc>
          <w:tcPr>
            <w:tcW w:type="dxa" w:w="2045"/>
            <w:vAlign w:val="top"/>
            <w:shd w:fill="D9EAD3"/>
          </w:tcPr>
          <w:p>
            <w:r/>
            <w:r>
              <w:rPr>
                <w:rFonts w:ascii="Aptos" w:hAnsi="Aptos"/>
                <w:b/>
                <w:sz w:val="13"/>
              </w:rPr>
              <w:t>Type</w:t>
            </w:r>
          </w:p>
        </w:tc>
        <w:tc>
          <w:tcPr>
            <w:tcW w:type="dxa" w:w="2045"/>
            <w:vAlign w:val="top"/>
            <w:shd w:fill="D9EAD3"/>
          </w:tcPr>
          <w:p>
            <w:r/>
            <w:r>
              <w:rPr>
                <w:rFonts w:ascii="Aptos" w:hAnsi="Aptos"/>
                <w:b/>
                <w:sz w:val="13"/>
              </w:rPr>
              <w:t>Provider / version</w:t>
            </w:r>
          </w:p>
        </w:tc>
        <w:tc>
          <w:tcPr>
            <w:tcW w:type="dxa" w:w="2045"/>
            <w:vAlign w:val="top"/>
            <w:shd w:fill="D9EAD3"/>
          </w:tcPr>
          <w:p>
            <w:r/>
            <w:r>
              <w:rPr>
                <w:rFonts w:ascii="Aptos" w:hAnsi="Aptos"/>
                <w:b/>
                <w:sz w:val="13"/>
              </w:rPr>
              <w:t>Hosting / region</w:t>
            </w:r>
          </w:p>
        </w:tc>
        <w:tc>
          <w:tcPr>
            <w:tcW w:type="dxa" w:w="2045"/>
            <w:vAlign w:val="top"/>
            <w:shd w:fill="D9EAD3"/>
          </w:tcPr>
          <w:p>
            <w:r/>
            <w:r>
              <w:rPr>
                <w:rFonts w:ascii="Aptos" w:hAnsi="Aptos"/>
                <w:b/>
                <w:sz w:val="13"/>
              </w:rPr>
              <w:t>Role in the system</w:t>
            </w:r>
          </w:p>
        </w:tc>
      </w:tr>
      <w:tr>
        <w:tc>
          <w:tcPr>
            <w:tcW w:type="dxa" w:w="2045"/>
            <w:vAlign w:val="top"/>
          </w:tcPr>
          <w:p>
            <w:r/>
            <w:r>
              <w:rPr>
                <w:rFonts w:ascii="Aptos" w:hAnsi="Aptos"/>
                <w:b w:val="0"/>
                <w:sz w:val="13"/>
              </w:rPr>
              <w:t>Bayesian Network model artefact(s)</w:t>
            </w:r>
          </w:p>
        </w:tc>
        <w:tc>
          <w:tcPr>
            <w:tcW w:type="dxa" w:w="2045"/>
            <w:vAlign w:val="top"/>
          </w:tcPr>
          <w:p>
            <w:r/>
            <w:r>
              <w:rPr>
                <w:rFonts w:ascii="Aptos" w:hAnsi="Aptos"/>
                <w:b w:val="0"/>
                <w:sz w:val="13"/>
              </w:rPr>
              <w:t>Probabilistic AI / Bayesian Network</w:t>
            </w:r>
          </w:p>
        </w:tc>
        <w:tc>
          <w:tcPr>
            <w:tcW w:type="dxa" w:w="2045"/>
            <w:vAlign w:val="top"/>
          </w:tcPr>
          <w:p>
            <w:r/>
            <w:r>
              <w:rPr>
                <w:rFonts w:ascii="Aptos" w:hAnsi="Aptos"/>
                <w:b w:val="0"/>
                <w:sz w:val="13"/>
              </w:rPr>
              <w:t>Adaptive Triage controlled model version(s); exact version per release</w:t>
            </w:r>
          </w:p>
        </w:tc>
        <w:tc>
          <w:tcPr>
            <w:tcW w:type="dxa" w:w="2045"/>
            <w:vAlign w:val="top"/>
          </w:tcPr>
          <w:p>
            <w:r/>
            <w:r>
              <w:rPr>
                <w:rFonts w:ascii="Aptos" w:hAnsi="Aptos"/>
                <w:b w:val="0"/>
                <w:sz w:val="13"/>
              </w:rPr>
              <w:t>AWS UK region / controlled artefact store</w:t>
            </w:r>
          </w:p>
        </w:tc>
        <w:tc>
          <w:tcPr>
            <w:tcW w:type="dxa" w:w="2045"/>
            <w:vAlign w:val="top"/>
          </w:tcPr>
          <w:p>
            <w:r/>
            <w:r>
              <w:rPr>
                <w:rFonts w:ascii="Aptos" w:hAnsi="Aptos"/>
                <w:b w:val="0"/>
                <w:sz w:val="13"/>
              </w:rPr>
              <w:t>Represents clinically governed probabilistic relationships and conditional probabilities used by the runtime inference engine.</w:t>
            </w:r>
          </w:p>
        </w:tc>
      </w:tr>
      <w:tr>
        <w:tc>
          <w:tcPr>
            <w:tcW w:type="dxa" w:w="2045"/>
            <w:vAlign w:val="top"/>
          </w:tcPr>
          <w:p>
            <w:r/>
            <w:r>
              <w:rPr>
                <w:rFonts w:ascii="Aptos" w:hAnsi="Aptos"/>
                <w:b w:val="0"/>
                <w:sz w:val="13"/>
              </w:rPr>
              <w:t>BN build pipeline</w:t>
            </w:r>
          </w:p>
        </w:tc>
        <w:tc>
          <w:tcPr>
            <w:tcW w:type="dxa" w:w="2045"/>
            <w:vAlign w:val="top"/>
          </w:tcPr>
          <w:p>
            <w:r/>
            <w:r>
              <w:rPr>
                <w:rFonts w:ascii="Aptos" w:hAnsi="Aptos"/>
                <w:b w:val="0"/>
                <w:sz w:val="13"/>
              </w:rPr>
              <w:t>AI/model engineering pipeline</w:t>
            </w:r>
          </w:p>
        </w:tc>
        <w:tc>
          <w:tcPr>
            <w:tcW w:type="dxa" w:w="2045"/>
            <w:vAlign w:val="top"/>
          </w:tcPr>
          <w:p>
            <w:r/>
            <w:r>
              <w:rPr>
                <w:rFonts w:ascii="Aptos" w:hAnsi="Aptos"/>
                <w:b w:val="0"/>
                <w:sz w:val="13"/>
              </w:rPr>
              <w:t>Kainos/NHS England implementation; versioned pipeline</w:t>
            </w:r>
          </w:p>
        </w:tc>
        <w:tc>
          <w:tcPr>
            <w:tcW w:type="dxa" w:w="2045"/>
            <w:vAlign w:val="top"/>
          </w:tcPr>
          <w:p>
            <w:r/>
            <w:r>
              <w:rPr>
                <w:rFonts w:ascii="Aptos" w:hAnsi="Aptos"/>
                <w:b w:val="0"/>
                <w:sz w:val="13"/>
              </w:rPr>
              <w:t>AWS UK region</w:t>
            </w:r>
          </w:p>
        </w:tc>
        <w:tc>
          <w:tcPr>
            <w:tcW w:type="dxa" w:w="2045"/>
            <w:vAlign w:val="top"/>
          </w:tcPr>
          <w:p>
            <w:r/>
            <w:r>
              <w:rPr>
                <w:rFonts w:ascii="Aptos" w:hAnsi="Aptos"/>
                <w:b w:val="0"/>
                <w:sz w:val="13"/>
              </w:rPr>
              <w:t>Transforms approved clinical source material/data into candidate model structures/CPTs, applies checks and produces versioned model artefacts for review and approval.</w:t>
            </w:r>
          </w:p>
        </w:tc>
      </w:tr>
      <w:tr>
        <w:tc>
          <w:tcPr>
            <w:tcW w:type="dxa" w:w="2045"/>
            <w:vAlign w:val="top"/>
          </w:tcPr>
          <w:p>
            <w:r/>
            <w:r>
              <w:rPr>
                <w:rFonts w:ascii="Aptos" w:hAnsi="Aptos"/>
                <w:b w:val="0"/>
                <w:sz w:val="13"/>
              </w:rPr>
              <w:t>AWS Bedrock build-time AI assistant</w:t>
            </w:r>
          </w:p>
        </w:tc>
        <w:tc>
          <w:tcPr>
            <w:tcW w:type="dxa" w:w="2045"/>
            <w:vAlign w:val="top"/>
          </w:tcPr>
          <w:p>
            <w:r/>
            <w:r>
              <w:rPr>
                <w:rFonts w:ascii="Aptos" w:hAnsi="Aptos"/>
                <w:b w:val="0"/>
                <w:sz w:val="13"/>
              </w:rPr>
              <w:t>LLM / foundation-model gateway</w:t>
            </w:r>
          </w:p>
        </w:tc>
        <w:tc>
          <w:tcPr>
            <w:tcW w:type="dxa" w:w="2045"/>
            <w:vAlign w:val="top"/>
          </w:tcPr>
          <w:p>
            <w:r/>
            <w:r>
              <w:rPr>
                <w:rFonts w:ascii="Aptos" w:hAnsi="Aptos"/>
                <w:b w:val="0"/>
                <w:sz w:val="13"/>
              </w:rPr>
              <w:t>AWS Bedrock; approved model(s) and version(s) per governance record</w:t>
            </w:r>
          </w:p>
        </w:tc>
        <w:tc>
          <w:tcPr>
            <w:tcW w:type="dxa" w:w="2045"/>
            <w:vAlign w:val="top"/>
          </w:tcPr>
          <w:p>
            <w:r/>
            <w:r>
              <w:rPr>
                <w:rFonts w:ascii="Aptos" w:hAnsi="Aptos"/>
                <w:b w:val="0"/>
                <w:sz w:val="13"/>
              </w:rPr>
              <w:t>AWS approved UK/EU region as configured</w:t>
            </w:r>
          </w:p>
        </w:tc>
        <w:tc>
          <w:tcPr>
            <w:tcW w:type="dxa" w:w="2045"/>
            <w:vAlign w:val="top"/>
          </w:tcPr>
          <w:p>
            <w:r/>
            <w:r>
              <w:rPr>
                <w:rFonts w:ascii="Aptos" w:hAnsi="Aptos"/>
                <w:b w:val="0"/>
                <w:sz w:val="13"/>
              </w:rPr>
              <w:t>Supports selected build-time extraction, structuring or authoring activities. Outputs are reviewed and approved by humans/clinicians. Not used for runtime triage decision-making.</w:t>
            </w:r>
          </w:p>
        </w:tc>
      </w:tr>
      <w:tr>
        <w:tc>
          <w:tcPr>
            <w:tcW w:type="dxa" w:w="2045"/>
            <w:vAlign w:val="top"/>
          </w:tcPr>
          <w:p>
            <w:r/>
            <w:r>
              <w:rPr>
                <w:rFonts w:ascii="Aptos" w:hAnsi="Aptos"/>
                <w:b w:val="0"/>
                <w:sz w:val="13"/>
              </w:rPr>
              <w:t>Amazon SageMaker</w:t>
            </w:r>
          </w:p>
        </w:tc>
        <w:tc>
          <w:tcPr>
            <w:tcW w:type="dxa" w:w="2045"/>
            <w:vAlign w:val="top"/>
          </w:tcPr>
          <w:p>
            <w:r/>
            <w:r>
              <w:rPr>
                <w:rFonts w:ascii="Aptos" w:hAnsi="Aptos"/>
                <w:b w:val="0"/>
                <w:sz w:val="13"/>
              </w:rPr>
              <w:t>ML / data science platform</w:t>
            </w:r>
          </w:p>
        </w:tc>
        <w:tc>
          <w:tcPr>
            <w:tcW w:type="dxa" w:w="2045"/>
            <w:vAlign w:val="top"/>
          </w:tcPr>
          <w:p>
            <w:r/>
            <w:r>
              <w:rPr>
                <w:rFonts w:ascii="Aptos" w:hAnsi="Aptos"/>
                <w:b w:val="0"/>
                <w:sz w:val="13"/>
              </w:rPr>
              <w:t>AWS SageMaker</w:t>
            </w:r>
          </w:p>
        </w:tc>
        <w:tc>
          <w:tcPr>
            <w:tcW w:type="dxa" w:w="2045"/>
            <w:vAlign w:val="top"/>
          </w:tcPr>
          <w:p>
            <w:r/>
            <w:r>
              <w:rPr>
                <w:rFonts w:ascii="Aptos" w:hAnsi="Aptos"/>
                <w:b w:val="0"/>
                <w:sz w:val="13"/>
              </w:rPr>
              <w:t>AWS UK region</w:t>
            </w:r>
          </w:p>
        </w:tc>
        <w:tc>
          <w:tcPr>
            <w:tcW w:type="dxa" w:w="2045"/>
            <w:vAlign w:val="top"/>
          </w:tcPr>
          <w:p>
            <w:r/>
            <w:r>
              <w:rPr>
                <w:rFonts w:ascii="Aptos" w:hAnsi="Aptos"/>
                <w:b w:val="0"/>
                <w:sz w:val="13"/>
              </w:rPr>
              <w:t>Provides controlled data-science/model-development compute and experimentation capability where required by the build/evaluation process.</w:t>
            </w:r>
          </w:p>
        </w:tc>
      </w:tr>
      <w:tr>
        <w:tc>
          <w:tcPr>
            <w:tcW w:type="dxa" w:w="2045"/>
            <w:vAlign w:val="top"/>
          </w:tcPr>
          <w:p>
            <w:r/>
            <w:r>
              <w:rPr>
                <w:rFonts w:ascii="Aptos" w:hAnsi="Aptos"/>
                <w:b w:val="0"/>
                <w:sz w:val="13"/>
              </w:rPr>
              <w:t>Inference engine</w:t>
            </w:r>
          </w:p>
        </w:tc>
        <w:tc>
          <w:tcPr>
            <w:tcW w:type="dxa" w:w="2045"/>
            <w:vAlign w:val="top"/>
          </w:tcPr>
          <w:p>
            <w:r/>
            <w:r>
              <w:rPr>
                <w:rFonts w:ascii="Aptos" w:hAnsi="Aptos"/>
                <w:b w:val="0"/>
                <w:sz w:val="13"/>
              </w:rPr>
              <w:t>Probabilistic inference service</w:t>
            </w:r>
          </w:p>
        </w:tc>
        <w:tc>
          <w:tcPr>
            <w:tcW w:type="dxa" w:w="2045"/>
            <w:vAlign w:val="top"/>
          </w:tcPr>
          <w:p>
            <w:r/>
            <w:r>
              <w:rPr>
                <w:rFonts w:ascii="Aptos" w:hAnsi="Aptos"/>
                <w:b w:val="0"/>
                <w:sz w:val="13"/>
              </w:rPr>
              <w:t>Adaptive Triage runtime implementation</w:t>
            </w:r>
          </w:p>
        </w:tc>
        <w:tc>
          <w:tcPr>
            <w:tcW w:type="dxa" w:w="2045"/>
            <w:vAlign w:val="top"/>
          </w:tcPr>
          <w:p>
            <w:r/>
            <w:r>
              <w:rPr>
                <w:rFonts w:ascii="Aptos" w:hAnsi="Aptos"/>
                <w:b w:val="0"/>
                <w:sz w:val="13"/>
              </w:rPr>
              <w:t>AWS UK region</w:t>
            </w:r>
          </w:p>
        </w:tc>
        <w:tc>
          <w:tcPr>
            <w:tcW w:type="dxa" w:w="2045"/>
            <w:vAlign w:val="top"/>
          </w:tcPr>
          <w:p>
            <w:r/>
            <w:r>
              <w:rPr>
                <w:rFonts w:ascii="Aptos" w:hAnsi="Aptos"/>
                <w:b w:val="0"/>
                <w:sz w:val="13"/>
              </w:rPr>
              <w:t>Loads an approved model artefact, incorporates evidence, updates probabilities and exposes controlled inference functions to the interaction workflow.</w:t>
            </w:r>
          </w:p>
        </w:tc>
      </w:tr>
      <w:tr>
        <w:tc>
          <w:tcPr>
            <w:tcW w:type="dxa" w:w="2045"/>
            <w:vAlign w:val="top"/>
          </w:tcPr>
          <w:p>
            <w:r/>
            <w:r>
              <w:rPr>
                <w:rFonts w:ascii="Aptos" w:hAnsi="Aptos"/>
                <w:b w:val="0"/>
                <w:sz w:val="13"/>
              </w:rPr>
              <w:t>Safety / risk policy layer</w:t>
            </w:r>
          </w:p>
        </w:tc>
        <w:tc>
          <w:tcPr>
            <w:tcW w:type="dxa" w:w="2045"/>
            <w:vAlign w:val="top"/>
          </w:tcPr>
          <w:p>
            <w:r/>
            <w:r>
              <w:rPr>
                <w:rFonts w:ascii="Aptos" w:hAnsi="Aptos"/>
                <w:b w:val="0"/>
                <w:sz w:val="13"/>
              </w:rPr>
              <w:t>Rule/policy-based safety control</w:t>
            </w:r>
          </w:p>
        </w:tc>
        <w:tc>
          <w:tcPr>
            <w:tcW w:type="dxa" w:w="2045"/>
            <w:vAlign w:val="top"/>
          </w:tcPr>
          <w:p>
            <w:r/>
            <w:r>
              <w:rPr>
                <w:rFonts w:ascii="Aptos" w:hAnsi="Aptos"/>
                <w:b w:val="0"/>
                <w:sz w:val="13"/>
              </w:rPr>
              <w:t>Adaptive Triage configuration, versioned per release</w:t>
            </w:r>
          </w:p>
        </w:tc>
        <w:tc>
          <w:tcPr>
            <w:tcW w:type="dxa" w:w="2045"/>
            <w:vAlign w:val="top"/>
          </w:tcPr>
          <w:p>
            <w:r/>
            <w:r>
              <w:rPr>
                <w:rFonts w:ascii="Aptos" w:hAnsi="Aptos"/>
                <w:b w:val="0"/>
                <w:sz w:val="13"/>
              </w:rPr>
              <w:t>AWS UK region</w:t>
            </w:r>
          </w:p>
        </w:tc>
        <w:tc>
          <w:tcPr>
            <w:tcW w:type="dxa" w:w="2045"/>
            <w:vAlign w:val="top"/>
          </w:tcPr>
          <w:p>
            <w:r/>
            <w:r>
              <w:rPr>
                <w:rFonts w:ascii="Aptos" w:hAnsi="Aptos"/>
                <w:b w:val="0"/>
                <w:sz w:val="13"/>
              </w:rPr>
              <w:t>Applies approved safety guardrails, thresholds, channel policies, stopping/escalation rules and other controls around probabilistic inference.</w:t>
            </w:r>
          </w:p>
        </w:tc>
      </w:tr>
      <w:tr>
        <w:tc>
          <w:tcPr>
            <w:tcW w:type="dxa" w:w="2045"/>
            <w:vAlign w:val="top"/>
          </w:tcPr>
          <w:p>
            <w:r/>
            <w:r>
              <w:rPr>
                <w:rFonts w:ascii="Aptos" w:hAnsi="Aptos"/>
                <w:b w:val="0"/>
                <w:sz w:val="13"/>
              </w:rPr>
              <w:t>Federation / model orchestration layer</w:t>
            </w:r>
          </w:p>
        </w:tc>
        <w:tc>
          <w:tcPr>
            <w:tcW w:type="dxa" w:w="2045"/>
            <w:vAlign w:val="top"/>
          </w:tcPr>
          <w:p>
            <w:r/>
            <w:r>
              <w:rPr>
                <w:rFonts w:ascii="Aptos" w:hAnsi="Aptos"/>
                <w:b w:val="0"/>
                <w:sz w:val="13"/>
              </w:rPr>
              <w:t>Probabilistic model orchestration</w:t>
            </w:r>
          </w:p>
        </w:tc>
        <w:tc>
          <w:tcPr>
            <w:tcW w:type="dxa" w:w="2045"/>
            <w:vAlign w:val="top"/>
          </w:tcPr>
          <w:p>
            <w:r/>
            <w:r>
              <w:rPr>
                <w:rFonts w:ascii="Aptos" w:hAnsi="Aptos"/>
                <w:b w:val="0"/>
                <w:sz w:val="13"/>
              </w:rPr>
              <w:t>Adaptive Triage implementation</w:t>
            </w:r>
          </w:p>
        </w:tc>
        <w:tc>
          <w:tcPr>
            <w:tcW w:type="dxa" w:w="2045"/>
            <w:vAlign w:val="top"/>
          </w:tcPr>
          <w:p>
            <w:r/>
            <w:r>
              <w:rPr>
                <w:rFonts w:ascii="Aptos" w:hAnsi="Aptos"/>
                <w:b w:val="0"/>
                <w:sz w:val="13"/>
              </w:rPr>
              <w:t>AWS UK region</w:t>
            </w:r>
          </w:p>
        </w:tc>
        <w:tc>
          <w:tcPr>
            <w:tcW w:type="dxa" w:w="2045"/>
            <w:vAlign w:val="top"/>
          </w:tcPr>
          <w:p>
            <w:r/>
            <w:r>
              <w:rPr>
                <w:rFonts w:ascii="Aptos" w:hAnsi="Aptos"/>
                <w:b w:val="0"/>
                <w:sz w:val="13"/>
              </w:rPr>
              <w:t>Routes or combines reasoning across specialised Bayesian Networks where the hierarchical/federated topology is used.</w:t>
            </w:r>
          </w:p>
        </w:tc>
      </w:tr>
      <w:tr>
        <w:tc>
          <w:tcPr>
            <w:tcW w:type="dxa" w:w="2045"/>
            <w:vAlign w:val="top"/>
          </w:tcPr>
          <w:p>
            <w:r/>
            <w:r>
              <w:rPr>
                <w:rFonts w:ascii="Aptos" w:hAnsi="Aptos"/>
                <w:b w:val="0"/>
                <w:sz w:val="13"/>
              </w:rPr>
              <w:t>Amazon Neptune</w:t>
            </w:r>
          </w:p>
        </w:tc>
        <w:tc>
          <w:tcPr>
            <w:tcW w:type="dxa" w:w="2045"/>
            <w:vAlign w:val="top"/>
          </w:tcPr>
          <w:p>
            <w:r/>
            <w:r>
              <w:rPr>
                <w:rFonts w:ascii="Aptos" w:hAnsi="Aptos"/>
                <w:b w:val="0"/>
                <w:sz w:val="13"/>
              </w:rPr>
              <w:t>Graph database / model knowledge store</w:t>
            </w:r>
          </w:p>
        </w:tc>
        <w:tc>
          <w:tcPr>
            <w:tcW w:type="dxa" w:w="2045"/>
            <w:vAlign w:val="top"/>
          </w:tcPr>
          <w:p>
            <w:r/>
            <w:r>
              <w:rPr>
                <w:rFonts w:ascii="Aptos" w:hAnsi="Aptos"/>
                <w:b w:val="0"/>
                <w:sz w:val="13"/>
              </w:rPr>
              <w:t>AWS Neptune</w:t>
            </w:r>
          </w:p>
        </w:tc>
        <w:tc>
          <w:tcPr>
            <w:tcW w:type="dxa" w:w="2045"/>
            <w:vAlign w:val="top"/>
          </w:tcPr>
          <w:p>
            <w:r/>
            <w:r>
              <w:rPr>
                <w:rFonts w:ascii="Aptos" w:hAnsi="Aptos"/>
                <w:b w:val="0"/>
                <w:sz w:val="13"/>
              </w:rPr>
              <w:t>AWS UK region</w:t>
            </w:r>
          </w:p>
        </w:tc>
        <w:tc>
          <w:tcPr>
            <w:tcW w:type="dxa" w:w="2045"/>
            <w:vAlign w:val="top"/>
          </w:tcPr>
          <w:p>
            <w:r/>
            <w:r>
              <w:rPr>
                <w:rFonts w:ascii="Aptos" w:hAnsi="Aptos"/>
                <w:b w:val="0"/>
                <w:sz w:val="13"/>
              </w:rPr>
              <w:t>Stores graph/model structures and related controlled metadata where required by the approved architecture.</w:t>
            </w:r>
          </w:p>
        </w:tc>
      </w:tr>
      <w:tr>
        <w:tc>
          <w:tcPr>
            <w:tcW w:type="dxa" w:w="2045"/>
            <w:vAlign w:val="top"/>
          </w:tcPr>
          <w:p>
            <w:r/>
            <w:r>
              <w:rPr>
                <w:rFonts w:ascii="Aptos" w:hAnsi="Aptos"/>
                <w:b w:val="0"/>
                <w:sz w:val="13"/>
              </w:rPr>
              <w:t>FHIR-aligned Adaptive Triage API</w:t>
            </w:r>
          </w:p>
        </w:tc>
        <w:tc>
          <w:tcPr>
            <w:tcW w:type="dxa" w:w="2045"/>
            <w:vAlign w:val="top"/>
          </w:tcPr>
          <w:p>
            <w:r/>
            <w:r>
              <w:rPr>
                <w:rFonts w:ascii="Aptos" w:hAnsi="Aptos"/>
                <w:b w:val="0"/>
                <w:sz w:val="13"/>
              </w:rPr>
              <w:t>API / interaction layer</w:t>
            </w:r>
          </w:p>
        </w:tc>
        <w:tc>
          <w:tcPr>
            <w:tcW w:type="dxa" w:w="2045"/>
            <w:vAlign w:val="top"/>
          </w:tcPr>
          <w:p>
            <w:r/>
            <w:r>
              <w:rPr>
                <w:rFonts w:ascii="Aptos" w:hAnsi="Aptos"/>
                <w:b w:val="0"/>
                <w:sz w:val="13"/>
              </w:rPr>
              <w:t>Adaptive Triage API; versioned contract</w:t>
            </w:r>
          </w:p>
        </w:tc>
        <w:tc>
          <w:tcPr>
            <w:tcW w:type="dxa" w:w="2045"/>
            <w:vAlign w:val="top"/>
          </w:tcPr>
          <w:p>
            <w:r/>
            <w:r>
              <w:rPr>
                <w:rFonts w:ascii="Aptos" w:hAnsi="Aptos"/>
                <w:b w:val="0"/>
                <w:sz w:val="13"/>
              </w:rPr>
              <w:t>AWS UK region</w:t>
            </w:r>
          </w:p>
        </w:tc>
        <w:tc>
          <w:tcPr>
            <w:tcW w:type="dxa" w:w="2045"/>
            <w:vAlign w:val="top"/>
          </w:tcPr>
          <w:p>
            <w:r/>
            <w:r>
              <w:rPr>
                <w:rFonts w:ascii="Aptos" w:hAnsi="Aptos"/>
                <w:b w:val="0"/>
                <w:sz w:val="13"/>
              </w:rPr>
              <w:t>Receives structured assessment evidence from approved consuming services and returns structured triage interaction/outcome data.</w:t>
            </w:r>
          </w:p>
        </w:tc>
      </w:tr>
      <w:tr>
        <w:tc>
          <w:tcPr>
            <w:tcW w:type="dxa" w:w="2045"/>
            <w:vAlign w:val="top"/>
          </w:tcPr>
          <w:p>
            <w:r/>
            <w:r>
              <w:rPr>
                <w:rFonts w:ascii="Aptos" w:hAnsi="Aptos"/>
                <w:b w:val="0"/>
                <w:sz w:val="13"/>
              </w:rPr>
              <w:t>Clinical Admin / Model Governance UI</w:t>
            </w:r>
          </w:p>
        </w:tc>
        <w:tc>
          <w:tcPr>
            <w:tcW w:type="dxa" w:w="2045"/>
            <w:vAlign w:val="top"/>
          </w:tcPr>
          <w:p>
            <w:r/>
            <w:r>
              <w:rPr>
                <w:rFonts w:ascii="Aptos" w:hAnsi="Aptos"/>
                <w:b w:val="0"/>
                <w:sz w:val="13"/>
              </w:rPr>
              <w:t>Governance application</w:t>
            </w:r>
          </w:p>
        </w:tc>
        <w:tc>
          <w:tcPr>
            <w:tcW w:type="dxa" w:w="2045"/>
            <w:vAlign w:val="top"/>
          </w:tcPr>
          <w:p>
            <w:r/>
            <w:r>
              <w:rPr>
                <w:rFonts w:ascii="Aptos" w:hAnsi="Aptos"/>
                <w:b w:val="0"/>
                <w:sz w:val="13"/>
              </w:rPr>
              <w:t>Adaptive Triage clinical governance capability</w:t>
            </w:r>
          </w:p>
        </w:tc>
        <w:tc>
          <w:tcPr>
            <w:tcW w:type="dxa" w:w="2045"/>
            <w:vAlign w:val="top"/>
          </w:tcPr>
          <w:p>
            <w:r/>
            <w:r>
              <w:rPr>
                <w:rFonts w:ascii="Aptos" w:hAnsi="Aptos"/>
                <w:b w:val="0"/>
                <w:sz w:val="13"/>
              </w:rPr>
              <w:t>AWS UK region</w:t>
            </w:r>
          </w:p>
        </w:tc>
        <w:tc>
          <w:tcPr>
            <w:tcW w:type="dxa" w:w="2045"/>
            <w:vAlign w:val="top"/>
          </w:tcPr>
          <w:p>
            <w:r/>
            <w:r>
              <w:rPr>
                <w:rFonts w:ascii="Aptos" w:hAnsi="Aptos"/>
                <w:b w:val="0"/>
                <w:sz w:val="13"/>
              </w:rPr>
              <w:t>Allows authorised users to inspect model structure/CPTs, manage draft safety settings, review evidence, approve controlled changes and inspect model/release history.</w:t>
            </w:r>
          </w:p>
        </w:tc>
      </w:tr>
      <w:tr>
        <w:tc>
          <w:tcPr>
            <w:tcW w:type="dxa" w:w="2045"/>
            <w:vAlign w:val="top"/>
          </w:tcPr>
          <w:p>
            <w:r/>
            <w:r>
              <w:rPr>
                <w:rFonts w:ascii="Aptos" w:hAnsi="Aptos"/>
                <w:b w:val="0"/>
                <w:sz w:val="13"/>
              </w:rPr>
              <w:t>Evaluation / Provena capability</w:t>
            </w:r>
          </w:p>
        </w:tc>
        <w:tc>
          <w:tcPr>
            <w:tcW w:type="dxa" w:w="2045"/>
            <w:vAlign w:val="top"/>
          </w:tcPr>
          <w:p>
            <w:r/>
            <w:r>
              <w:rPr>
                <w:rFonts w:ascii="Aptos" w:hAnsi="Aptos"/>
                <w:b w:val="0"/>
                <w:sz w:val="13"/>
              </w:rPr>
              <w:t>Testing and evaluation platform</w:t>
            </w:r>
          </w:p>
        </w:tc>
        <w:tc>
          <w:tcPr>
            <w:tcW w:type="dxa" w:w="2045"/>
            <w:vAlign w:val="top"/>
          </w:tcPr>
          <w:p>
            <w:r/>
            <w:r>
              <w:rPr>
                <w:rFonts w:ascii="Aptos" w:hAnsi="Aptos"/>
                <w:b w:val="0"/>
                <w:sz w:val="13"/>
              </w:rPr>
              <w:t>Provena / Adaptive Triage test integration</w:t>
            </w:r>
          </w:p>
        </w:tc>
        <w:tc>
          <w:tcPr>
            <w:tcW w:type="dxa" w:w="2045"/>
            <w:vAlign w:val="top"/>
          </w:tcPr>
          <w:p>
            <w:r/>
            <w:r>
              <w:rPr>
                <w:rFonts w:ascii="Aptos" w:hAnsi="Aptos"/>
                <w:b w:val="0"/>
                <w:sz w:val="13"/>
              </w:rPr>
              <w:t>Approved environment</w:t>
            </w:r>
          </w:p>
        </w:tc>
        <w:tc>
          <w:tcPr>
            <w:tcW w:type="dxa" w:w="2045"/>
            <w:vAlign w:val="top"/>
          </w:tcPr>
          <w:p>
            <w:r/>
            <w:r>
              <w:rPr>
                <w:rFonts w:ascii="Aptos" w:hAnsi="Aptos"/>
                <w:b w:val="0"/>
                <w:sz w:val="13"/>
              </w:rPr>
              <w:t>Runs vignettes, regression, safety, calibration, robustness and other evaluation activity against candidate/released models.</w:t>
            </w:r>
          </w:p>
        </w:tc>
      </w:tr>
      <w:tr>
        <w:tc>
          <w:tcPr>
            <w:tcW w:type="dxa" w:w="2045"/>
            <w:vAlign w:val="top"/>
          </w:tcPr>
          <w:p>
            <w:r/>
            <w:r>
              <w:rPr>
                <w:rFonts w:ascii="Aptos" w:hAnsi="Aptos"/>
                <w:b w:val="0"/>
                <w:sz w:val="13"/>
              </w:rPr>
              <w:t>Logging and monitoring</w:t>
            </w:r>
          </w:p>
        </w:tc>
        <w:tc>
          <w:tcPr>
            <w:tcW w:type="dxa" w:w="2045"/>
            <w:vAlign w:val="top"/>
          </w:tcPr>
          <w:p>
            <w:r/>
            <w:r>
              <w:rPr>
                <w:rFonts w:ascii="Aptos" w:hAnsi="Aptos"/>
                <w:b w:val="0"/>
                <w:sz w:val="13"/>
              </w:rPr>
              <w:t>Observability / audit</w:t>
            </w:r>
          </w:p>
        </w:tc>
        <w:tc>
          <w:tcPr>
            <w:tcW w:type="dxa" w:w="2045"/>
            <w:vAlign w:val="top"/>
          </w:tcPr>
          <w:p>
            <w:r/>
            <w:r>
              <w:rPr>
                <w:rFonts w:ascii="Aptos" w:hAnsi="Aptos"/>
                <w:b w:val="0"/>
                <w:sz w:val="13"/>
              </w:rPr>
              <w:t>Amazon CloudWatch and associated approved AWS logging services</w:t>
            </w:r>
          </w:p>
        </w:tc>
        <w:tc>
          <w:tcPr>
            <w:tcW w:type="dxa" w:w="2045"/>
            <w:vAlign w:val="top"/>
          </w:tcPr>
          <w:p>
            <w:r/>
            <w:r>
              <w:rPr>
                <w:rFonts w:ascii="Aptos" w:hAnsi="Aptos"/>
                <w:b w:val="0"/>
                <w:sz w:val="13"/>
              </w:rPr>
              <w:t>AWS UK region</w:t>
            </w:r>
          </w:p>
        </w:tc>
        <w:tc>
          <w:tcPr>
            <w:tcW w:type="dxa" w:w="2045"/>
            <w:vAlign w:val="top"/>
          </w:tcPr>
          <w:p>
            <w:r/>
            <w:r>
              <w:rPr>
                <w:rFonts w:ascii="Aptos" w:hAnsi="Aptos"/>
                <w:b w:val="0"/>
                <w:sz w:val="13"/>
              </w:rPr>
              <w:t>Captures operational events, errors, model/version telemetry and audit evidence required for monitoring, incident response and reconstruction.</w:t>
            </w:r>
          </w:p>
        </w:tc>
      </w:tr>
      <w:tr>
        <w:tc>
          <w:tcPr>
            <w:tcW w:type="dxa" w:w="2045"/>
            <w:vAlign w:val="top"/>
          </w:tcPr>
          <w:p>
            <w:r/>
            <w:r>
              <w:rPr>
                <w:rFonts w:ascii="Aptos" w:hAnsi="Aptos"/>
                <w:b w:val="0"/>
                <w:sz w:val="13"/>
              </w:rPr>
              <w:t>Model/evidence artefact store</w:t>
            </w:r>
          </w:p>
        </w:tc>
        <w:tc>
          <w:tcPr>
            <w:tcW w:type="dxa" w:w="2045"/>
            <w:vAlign w:val="top"/>
          </w:tcPr>
          <w:p>
            <w:r/>
            <w:r>
              <w:rPr>
                <w:rFonts w:ascii="Aptos" w:hAnsi="Aptos"/>
                <w:b w:val="0"/>
                <w:sz w:val="13"/>
              </w:rPr>
              <w:t>Object/document storage</w:t>
            </w:r>
          </w:p>
        </w:tc>
        <w:tc>
          <w:tcPr>
            <w:tcW w:type="dxa" w:w="2045"/>
            <w:vAlign w:val="top"/>
          </w:tcPr>
          <w:p>
            <w:r/>
            <w:r>
              <w:rPr>
                <w:rFonts w:ascii="Aptos" w:hAnsi="Aptos"/>
                <w:b w:val="0"/>
                <w:sz w:val="13"/>
              </w:rPr>
              <w:t>Amazon S3 and controlled repositories</w:t>
            </w:r>
          </w:p>
        </w:tc>
        <w:tc>
          <w:tcPr>
            <w:tcW w:type="dxa" w:w="2045"/>
            <w:vAlign w:val="top"/>
          </w:tcPr>
          <w:p>
            <w:r/>
            <w:r>
              <w:rPr>
                <w:rFonts w:ascii="Aptos" w:hAnsi="Aptos"/>
                <w:b w:val="0"/>
                <w:sz w:val="13"/>
              </w:rPr>
              <w:t>AWS UK region</w:t>
            </w:r>
          </w:p>
        </w:tc>
        <w:tc>
          <w:tcPr>
            <w:tcW w:type="dxa" w:w="2045"/>
            <w:vAlign w:val="top"/>
          </w:tcPr>
          <w:p>
            <w:r/>
            <w:r>
              <w:rPr>
                <w:rFonts w:ascii="Aptos" w:hAnsi="Aptos"/>
                <w:b w:val="0"/>
                <w:sz w:val="13"/>
              </w:rPr>
              <w:t>Stores approved model artefacts, evaluation evidence, release packages and supporting assurance information with versioning/access controls.</w:t>
            </w:r>
          </w:p>
        </w:tc>
      </w:tr>
      <w:tr>
        <w:tc>
          <w:tcPr>
            <w:tcW w:type="dxa" w:w="2045"/>
            <w:vAlign w:val="top"/>
          </w:tcPr>
          <w:p>
            <w:r/>
            <w:r>
              <w:rPr>
                <w:rFonts w:ascii="Aptos" w:hAnsi="Aptos"/>
                <w:b w:val="0"/>
                <w:sz w:val="13"/>
              </w:rPr>
              <w:t>Authentication for clinical administration</w:t>
            </w:r>
          </w:p>
        </w:tc>
        <w:tc>
          <w:tcPr>
            <w:tcW w:type="dxa" w:w="2045"/>
            <w:vAlign w:val="top"/>
          </w:tcPr>
          <w:p>
            <w:r/>
            <w:r>
              <w:rPr>
                <w:rFonts w:ascii="Aptos" w:hAnsi="Aptos"/>
                <w:b w:val="0"/>
                <w:sz w:val="13"/>
              </w:rPr>
              <w:t>Identity and access control</w:t>
            </w:r>
          </w:p>
        </w:tc>
        <w:tc>
          <w:tcPr>
            <w:tcW w:type="dxa" w:w="2045"/>
            <w:vAlign w:val="top"/>
          </w:tcPr>
          <w:p>
            <w:r/>
            <w:r>
              <w:rPr>
                <w:rFonts w:ascii="Aptos" w:hAnsi="Aptos"/>
                <w:b w:val="0"/>
                <w:sz w:val="13"/>
              </w:rPr>
              <w:t>CIS2 / approved NHS identity integration</w:t>
            </w:r>
          </w:p>
        </w:tc>
        <w:tc>
          <w:tcPr>
            <w:tcW w:type="dxa" w:w="2045"/>
            <w:vAlign w:val="top"/>
          </w:tcPr>
          <w:p>
            <w:r/>
            <w:r>
              <w:rPr>
                <w:rFonts w:ascii="Aptos" w:hAnsi="Aptos"/>
                <w:b w:val="0"/>
                <w:sz w:val="13"/>
              </w:rPr>
              <w:t>NHS/AWS integration boundary</w:t>
            </w:r>
          </w:p>
        </w:tc>
        <w:tc>
          <w:tcPr>
            <w:tcW w:type="dxa" w:w="2045"/>
            <w:vAlign w:val="top"/>
          </w:tcPr>
          <w:p>
            <w:r/>
            <w:r>
              <w:rPr>
                <w:rFonts w:ascii="Aptos" w:hAnsi="Aptos"/>
                <w:b w:val="0"/>
                <w:sz w:val="13"/>
              </w:rPr>
              <w:t>Restricts clinical administration/governance access to appropriately authorised users.</w:t>
            </w:r>
          </w:p>
        </w:tc>
      </w:tr>
    </w:tbl>
    <w:p/>
    <w:p>
      <w:pPr>
        <w:pStyle w:val="Heading2"/>
      </w:pPr>
      <w:r>
        <w:t>4.2 Tooling and Approval Status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top"/>
            <w:shd w:fill="D9EAD3"/>
          </w:tcPr>
          <w:p>
            <w:r/>
            <w:r>
              <w:rPr>
                <w:rFonts w:ascii="Aptos" w:hAnsi="Aptos"/>
                <w:b/>
                <w:sz w:val="14"/>
              </w:rPr>
              <w:t>Tool / platform</w:t>
            </w:r>
          </w:p>
        </w:tc>
        <w:tc>
          <w:tcPr>
            <w:tcW w:type="dxa" w:w="2556"/>
            <w:vAlign w:val="top"/>
            <w:shd w:fill="D9EAD3"/>
          </w:tcPr>
          <w:p>
            <w:r/>
            <w:r>
              <w:rPr>
                <w:rFonts w:ascii="Aptos" w:hAnsi="Aptos"/>
                <w:b/>
                <w:sz w:val="14"/>
              </w:rPr>
              <w:t>Category</w:t>
            </w:r>
          </w:p>
        </w:tc>
        <w:tc>
          <w:tcPr>
            <w:tcW w:type="dxa" w:w="2556"/>
            <w:vAlign w:val="top"/>
            <w:shd w:fill="D9EAD3"/>
          </w:tcPr>
          <w:p>
            <w:r/>
            <w:r>
              <w:rPr>
                <w:rFonts w:ascii="Aptos" w:hAnsi="Aptos"/>
                <w:b/>
                <w:sz w:val="14"/>
              </w:rPr>
              <w:t>Approved-list status</w:t>
            </w:r>
          </w:p>
        </w:tc>
        <w:tc>
          <w:tcPr>
            <w:tcW w:type="dxa" w:w="2556"/>
            <w:vAlign w:val="top"/>
            <w:shd w:fill="D9EAD3"/>
          </w:tcPr>
          <w:p>
            <w:r/>
            <w:r>
              <w:rPr>
                <w:rFonts w:ascii="Aptos" w:hAnsi="Aptos"/>
                <w:b/>
                <w:sz w:val="14"/>
              </w:rPr>
              <w:t>Approval reference</w:t>
            </w:r>
          </w:p>
        </w:tc>
      </w:tr>
      <w:tr>
        <w:tc>
          <w:tcPr>
            <w:tcW w:type="dxa" w:w="2556"/>
            <w:vAlign w:val="top"/>
          </w:tcPr>
          <w:p>
            <w:r/>
            <w:r>
              <w:rPr>
                <w:rFonts w:ascii="Aptos" w:hAnsi="Aptos"/>
                <w:b w:val="0"/>
                <w:sz w:val="14"/>
              </w:rPr>
              <w:t>AWS Bedrock</w:t>
            </w:r>
          </w:p>
        </w:tc>
        <w:tc>
          <w:tcPr>
            <w:tcW w:type="dxa" w:w="2556"/>
            <w:vAlign w:val="top"/>
          </w:tcPr>
          <w:p>
            <w:r/>
            <w:r>
              <w:rPr>
                <w:rFonts w:ascii="Aptos" w:hAnsi="Aptos"/>
                <w:b w:val="0"/>
                <w:sz w:val="14"/>
              </w:rPr>
              <w:t>Model gateway / build-time AI assistance</w:t>
            </w:r>
          </w:p>
        </w:tc>
        <w:tc>
          <w:tcPr>
            <w:tcW w:type="dxa" w:w="2556"/>
            <w:vAlign w:val="top"/>
          </w:tcPr>
          <w:p>
            <w:r/>
            <w:r>
              <w:rPr>
                <w:rFonts w:ascii="Aptos" w:hAnsi="Aptos"/>
                <w:b w:val="0"/>
                <w:sz w:val="14"/>
              </w:rPr>
              <w:t>Customer/Engineering Board approved for programme use; Kainos approved-list status to be confirmed</w:t>
            </w:r>
          </w:p>
        </w:tc>
        <w:tc>
          <w:tcPr>
            <w:tcW w:type="dxa" w:w="2556"/>
            <w:vAlign w:val="top"/>
          </w:tcPr>
          <w:p>
            <w:r/>
            <w:r>
              <w:rPr>
                <w:rFonts w:ascii="Aptos" w:hAnsi="Aptos"/>
                <w:b w:val="0"/>
                <w:sz w:val="14"/>
              </w:rPr>
              <w:t>Engineering Board approval; [TBC Kainos AI Governance reference]</w:t>
            </w:r>
          </w:p>
        </w:tc>
      </w:tr>
      <w:tr>
        <w:tc>
          <w:tcPr>
            <w:tcW w:type="dxa" w:w="2556"/>
            <w:vAlign w:val="top"/>
          </w:tcPr>
          <w:p>
            <w:r/>
            <w:r>
              <w:rPr>
                <w:rFonts w:ascii="Aptos" w:hAnsi="Aptos"/>
                <w:b w:val="0"/>
                <w:sz w:val="14"/>
              </w:rPr>
              <w:t>Approved Bedrock foundation model(s)</w:t>
            </w:r>
          </w:p>
        </w:tc>
        <w:tc>
          <w:tcPr>
            <w:tcW w:type="dxa" w:w="2556"/>
            <w:vAlign w:val="top"/>
          </w:tcPr>
          <w:p>
            <w:r/>
            <w:r>
              <w:rPr>
                <w:rFonts w:ascii="Aptos" w:hAnsi="Aptos"/>
                <w:b w:val="0"/>
                <w:sz w:val="14"/>
              </w:rPr>
              <w:t>LLM / build-time assistance</w:t>
            </w:r>
          </w:p>
        </w:tc>
        <w:tc>
          <w:tcPr>
            <w:tcW w:type="dxa" w:w="2556"/>
            <w:vAlign w:val="top"/>
          </w:tcPr>
          <w:p>
            <w:r/>
            <w:r>
              <w:rPr>
                <w:rFonts w:ascii="Aptos" w:hAnsi="Aptos"/>
                <w:b w:val="0"/>
                <w:sz w:val="14"/>
              </w:rPr>
              <w:t>Use only models approved for the programme and Kainos governance; exact model/version recorded per activity</w:t>
            </w:r>
          </w:p>
        </w:tc>
        <w:tc>
          <w:tcPr>
            <w:tcW w:type="dxa" w:w="2556"/>
            <w:vAlign w:val="top"/>
          </w:tcPr>
          <w:p>
            <w:r/>
            <w:r>
              <w:rPr>
                <w:rFonts w:ascii="Aptos" w:hAnsi="Aptos"/>
                <w:b w:val="0"/>
                <w:sz w:val="14"/>
              </w:rPr>
              <w:t>[TBC - insert approved-list / exception references for Claude/Nova/other approved model used]</w:t>
            </w:r>
          </w:p>
        </w:tc>
      </w:tr>
      <w:tr>
        <w:tc>
          <w:tcPr>
            <w:tcW w:type="dxa" w:w="2556"/>
            <w:vAlign w:val="top"/>
          </w:tcPr>
          <w:p>
            <w:r/>
            <w:r>
              <w:rPr>
                <w:rFonts w:ascii="Aptos" w:hAnsi="Aptos"/>
                <w:b w:val="0"/>
                <w:sz w:val="14"/>
              </w:rPr>
              <w:t>Amazon SageMaker</w:t>
            </w:r>
          </w:p>
        </w:tc>
        <w:tc>
          <w:tcPr>
            <w:tcW w:type="dxa" w:w="2556"/>
            <w:vAlign w:val="top"/>
          </w:tcPr>
          <w:p>
            <w:r/>
            <w:r>
              <w:rPr>
                <w:rFonts w:ascii="Aptos" w:hAnsi="Aptos"/>
                <w:b w:val="0"/>
                <w:sz w:val="14"/>
              </w:rPr>
              <w:t>Model development / data science</w:t>
            </w:r>
          </w:p>
        </w:tc>
        <w:tc>
          <w:tcPr>
            <w:tcW w:type="dxa" w:w="2556"/>
            <w:vAlign w:val="top"/>
          </w:tcPr>
          <w:p>
            <w:r/>
            <w:r>
              <w:rPr>
                <w:rFonts w:ascii="Aptos" w:hAnsi="Aptos"/>
                <w:b w:val="0"/>
                <w:sz w:val="14"/>
              </w:rPr>
              <w:t>Customer/Engineering Board approved for programme use; Kainos approved-list status to be confirmed</w:t>
            </w:r>
          </w:p>
        </w:tc>
        <w:tc>
          <w:tcPr>
            <w:tcW w:type="dxa" w:w="2556"/>
            <w:vAlign w:val="top"/>
          </w:tcPr>
          <w:p>
            <w:r/>
            <w:r>
              <w:rPr>
                <w:rFonts w:ascii="Aptos" w:hAnsi="Aptos"/>
                <w:b w:val="0"/>
                <w:sz w:val="14"/>
              </w:rPr>
              <w:t>Engineering Board approval; [TBC Kainos reference]</w:t>
            </w:r>
          </w:p>
        </w:tc>
      </w:tr>
      <w:tr>
        <w:tc>
          <w:tcPr>
            <w:tcW w:type="dxa" w:w="2556"/>
            <w:vAlign w:val="top"/>
          </w:tcPr>
          <w:p>
            <w:r/>
            <w:r>
              <w:rPr>
                <w:rFonts w:ascii="Aptos" w:hAnsi="Aptos"/>
                <w:b w:val="0"/>
                <w:sz w:val="14"/>
              </w:rPr>
              <w:t>Amazon Neptune</w:t>
            </w:r>
          </w:p>
        </w:tc>
        <w:tc>
          <w:tcPr>
            <w:tcW w:type="dxa" w:w="2556"/>
            <w:vAlign w:val="top"/>
          </w:tcPr>
          <w:p>
            <w:r/>
            <w:r>
              <w:rPr>
                <w:rFonts w:ascii="Aptos" w:hAnsi="Aptos"/>
                <w:b w:val="0"/>
                <w:sz w:val="14"/>
              </w:rPr>
              <w:t>Graph database / model storage</w:t>
            </w:r>
          </w:p>
        </w:tc>
        <w:tc>
          <w:tcPr>
            <w:tcW w:type="dxa" w:w="2556"/>
            <w:vAlign w:val="top"/>
          </w:tcPr>
          <w:p>
            <w:r/>
            <w:r>
              <w:rPr>
                <w:rFonts w:ascii="Aptos" w:hAnsi="Aptos"/>
                <w:b w:val="0"/>
                <w:sz w:val="14"/>
              </w:rPr>
              <w:t>Customer/Engineering Board approved for programme use; Kainos approved-list status to be confirmed</w:t>
            </w:r>
          </w:p>
        </w:tc>
        <w:tc>
          <w:tcPr>
            <w:tcW w:type="dxa" w:w="2556"/>
            <w:vAlign w:val="top"/>
          </w:tcPr>
          <w:p>
            <w:r/>
            <w:r>
              <w:rPr>
                <w:rFonts w:ascii="Aptos" w:hAnsi="Aptos"/>
                <w:b w:val="0"/>
                <w:sz w:val="14"/>
              </w:rPr>
              <w:t>Engineering Board approval; [TBC Kainos reference]</w:t>
            </w:r>
          </w:p>
        </w:tc>
      </w:tr>
      <w:tr>
        <w:tc>
          <w:tcPr>
            <w:tcW w:type="dxa" w:w="2556"/>
            <w:vAlign w:val="top"/>
          </w:tcPr>
          <w:p>
            <w:r/>
            <w:r>
              <w:rPr>
                <w:rFonts w:ascii="Aptos" w:hAnsi="Aptos"/>
                <w:b w:val="0"/>
                <w:sz w:val="14"/>
              </w:rPr>
              <w:t>Amazon CloudWatch</w:t>
            </w:r>
          </w:p>
        </w:tc>
        <w:tc>
          <w:tcPr>
            <w:tcW w:type="dxa" w:w="2556"/>
            <w:vAlign w:val="top"/>
          </w:tcPr>
          <w:p>
            <w:r/>
            <w:r>
              <w:rPr>
                <w:rFonts w:ascii="Aptos" w:hAnsi="Aptos"/>
                <w:b w:val="0"/>
                <w:sz w:val="14"/>
              </w:rPr>
              <w:t>Monitoring / observability</w:t>
            </w:r>
          </w:p>
        </w:tc>
        <w:tc>
          <w:tcPr>
            <w:tcW w:type="dxa" w:w="2556"/>
            <w:vAlign w:val="top"/>
          </w:tcPr>
          <w:p>
            <w:r/>
            <w:r>
              <w:rPr>
                <w:rFonts w:ascii="Aptos" w:hAnsi="Aptos"/>
                <w:b w:val="0"/>
                <w:sz w:val="14"/>
              </w:rPr>
              <w:t>Approved AWS platform service subject to project platform/security governance</w:t>
            </w:r>
          </w:p>
        </w:tc>
        <w:tc>
          <w:tcPr>
            <w:tcW w:type="dxa" w:w="2556"/>
            <w:vAlign w:val="top"/>
          </w:tcPr>
          <w:p>
            <w:r/>
            <w:r>
              <w:rPr>
                <w:rFonts w:ascii="Aptos" w:hAnsi="Aptos"/>
                <w:b w:val="0"/>
                <w:sz w:val="14"/>
              </w:rPr>
              <w:t>[TBC - approved tooling reference if required]</w:t>
            </w:r>
          </w:p>
        </w:tc>
      </w:tr>
      <w:tr>
        <w:tc>
          <w:tcPr>
            <w:tcW w:type="dxa" w:w="2556"/>
            <w:vAlign w:val="top"/>
          </w:tcPr>
          <w:p>
            <w:r/>
            <w:r>
              <w:rPr>
                <w:rFonts w:ascii="Aptos" w:hAnsi="Aptos"/>
                <w:b w:val="0"/>
                <w:sz w:val="14"/>
              </w:rPr>
              <w:t>Amazon S3</w:t>
            </w:r>
          </w:p>
        </w:tc>
        <w:tc>
          <w:tcPr>
            <w:tcW w:type="dxa" w:w="2556"/>
            <w:vAlign w:val="top"/>
          </w:tcPr>
          <w:p>
            <w:r/>
            <w:r>
              <w:rPr>
                <w:rFonts w:ascii="Aptos" w:hAnsi="Aptos"/>
                <w:b w:val="0"/>
                <w:sz w:val="14"/>
              </w:rPr>
              <w:t>Artefact / evidence storage</w:t>
            </w:r>
          </w:p>
        </w:tc>
        <w:tc>
          <w:tcPr>
            <w:tcW w:type="dxa" w:w="2556"/>
            <w:vAlign w:val="top"/>
          </w:tcPr>
          <w:p>
            <w:r/>
            <w:r>
              <w:rPr>
                <w:rFonts w:ascii="Aptos" w:hAnsi="Aptos"/>
                <w:b w:val="0"/>
                <w:sz w:val="14"/>
              </w:rPr>
              <w:t>Approved AWS platform service subject to project platform/security governance</w:t>
            </w:r>
          </w:p>
        </w:tc>
        <w:tc>
          <w:tcPr>
            <w:tcW w:type="dxa" w:w="2556"/>
            <w:vAlign w:val="top"/>
          </w:tcPr>
          <w:p>
            <w:r/>
            <w:r>
              <w:rPr>
                <w:rFonts w:ascii="Aptos" w:hAnsi="Aptos"/>
                <w:b w:val="0"/>
                <w:sz w:val="14"/>
              </w:rPr>
              <w:t>[TBC - approved tooling reference if required]</w:t>
            </w:r>
          </w:p>
        </w:tc>
      </w:tr>
      <w:tr>
        <w:tc>
          <w:tcPr>
            <w:tcW w:type="dxa" w:w="2556"/>
            <w:vAlign w:val="top"/>
          </w:tcPr>
          <w:p>
            <w:r/>
            <w:r>
              <w:rPr>
                <w:rFonts w:ascii="Aptos" w:hAnsi="Aptos"/>
                <w:b w:val="0"/>
                <w:sz w:val="14"/>
              </w:rPr>
              <w:t>Provena</w:t>
            </w:r>
          </w:p>
        </w:tc>
        <w:tc>
          <w:tcPr>
            <w:tcW w:type="dxa" w:w="2556"/>
            <w:vAlign w:val="top"/>
          </w:tcPr>
          <w:p>
            <w:r/>
            <w:r>
              <w:rPr>
                <w:rFonts w:ascii="Aptos" w:hAnsi="Aptos"/>
                <w:b w:val="0"/>
                <w:sz w:val="14"/>
              </w:rPr>
              <w:t>Evaluation framework / platform</w:t>
            </w:r>
          </w:p>
        </w:tc>
        <w:tc>
          <w:tcPr>
            <w:tcW w:type="dxa" w:w="2556"/>
            <w:vAlign w:val="top"/>
          </w:tcPr>
          <w:p>
            <w:r/>
            <w:r>
              <w:rPr>
                <w:rFonts w:ascii="Aptos" w:hAnsi="Aptos"/>
                <w:b w:val="0"/>
                <w:sz w:val="14"/>
              </w:rPr>
              <w:t>Programme evaluation capability; governance/approval status to be confirmed as it moves through discovery/build</w:t>
            </w:r>
          </w:p>
        </w:tc>
        <w:tc>
          <w:tcPr>
            <w:tcW w:type="dxa" w:w="2556"/>
            <w:vAlign w:val="top"/>
          </w:tcPr>
          <w:p>
            <w:r/>
            <w:r>
              <w:rPr>
                <w:rFonts w:ascii="Aptos" w:hAnsi="Aptos"/>
                <w:b w:val="0"/>
                <w:sz w:val="14"/>
              </w:rPr>
              <w:t>[TBC]</w:t>
            </w:r>
          </w:p>
        </w:tc>
      </w:tr>
      <w:tr>
        <w:tc>
          <w:tcPr>
            <w:tcW w:type="dxa" w:w="2556"/>
            <w:vAlign w:val="top"/>
          </w:tcPr>
          <w:p>
            <w:r/>
            <w:r>
              <w:rPr>
                <w:rFonts w:ascii="Aptos" w:hAnsi="Aptos"/>
                <w:b w:val="0"/>
                <w:sz w:val="14"/>
              </w:rPr>
              <w:t>Bayesian inference libraries / implementation</w:t>
            </w:r>
          </w:p>
        </w:tc>
        <w:tc>
          <w:tcPr>
            <w:tcW w:type="dxa" w:w="2556"/>
            <w:vAlign w:val="top"/>
          </w:tcPr>
          <w:p>
            <w:r/>
            <w:r>
              <w:rPr>
                <w:rFonts w:ascii="Aptos" w:hAnsi="Aptos"/>
                <w:b w:val="0"/>
                <w:sz w:val="14"/>
              </w:rPr>
              <w:t>Probabilistic model execution</w:t>
            </w:r>
          </w:p>
        </w:tc>
        <w:tc>
          <w:tcPr>
            <w:tcW w:type="dxa" w:w="2556"/>
            <w:vAlign w:val="top"/>
          </w:tcPr>
          <w:p>
            <w:r/>
            <w:r>
              <w:rPr>
                <w:rFonts w:ascii="Aptos" w:hAnsi="Aptos"/>
                <w:b w:val="0"/>
                <w:sz w:val="14"/>
              </w:rPr>
              <w:t>Version-controlled project dependency; exact library/version to be recorded at release</w:t>
            </w:r>
          </w:p>
        </w:tc>
        <w:tc>
          <w:tcPr>
            <w:tcW w:type="dxa" w:w="2556"/>
            <w:vAlign w:val="top"/>
          </w:tcPr>
          <w:p>
            <w:r/>
            <w:r>
              <w:rPr>
                <w:rFonts w:ascii="Aptos" w:hAnsi="Aptos"/>
                <w:b w:val="0"/>
                <w:sz w:val="14"/>
              </w:rPr>
              <w:t>[TBC - dependency and approval reference]</w:t>
            </w:r>
          </w:p>
        </w:tc>
      </w:tr>
      <w:tr>
        <w:tc>
          <w:tcPr>
            <w:tcW w:type="dxa" w:w="2556"/>
            <w:vAlign w:val="top"/>
          </w:tcPr>
          <w:p>
            <w:r/>
            <w:r>
              <w:rPr>
                <w:rFonts w:ascii="Aptos" w:hAnsi="Aptos"/>
                <w:b w:val="0"/>
                <w:sz w:val="14"/>
              </w:rPr>
              <w:t>FHIR tooling / interoperability libraries</w:t>
            </w:r>
          </w:p>
        </w:tc>
        <w:tc>
          <w:tcPr>
            <w:tcW w:type="dxa" w:w="2556"/>
            <w:vAlign w:val="top"/>
          </w:tcPr>
          <w:p>
            <w:r/>
            <w:r>
              <w:rPr>
                <w:rFonts w:ascii="Aptos" w:hAnsi="Aptos"/>
                <w:b w:val="0"/>
                <w:sz w:val="14"/>
              </w:rPr>
              <w:t>API / interoperability</w:t>
            </w:r>
          </w:p>
        </w:tc>
        <w:tc>
          <w:tcPr>
            <w:tcW w:type="dxa" w:w="2556"/>
            <w:vAlign w:val="top"/>
          </w:tcPr>
          <w:p>
            <w:r/>
            <w:r>
              <w:rPr>
                <w:rFonts w:ascii="Aptos" w:hAnsi="Aptos"/>
                <w:b w:val="0"/>
                <w:sz w:val="14"/>
              </w:rPr>
              <w:t>Provided/assured with support from NHS interoperability experts; exact tooling/version to be recorded</w:t>
            </w:r>
          </w:p>
        </w:tc>
        <w:tc>
          <w:tcPr>
            <w:tcW w:type="dxa" w:w="2556"/>
            <w:vAlign w:val="top"/>
          </w:tcPr>
          <w:p>
            <w:r/>
            <w:r>
              <w:rPr>
                <w:rFonts w:ascii="Aptos" w:hAnsi="Aptos"/>
                <w:b w:val="0"/>
                <w:sz w:val="14"/>
              </w:rPr>
              <w:t>[TBC]</w:t>
            </w:r>
          </w:p>
        </w:tc>
      </w:tr>
    </w:tbl>
    <w:p/>
    <w:p>
      <w:pPr>
        <w:pStyle w:val="Heading1"/>
      </w:pPr>
      <w:r>
        <w:t>5. Model and Component Selection Rationale (C4)</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top"/>
            <w:shd w:fill="D9EAD3"/>
          </w:tcPr>
          <w:p>
            <w:r/>
            <w:r>
              <w:rPr>
                <w:rFonts w:ascii="Aptos" w:hAnsi="Aptos"/>
                <w:b/>
                <w:sz w:val="13"/>
              </w:rPr>
              <w:t>Decision</w:t>
            </w:r>
          </w:p>
        </w:tc>
        <w:tc>
          <w:tcPr>
            <w:tcW w:type="dxa" w:w="2045"/>
            <w:vAlign w:val="top"/>
            <w:shd w:fill="D9EAD3"/>
          </w:tcPr>
          <w:p>
            <w:r/>
            <w:r>
              <w:rPr>
                <w:rFonts w:ascii="Aptos" w:hAnsi="Aptos"/>
                <w:b/>
                <w:sz w:val="13"/>
              </w:rPr>
              <w:t>Selection owner</w:t>
            </w:r>
          </w:p>
        </w:tc>
        <w:tc>
          <w:tcPr>
            <w:tcW w:type="dxa" w:w="2045"/>
            <w:vAlign w:val="top"/>
            <w:shd w:fill="D9EAD3"/>
          </w:tcPr>
          <w:p>
            <w:r/>
            <w:r>
              <w:rPr>
                <w:rFonts w:ascii="Aptos" w:hAnsi="Aptos"/>
                <w:b/>
                <w:sz w:val="13"/>
              </w:rPr>
              <w:t>Options considered</w:t>
            </w:r>
          </w:p>
        </w:tc>
        <w:tc>
          <w:tcPr>
            <w:tcW w:type="dxa" w:w="2045"/>
            <w:vAlign w:val="top"/>
            <w:shd w:fill="D9EAD3"/>
          </w:tcPr>
          <w:p>
            <w:r/>
            <w:r>
              <w:rPr>
                <w:rFonts w:ascii="Aptos" w:hAnsi="Aptos"/>
                <w:b/>
                <w:sz w:val="13"/>
              </w:rPr>
              <w:t>Selected option</w:t>
            </w:r>
          </w:p>
        </w:tc>
        <w:tc>
          <w:tcPr>
            <w:tcW w:type="dxa" w:w="2045"/>
            <w:vAlign w:val="top"/>
            <w:shd w:fill="D9EAD3"/>
          </w:tcPr>
          <w:p>
            <w:r/>
            <w:r>
              <w:rPr>
                <w:rFonts w:ascii="Aptos" w:hAnsi="Aptos"/>
                <w:b/>
                <w:sz w:val="13"/>
              </w:rPr>
              <w:t>Rationale (incl. trade-offs)</w:t>
            </w:r>
          </w:p>
        </w:tc>
      </w:tr>
      <w:tr>
        <w:tc>
          <w:tcPr>
            <w:tcW w:type="dxa" w:w="2045"/>
            <w:vAlign w:val="top"/>
          </w:tcPr>
          <w:p>
            <w:r/>
            <w:r>
              <w:rPr>
                <w:rFonts w:ascii="Aptos" w:hAnsi="Aptos"/>
                <w:b w:val="0"/>
                <w:sz w:val="13"/>
              </w:rPr>
              <w:t>Clinical reasoning model</w:t>
            </w:r>
          </w:p>
        </w:tc>
        <w:tc>
          <w:tcPr>
            <w:tcW w:type="dxa" w:w="2045"/>
            <w:vAlign w:val="top"/>
          </w:tcPr>
          <w:p>
            <w:r/>
            <w:r>
              <w:rPr>
                <w:rFonts w:ascii="Aptos" w:hAnsi="Aptos"/>
                <w:b w:val="0"/>
                <w:sz w:val="13"/>
              </w:rPr>
              <w:t>Joint</w:t>
            </w:r>
          </w:p>
        </w:tc>
        <w:tc>
          <w:tcPr>
            <w:tcW w:type="dxa" w:w="2045"/>
            <w:vAlign w:val="top"/>
          </w:tcPr>
          <w:p>
            <w:r/>
            <w:r>
              <w:rPr>
                <w:rFonts w:ascii="Aptos" w:hAnsi="Aptos"/>
                <w:b w:val="0"/>
                <w:sz w:val="13"/>
              </w:rPr>
              <w:t>Deterministic-only pathways; Bayesian Network; opaque ML classifier; runtime LLM</w:t>
            </w:r>
          </w:p>
        </w:tc>
        <w:tc>
          <w:tcPr>
            <w:tcW w:type="dxa" w:w="2045"/>
            <w:vAlign w:val="top"/>
          </w:tcPr>
          <w:p>
            <w:r/>
            <w:r>
              <w:rPr>
                <w:rFonts w:ascii="Aptos" w:hAnsi="Aptos"/>
                <w:b w:val="0"/>
                <w:sz w:val="13"/>
              </w:rPr>
              <w:t>Bayesian Network</w:t>
            </w:r>
          </w:p>
        </w:tc>
        <w:tc>
          <w:tcPr>
            <w:tcW w:type="dxa" w:w="2045"/>
            <w:vAlign w:val="top"/>
          </w:tcPr>
          <w:p>
            <w:r/>
            <w:r>
              <w:rPr>
                <w:rFonts w:ascii="Aptos" w:hAnsi="Aptos"/>
                <w:b w:val="0"/>
                <w:sz w:val="13"/>
              </w:rPr>
              <w:t>Supports explicit reasoning under uncertainty, incremental evidence updates, inspectable structure/CPTs and reproducible outcomes. More explainable and clinically governable than an opaque runtime model while offering greater adaptivity than fixed deterministic flows.</w:t>
            </w:r>
          </w:p>
        </w:tc>
      </w:tr>
      <w:tr>
        <w:tc>
          <w:tcPr>
            <w:tcW w:type="dxa" w:w="2045"/>
            <w:vAlign w:val="top"/>
          </w:tcPr>
          <w:p>
            <w:r/>
            <w:r>
              <w:rPr>
                <w:rFonts w:ascii="Aptos" w:hAnsi="Aptos"/>
                <w:b w:val="0"/>
                <w:sz w:val="13"/>
              </w:rPr>
              <w:t>Runtime generative AI</w:t>
            </w:r>
          </w:p>
        </w:tc>
        <w:tc>
          <w:tcPr>
            <w:tcW w:type="dxa" w:w="2045"/>
            <w:vAlign w:val="top"/>
          </w:tcPr>
          <w:p>
            <w:r/>
            <w:r>
              <w:rPr>
                <w:rFonts w:ascii="Aptos" w:hAnsi="Aptos"/>
                <w:b w:val="0"/>
                <w:sz w:val="13"/>
              </w:rPr>
              <w:t>Joint</w:t>
            </w:r>
          </w:p>
        </w:tc>
        <w:tc>
          <w:tcPr>
            <w:tcW w:type="dxa" w:w="2045"/>
            <w:vAlign w:val="top"/>
          </w:tcPr>
          <w:p>
            <w:r/>
            <w:r>
              <w:rPr>
                <w:rFonts w:ascii="Aptos" w:hAnsi="Aptos"/>
                <w:b w:val="0"/>
                <w:sz w:val="13"/>
              </w:rPr>
              <w:t>General-purpose LLM runtime reasoning; constrained LLM; no LLM at runtime</w:t>
            </w:r>
          </w:p>
        </w:tc>
        <w:tc>
          <w:tcPr>
            <w:tcW w:type="dxa" w:w="2045"/>
            <w:vAlign w:val="top"/>
          </w:tcPr>
          <w:p>
            <w:r/>
            <w:r>
              <w:rPr>
                <w:rFonts w:ascii="Aptos" w:hAnsi="Aptos"/>
                <w:b w:val="0"/>
                <w:sz w:val="13"/>
              </w:rPr>
              <w:t>No general-purpose LLM used for runtime triage decision-making</w:t>
            </w:r>
          </w:p>
        </w:tc>
        <w:tc>
          <w:tcPr>
            <w:tcW w:type="dxa" w:w="2045"/>
            <w:vAlign w:val="top"/>
          </w:tcPr>
          <w:p>
            <w:r/>
            <w:r>
              <w:rPr>
                <w:rFonts w:ascii="Aptos" w:hAnsi="Aptos"/>
                <w:b w:val="0"/>
                <w:sz w:val="13"/>
              </w:rPr>
              <w:t>Excludes a source of non-deterministic/unbounded runtime behaviour and preserves reproducibility, clinical approval and traceability. LLMs are restricted to controlled build-time assistance with human review.</w:t>
            </w:r>
          </w:p>
        </w:tc>
      </w:tr>
      <w:tr>
        <w:tc>
          <w:tcPr>
            <w:tcW w:type="dxa" w:w="2045"/>
            <w:vAlign w:val="top"/>
          </w:tcPr>
          <w:p>
            <w:r/>
            <w:r>
              <w:rPr>
                <w:rFonts w:ascii="Aptos" w:hAnsi="Aptos"/>
                <w:b w:val="0"/>
                <w:sz w:val="13"/>
              </w:rPr>
              <w:t>BN topology</w:t>
            </w:r>
          </w:p>
        </w:tc>
        <w:tc>
          <w:tcPr>
            <w:tcW w:type="dxa" w:w="2045"/>
            <w:vAlign w:val="top"/>
          </w:tcPr>
          <w:p>
            <w:r/>
            <w:r>
              <w:rPr>
                <w:rFonts w:ascii="Aptos" w:hAnsi="Aptos"/>
                <w:b w:val="0"/>
                <w:sz w:val="13"/>
              </w:rPr>
              <w:t>Joint</w:t>
            </w:r>
          </w:p>
        </w:tc>
        <w:tc>
          <w:tcPr>
            <w:tcW w:type="dxa" w:w="2045"/>
            <w:vAlign w:val="top"/>
          </w:tcPr>
          <w:p>
            <w:r/>
            <w:r>
              <w:rPr>
                <w:rFonts w:ascii="Aptos" w:hAnsi="Aptos"/>
                <w:b w:val="0"/>
                <w:sz w:val="13"/>
              </w:rPr>
              <w:t>Single monolithic BN; multiple isolated specialist BNs; hierarchical/federated BN</w:t>
            </w:r>
          </w:p>
        </w:tc>
        <w:tc>
          <w:tcPr>
            <w:tcW w:type="dxa" w:w="2045"/>
            <w:vAlign w:val="top"/>
          </w:tcPr>
          <w:p>
            <w:r/>
            <w:r>
              <w:rPr>
                <w:rFonts w:ascii="Aptos" w:hAnsi="Aptos"/>
                <w:b w:val="0"/>
                <w:sz w:val="13"/>
              </w:rPr>
              <w:t>Hierarchical/federated BN direction</w:t>
            </w:r>
          </w:p>
        </w:tc>
        <w:tc>
          <w:tcPr>
            <w:tcW w:type="dxa" w:w="2045"/>
            <w:vAlign w:val="top"/>
          </w:tcPr>
          <w:p>
            <w:r/>
            <w:r>
              <w:rPr>
                <w:rFonts w:ascii="Aptos" w:hAnsi="Aptos"/>
                <w:b w:val="0"/>
                <w:sz w:val="13"/>
              </w:rPr>
              <w:t>Provides manageable clinically coherent models while allowing reasoning across specialised clinical families through controlled orchestration/aggregation. Final detailed topology remains subject to design/ADR approval.</w:t>
            </w:r>
          </w:p>
        </w:tc>
      </w:tr>
      <w:tr>
        <w:tc>
          <w:tcPr>
            <w:tcW w:type="dxa" w:w="2045"/>
            <w:vAlign w:val="top"/>
          </w:tcPr>
          <w:p>
            <w:r/>
            <w:r>
              <w:rPr>
                <w:rFonts w:ascii="Aptos" w:hAnsi="Aptos"/>
                <w:b w:val="0"/>
                <w:sz w:val="13"/>
              </w:rPr>
              <w:t>Inference ownership</w:t>
            </w:r>
          </w:p>
        </w:tc>
        <w:tc>
          <w:tcPr>
            <w:tcW w:type="dxa" w:w="2045"/>
            <w:vAlign w:val="top"/>
          </w:tcPr>
          <w:p>
            <w:r/>
            <w:r>
              <w:rPr>
                <w:rFonts w:ascii="Aptos" w:hAnsi="Aptos"/>
                <w:b w:val="0"/>
                <w:sz w:val="13"/>
              </w:rPr>
              <w:t>Joint</w:t>
            </w:r>
          </w:p>
        </w:tc>
        <w:tc>
          <w:tcPr>
            <w:tcW w:type="dxa" w:w="2045"/>
            <w:vAlign w:val="top"/>
          </w:tcPr>
          <w:p>
            <w:r/>
            <w:r>
              <w:rPr>
                <w:rFonts w:ascii="Aptos" w:hAnsi="Aptos"/>
                <w:b w:val="0"/>
                <w:sz w:val="13"/>
              </w:rPr>
              <w:t>Centralised service; decision-making distributed to integrating services</w:t>
            </w:r>
          </w:p>
        </w:tc>
        <w:tc>
          <w:tcPr>
            <w:tcW w:type="dxa" w:w="2045"/>
            <w:vAlign w:val="top"/>
          </w:tcPr>
          <w:p>
            <w:r/>
            <w:r>
              <w:rPr>
                <w:rFonts w:ascii="Aptos" w:hAnsi="Aptos"/>
                <w:b w:val="0"/>
                <w:sz w:val="13"/>
              </w:rPr>
              <w:t>Centralised Adaptive Triage inference service</w:t>
            </w:r>
          </w:p>
        </w:tc>
        <w:tc>
          <w:tcPr>
            <w:tcW w:type="dxa" w:w="2045"/>
            <w:vAlign w:val="top"/>
          </w:tcPr>
          <w:p>
            <w:r/>
            <w:r>
              <w:rPr>
                <w:rFonts w:ascii="Aptos" w:hAnsi="Aptos"/>
                <w:b w:val="0"/>
                <w:sz w:val="13"/>
              </w:rPr>
              <w:t>Provides one governed source of probabilistic decision logic, safety rules, model versions, logging and clinical assurance, reducing divergence between channels.</w:t>
            </w:r>
          </w:p>
        </w:tc>
      </w:tr>
      <w:tr>
        <w:tc>
          <w:tcPr>
            <w:tcW w:type="dxa" w:w="2045"/>
            <w:vAlign w:val="top"/>
          </w:tcPr>
          <w:p>
            <w:r/>
            <w:r>
              <w:rPr>
                <w:rFonts w:ascii="Aptos" w:hAnsi="Aptos"/>
                <w:b w:val="0"/>
                <w:sz w:val="13"/>
              </w:rPr>
              <w:t>Hosting model</w:t>
            </w:r>
          </w:p>
        </w:tc>
        <w:tc>
          <w:tcPr>
            <w:tcW w:type="dxa" w:w="2045"/>
            <w:vAlign w:val="top"/>
          </w:tcPr>
          <w:p>
            <w:r/>
            <w:r>
              <w:rPr>
                <w:rFonts w:ascii="Aptos" w:hAnsi="Aptos"/>
                <w:b w:val="0"/>
                <w:sz w:val="13"/>
              </w:rPr>
              <w:t>Customer / Joint</w:t>
            </w:r>
          </w:p>
        </w:tc>
        <w:tc>
          <w:tcPr>
            <w:tcW w:type="dxa" w:w="2045"/>
            <w:vAlign w:val="top"/>
          </w:tcPr>
          <w:p>
            <w:r/>
            <w:r>
              <w:rPr>
                <w:rFonts w:ascii="Aptos" w:hAnsi="Aptos"/>
                <w:b w:val="0"/>
                <w:sz w:val="13"/>
              </w:rPr>
              <w:t>On-premises; alternative cloud; AWS</w:t>
            </w:r>
          </w:p>
        </w:tc>
        <w:tc>
          <w:tcPr>
            <w:tcW w:type="dxa" w:w="2045"/>
            <w:vAlign w:val="top"/>
          </w:tcPr>
          <w:p>
            <w:r/>
            <w:r>
              <w:rPr>
                <w:rFonts w:ascii="Aptos" w:hAnsi="Aptos"/>
                <w:b w:val="0"/>
                <w:sz w:val="13"/>
              </w:rPr>
              <w:t>NHS England approved AWS environment</w:t>
            </w:r>
          </w:p>
        </w:tc>
        <w:tc>
          <w:tcPr>
            <w:tcW w:type="dxa" w:w="2045"/>
            <w:vAlign w:val="top"/>
          </w:tcPr>
          <w:p>
            <w:r/>
            <w:r>
              <w:rPr>
                <w:rFonts w:ascii="Aptos" w:hAnsi="Aptos"/>
                <w:b w:val="0"/>
                <w:sz w:val="13"/>
              </w:rPr>
              <w:t>Aligns with the programme hosting environment and enables use of approved AWS security, data, model-development and observability services.</w:t>
            </w:r>
          </w:p>
        </w:tc>
      </w:tr>
      <w:tr>
        <w:tc>
          <w:tcPr>
            <w:tcW w:type="dxa" w:w="2045"/>
            <w:vAlign w:val="top"/>
          </w:tcPr>
          <w:p>
            <w:r/>
            <w:r>
              <w:rPr>
                <w:rFonts w:ascii="Aptos" w:hAnsi="Aptos"/>
                <w:b w:val="0"/>
                <w:sz w:val="13"/>
              </w:rPr>
              <w:t>Build-time LLM access</w:t>
            </w:r>
          </w:p>
        </w:tc>
        <w:tc>
          <w:tcPr>
            <w:tcW w:type="dxa" w:w="2045"/>
            <w:vAlign w:val="top"/>
          </w:tcPr>
          <w:p>
            <w:r/>
            <w:r>
              <w:rPr>
                <w:rFonts w:ascii="Aptos" w:hAnsi="Aptos"/>
                <w:b w:val="0"/>
                <w:sz w:val="13"/>
              </w:rPr>
              <w:t>Joint</w:t>
            </w:r>
          </w:p>
        </w:tc>
        <w:tc>
          <w:tcPr>
            <w:tcW w:type="dxa" w:w="2045"/>
            <w:vAlign w:val="top"/>
          </w:tcPr>
          <w:p>
            <w:r/>
            <w:r>
              <w:rPr>
                <w:rFonts w:ascii="Aptos" w:hAnsi="Aptos"/>
                <w:b w:val="0"/>
                <w:sz w:val="13"/>
              </w:rPr>
              <w:t>Direct external model APIs; self-hosted models; AWS Bedrock</w:t>
            </w:r>
          </w:p>
        </w:tc>
        <w:tc>
          <w:tcPr>
            <w:tcW w:type="dxa" w:w="2045"/>
            <w:vAlign w:val="top"/>
          </w:tcPr>
          <w:p>
            <w:r/>
            <w:r>
              <w:rPr>
                <w:rFonts w:ascii="Aptos" w:hAnsi="Aptos"/>
                <w:b w:val="0"/>
                <w:sz w:val="13"/>
              </w:rPr>
              <w:t>AWS Bedrock</w:t>
            </w:r>
          </w:p>
        </w:tc>
        <w:tc>
          <w:tcPr>
            <w:tcW w:type="dxa" w:w="2045"/>
            <w:vAlign w:val="top"/>
          </w:tcPr>
          <w:p>
            <w:r/>
            <w:r>
              <w:rPr>
                <w:rFonts w:ascii="Aptos" w:hAnsi="Aptos"/>
                <w:b w:val="0"/>
                <w:sz w:val="13"/>
              </w:rPr>
              <w:t>Provides a controlled enterprise gateway to approved models and keeps build-time AI use inside the agreed AWS governance/security boundary. All outputs remain subject to human/clinical review.</w:t>
            </w:r>
          </w:p>
        </w:tc>
      </w:tr>
      <w:tr>
        <w:tc>
          <w:tcPr>
            <w:tcW w:type="dxa" w:w="2045"/>
            <w:vAlign w:val="top"/>
          </w:tcPr>
          <w:p>
            <w:r/>
            <w:r>
              <w:rPr>
                <w:rFonts w:ascii="Aptos" w:hAnsi="Aptos"/>
                <w:b w:val="0"/>
                <w:sz w:val="13"/>
              </w:rPr>
              <w:t>Graph/model storage</w:t>
            </w:r>
          </w:p>
        </w:tc>
        <w:tc>
          <w:tcPr>
            <w:tcW w:type="dxa" w:w="2045"/>
            <w:vAlign w:val="top"/>
          </w:tcPr>
          <w:p>
            <w:r/>
            <w:r>
              <w:rPr>
                <w:rFonts w:ascii="Aptos" w:hAnsi="Aptos"/>
                <w:b w:val="0"/>
                <w:sz w:val="13"/>
              </w:rPr>
              <w:t>Joint</w:t>
            </w:r>
          </w:p>
        </w:tc>
        <w:tc>
          <w:tcPr>
            <w:tcW w:type="dxa" w:w="2045"/>
            <w:vAlign w:val="top"/>
          </w:tcPr>
          <w:p>
            <w:r/>
            <w:r>
              <w:rPr>
                <w:rFonts w:ascii="Aptos" w:hAnsi="Aptos"/>
                <w:b w:val="0"/>
                <w:sz w:val="13"/>
              </w:rPr>
              <w:t>Relational/document store; Neo4j; Amazon Neptune</w:t>
            </w:r>
          </w:p>
        </w:tc>
        <w:tc>
          <w:tcPr>
            <w:tcW w:type="dxa" w:w="2045"/>
            <w:vAlign w:val="top"/>
          </w:tcPr>
          <w:p>
            <w:r/>
            <w:r>
              <w:rPr>
                <w:rFonts w:ascii="Aptos" w:hAnsi="Aptos"/>
                <w:b w:val="0"/>
                <w:sz w:val="13"/>
              </w:rPr>
              <w:t>Amazon Neptune / controlled model artefact storage</w:t>
            </w:r>
          </w:p>
        </w:tc>
        <w:tc>
          <w:tcPr>
            <w:tcW w:type="dxa" w:w="2045"/>
            <w:vAlign w:val="top"/>
          </w:tcPr>
          <w:p>
            <w:r/>
            <w:r>
              <w:rPr>
                <w:rFonts w:ascii="Aptos" w:hAnsi="Aptos"/>
                <w:b w:val="0"/>
                <w:sz w:val="13"/>
              </w:rPr>
              <w:t>Supports graph-oriented representation and traversal in the approved AWS environment. Final use is governed by the implementation architecture and immutable released artefacts remain the authoritative runtime input.</w:t>
            </w:r>
          </w:p>
        </w:tc>
      </w:tr>
      <w:tr>
        <w:tc>
          <w:tcPr>
            <w:tcW w:type="dxa" w:w="2045"/>
            <w:vAlign w:val="top"/>
          </w:tcPr>
          <w:p>
            <w:r/>
            <w:r>
              <w:rPr>
                <w:rFonts w:ascii="Aptos" w:hAnsi="Aptos"/>
                <w:b w:val="0"/>
                <w:sz w:val="13"/>
              </w:rPr>
              <w:t>Clinical governance interface</w:t>
            </w:r>
          </w:p>
        </w:tc>
        <w:tc>
          <w:tcPr>
            <w:tcW w:type="dxa" w:w="2045"/>
            <w:vAlign w:val="top"/>
          </w:tcPr>
          <w:p>
            <w:r/>
            <w:r>
              <w:rPr>
                <w:rFonts w:ascii="Aptos" w:hAnsi="Aptos"/>
                <w:b w:val="0"/>
                <w:sz w:val="13"/>
              </w:rPr>
              <w:t>Kainos / Joint</w:t>
            </w:r>
          </w:p>
        </w:tc>
        <w:tc>
          <w:tcPr>
            <w:tcW w:type="dxa" w:w="2045"/>
            <w:vAlign w:val="top"/>
          </w:tcPr>
          <w:p>
            <w:r/>
            <w:r>
              <w:rPr>
                <w:rFonts w:ascii="Aptos" w:hAnsi="Aptos"/>
                <w:b w:val="0"/>
                <w:sz w:val="13"/>
              </w:rPr>
              <w:t>Configuration via code only; separate tools/spreadsheets; dedicated governance UI</w:t>
            </w:r>
          </w:p>
        </w:tc>
        <w:tc>
          <w:tcPr>
            <w:tcW w:type="dxa" w:w="2045"/>
            <w:vAlign w:val="top"/>
          </w:tcPr>
          <w:p>
            <w:r/>
            <w:r>
              <w:rPr>
                <w:rFonts w:ascii="Aptos" w:hAnsi="Aptos"/>
                <w:b w:val="0"/>
                <w:sz w:val="13"/>
              </w:rPr>
              <w:t>Dedicated Clinical Admin / Model Governance capability</w:t>
            </w:r>
          </w:p>
        </w:tc>
        <w:tc>
          <w:tcPr>
            <w:tcW w:type="dxa" w:w="2045"/>
            <w:vAlign w:val="top"/>
          </w:tcPr>
          <w:p>
            <w:r/>
            <w:r>
              <w:rPr>
                <w:rFonts w:ascii="Aptos" w:hAnsi="Aptos"/>
                <w:b w:val="0"/>
                <w:sz w:val="13"/>
              </w:rPr>
              <w:t>Provides controlled, auditable review of model structure, CPTs, safety settings, evidence and approvals, reducing reliance on disconnected manual artefacts.</w:t>
            </w:r>
          </w:p>
        </w:tc>
      </w:tr>
    </w:tbl>
    <w:p/>
    <w:p>
      <w:pPr>
        <w:pStyle w:val="Heading1"/>
      </w:pPr>
      <w:r>
        <w:t>6. Data Dependencies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top"/>
            <w:shd w:fill="D9EAD3"/>
          </w:tcPr>
          <w:p>
            <w:r/>
            <w:r>
              <w:rPr>
                <w:rFonts w:ascii="Aptos" w:hAnsi="Aptos"/>
                <w:b/>
                <w:sz w:val="14"/>
              </w:rPr>
              <w:t>Use</w:t>
            </w:r>
          </w:p>
        </w:tc>
        <w:tc>
          <w:tcPr>
            <w:tcW w:type="dxa" w:w="3408"/>
            <w:vAlign w:val="top"/>
            <w:shd w:fill="D9EAD3"/>
          </w:tcPr>
          <w:p>
            <w:r/>
            <w:r>
              <w:rPr>
                <w:rFonts w:ascii="Aptos" w:hAnsi="Aptos"/>
                <w:b/>
                <w:sz w:val="14"/>
              </w:rPr>
              <w:t>Data set / source</w:t>
            </w:r>
          </w:p>
        </w:tc>
        <w:tc>
          <w:tcPr>
            <w:tcW w:type="dxa" w:w="3408"/>
            <w:vAlign w:val="top"/>
            <w:shd w:fill="D9EAD3"/>
          </w:tcPr>
          <w:p>
            <w:r/>
            <w:r>
              <w:rPr>
                <w:rFonts w:ascii="Aptos" w:hAnsi="Aptos"/>
                <w:b/>
                <w:sz w:val="14"/>
              </w:rPr>
              <w:t>Reference in DMR</w:t>
            </w:r>
          </w:p>
        </w:tc>
      </w:tr>
      <w:tr>
        <w:tc>
          <w:tcPr>
            <w:tcW w:type="dxa" w:w="3408"/>
            <w:vAlign w:val="top"/>
          </w:tcPr>
          <w:p>
            <w:r/>
            <w:r>
              <w:rPr>
                <w:rFonts w:ascii="Aptos" w:hAnsi="Aptos"/>
                <w:b w:val="0"/>
                <w:sz w:val="14"/>
              </w:rPr>
              <w:t>Model build / clinical knowledge source</w:t>
            </w:r>
          </w:p>
        </w:tc>
        <w:tc>
          <w:tcPr>
            <w:tcW w:type="dxa" w:w="3408"/>
            <w:vAlign w:val="top"/>
          </w:tcPr>
          <w:p>
            <w:r/>
            <w:r>
              <w:rPr>
                <w:rFonts w:ascii="Aptos" w:hAnsi="Aptos"/>
                <w:b w:val="0"/>
                <w:sz w:val="14"/>
              </w:rPr>
              <w:t>Approved NHS Pathways/deterministic clinical content and associated structured source material</w:t>
            </w:r>
          </w:p>
        </w:tc>
        <w:tc>
          <w:tcPr>
            <w:tcW w:type="dxa" w:w="3408"/>
            <w:vAlign w:val="top"/>
          </w:tcPr>
          <w:p>
            <w:r/>
            <w:r>
              <w:rPr>
                <w:rFonts w:ascii="Aptos" w:hAnsi="Aptos"/>
                <w:b w:val="0"/>
                <w:sz w:val="14"/>
              </w:rPr>
              <w:t>Data Management Record - source/provenance section [TBC section number]</w:t>
            </w:r>
          </w:p>
        </w:tc>
      </w:tr>
      <w:tr>
        <w:tc>
          <w:tcPr>
            <w:tcW w:type="dxa" w:w="3408"/>
            <w:vAlign w:val="top"/>
          </w:tcPr>
          <w:p>
            <w:r/>
            <w:r>
              <w:rPr>
                <w:rFonts w:ascii="Aptos" w:hAnsi="Aptos"/>
                <w:b w:val="0"/>
                <w:sz w:val="14"/>
              </w:rPr>
              <w:t>Model build / analytics evidence</w:t>
            </w:r>
          </w:p>
        </w:tc>
        <w:tc>
          <w:tcPr>
            <w:tcW w:type="dxa" w:w="3408"/>
            <w:vAlign w:val="top"/>
          </w:tcPr>
          <w:p>
            <w:r/>
            <w:r>
              <w:rPr>
                <w:rFonts w:ascii="Aptos" w:hAnsi="Aptos"/>
                <w:b w:val="0"/>
                <w:sz w:val="14"/>
              </w:rPr>
              <w:t>Approved de-identified/appropriately governed triage and ECDS/TIM-derived data where used to inform model probabilities/evaluation</w:t>
            </w:r>
          </w:p>
        </w:tc>
        <w:tc>
          <w:tcPr>
            <w:tcW w:type="dxa" w:w="3408"/>
            <w:vAlign w:val="top"/>
          </w:tcPr>
          <w:p>
            <w:r/>
            <w:r>
              <w:rPr>
                <w:rFonts w:ascii="Aptos" w:hAnsi="Aptos"/>
                <w:b w:val="0"/>
                <w:sz w:val="14"/>
              </w:rPr>
              <w:t>Data Management Record - analytics/model-build sources [TBC]</w:t>
            </w:r>
          </w:p>
        </w:tc>
      </w:tr>
      <w:tr>
        <w:tc>
          <w:tcPr>
            <w:tcW w:type="dxa" w:w="3408"/>
            <w:vAlign w:val="top"/>
          </w:tcPr>
          <w:p>
            <w:r/>
            <w:r>
              <w:rPr>
                <w:rFonts w:ascii="Aptos" w:hAnsi="Aptos"/>
                <w:b w:val="0"/>
                <w:sz w:val="14"/>
              </w:rPr>
              <w:t>Terminology / ontology</w:t>
            </w:r>
          </w:p>
        </w:tc>
        <w:tc>
          <w:tcPr>
            <w:tcW w:type="dxa" w:w="3408"/>
            <w:vAlign w:val="top"/>
          </w:tcPr>
          <w:p>
            <w:r/>
            <w:r>
              <w:rPr>
                <w:rFonts w:ascii="Aptos" w:hAnsi="Aptos"/>
                <w:b w:val="0"/>
                <w:sz w:val="14"/>
              </w:rPr>
              <w:t>Approved NHS terminology sources including SNOMED CT mappings and relevant controlled value sets</w:t>
            </w:r>
          </w:p>
        </w:tc>
        <w:tc>
          <w:tcPr>
            <w:tcW w:type="dxa" w:w="3408"/>
            <w:vAlign w:val="top"/>
          </w:tcPr>
          <w:p>
            <w:r/>
            <w:r>
              <w:rPr>
                <w:rFonts w:ascii="Aptos" w:hAnsi="Aptos"/>
                <w:b w:val="0"/>
                <w:sz w:val="14"/>
              </w:rPr>
              <w:t>Data Management Record - reference/terminology data [TBC]</w:t>
            </w:r>
          </w:p>
        </w:tc>
      </w:tr>
      <w:tr>
        <w:tc>
          <w:tcPr>
            <w:tcW w:type="dxa" w:w="3408"/>
            <w:vAlign w:val="top"/>
          </w:tcPr>
          <w:p>
            <w:r/>
            <w:r>
              <w:rPr>
                <w:rFonts w:ascii="Aptos" w:hAnsi="Aptos"/>
                <w:b w:val="0"/>
                <w:sz w:val="14"/>
              </w:rPr>
              <w:t>Runtime input</w:t>
            </w:r>
          </w:p>
        </w:tc>
        <w:tc>
          <w:tcPr>
            <w:tcW w:type="dxa" w:w="3408"/>
            <w:vAlign w:val="top"/>
          </w:tcPr>
          <w:p>
            <w:r/>
            <w:r>
              <w:rPr>
                <w:rFonts w:ascii="Aptos" w:hAnsi="Aptos"/>
                <w:b w:val="0"/>
                <w:sz w:val="14"/>
              </w:rPr>
              <w:t>Structured assessment evidence supplied by approved consuming channels/services during a triage interaction</w:t>
            </w:r>
          </w:p>
        </w:tc>
        <w:tc>
          <w:tcPr>
            <w:tcW w:type="dxa" w:w="3408"/>
            <w:vAlign w:val="top"/>
          </w:tcPr>
          <w:p>
            <w:r/>
            <w:r>
              <w:rPr>
                <w:rFonts w:ascii="Aptos" w:hAnsi="Aptos"/>
                <w:b w:val="0"/>
                <w:sz w:val="14"/>
              </w:rPr>
              <w:t>Data Management Record - runtime data [TBC]</w:t>
            </w:r>
          </w:p>
        </w:tc>
      </w:tr>
      <w:tr>
        <w:tc>
          <w:tcPr>
            <w:tcW w:type="dxa" w:w="3408"/>
            <w:vAlign w:val="top"/>
          </w:tcPr>
          <w:p>
            <w:r/>
            <w:r>
              <w:rPr>
                <w:rFonts w:ascii="Aptos" w:hAnsi="Aptos"/>
                <w:b w:val="0"/>
                <w:sz w:val="14"/>
              </w:rPr>
              <w:t>Runtime output</w:t>
            </w:r>
          </w:p>
        </w:tc>
        <w:tc>
          <w:tcPr>
            <w:tcW w:type="dxa" w:w="3408"/>
            <w:vAlign w:val="top"/>
          </w:tcPr>
          <w:p>
            <w:r/>
            <w:r>
              <w:rPr>
                <w:rFonts w:ascii="Aptos" w:hAnsi="Aptos"/>
                <w:b w:val="0"/>
                <w:sz w:val="14"/>
              </w:rPr>
              <w:t>Structured triage interaction state/outcomes, explanations/audit references and associated model/version metadata</w:t>
            </w:r>
          </w:p>
        </w:tc>
        <w:tc>
          <w:tcPr>
            <w:tcW w:type="dxa" w:w="3408"/>
            <w:vAlign w:val="top"/>
          </w:tcPr>
          <w:p>
            <w:r/>
            <w:r>
              <w:rPr>
                <w:rFonts w:ascii="Aptos" w:hAnsi="Aptos"/>
                <w:b w:val="0"/>
                <w:sz w:val="14"/>
              </w:rPr>
              <w:t>Data Management Record - runtime outputs [TBC]</w:t>
            </w:r>
          </w:p>
        </w:tc>
      </w:tr>
      <w:tr>
        <w:tc>
          <w:tcPr>
            <w:tcW w:type="dxa" w:w="3408"/>
            <w:vAlign w:val="top"/>
          </w:tcPr>
          <w:p>
            <w:r/>
            <w:r>
              <w:rPr>
                <w:rFonts w:ascii="Aptos" w:hAnsi="Aptos"/>
                <w:b w:val="0"/>
                <w:sz w:val="14"/>
              </w:rPr>
              <w:t>Evaluation / test sets</w:t>
            </w:r>
          </w:p>
        </w:tc>
        <w:tc>
          <w:tcPr>
            <w:tcW w:type="dxa" w:w="3408"/>
            <w:vAlign w:val="top"/>
          </w:tcPr>
          <w:p>
            <w:r/>
            <w:r>
              <w:rPr>
                <w:rFonts w:ascii="Aptos" w:hAnsi="Aptos"/>
                <w:b w:val="0"/>
                <w:sz w:val="14"/>
              </w:rPr>
              <w:t>Synthetic/clinically authored vignettes, regression cases and appropriately governed evaluation datasets</w:t>
            </w:r>
          </w:p>
        </w:tc>
        <w:tc>
          <w:tcPr>
            <w:tcW w:type="dxa" w:w="3408"/>
            <w:vAlign w:val="top"/>
          </w:tcPr>
          <w:p>
            <w:r/>
            <w:r>
              <w:rPr>
                <w:rFonts w:ascii="Aptos" w:hAnsi="Aptos"/>
                <w:b w:val="0"/>
                <w:sz w:val="14"/>
              </w:rPr>
              <w:t>Data Management Record - evaluation data [TBC]</w:t>
            </w:r>
          </w:p>
        </w:tc>
      </w:tr>
      <w:tr>
        <w:tc>
          <w:tcPr>
            <w:tcW w:type="dxa" w:w="3408"/>
            <w:vAlign w:val="top"/>
          </w:tcPr>
          <w:p>
            <w:r/>
            <w:r>
              <w:rPr>
                <w:rFonts w:ascii="Aptos" w:hAnsi="Aptos"/>
                <w:b w:val="0"/>
                <w:sz w:val="14"/>
              </w:rPr>
              <w:t>Build-time LLM input</w:t>
            </w:r>
          </w:p>
        </w:tc>
        <w:tc>
          <w:tcPr>
            <w:tcW w:type="dxa" w:w="3408"/>
            <w:vAlign w:val="top"/>
          </w:tcPr>
          <w:p>
            <w:r/>
            <w:r>
              <w:rPr>
                <w:rFonts w:ascii="Aptos" w:hAnsi="Aptos"/>
                <w:b w:val="0"/>
                <w:sz w:val="14"/>
              </w:rPr>
              <w:t>Only approved, minimised source material/data permitted by programme IG/security controls. No PII is intended to be sent to Bedrock for the current build use cases.</w:t>
            </w:r>
          </w:p>
        </w:tc>
        <w:tc>
          <w:tcPr>
            <w:tcW w:type="dxa" w:w="3408"/>
            <w:vAlign w:val="top"/>
          </w:tcPr>
          <w:p>
            <w:r/>
            <w:r>
              <w:rPr>
                <w:rFonts w:ascii="Aptos" w:hAnsi="Aptos"/>
                <w:b w:val="0"/>
                <w:sz w:val="14"/>
              </w:rPr>
              <w:t>Data Management Record - AI tooling data flows [TBC]</w:t>
            </w:r>
          </w:p>
        </w:tc>
      </w:tr>
      <w:tr>
        <w:tc>
          <w:tcPr>
            <w:tcW w:type="dxa" w:w="3408"/>
            <w:vAlign w:val="top"/>
          </w:tcPr>
          <w:p>
            <w:r/>
            <w:r>
              <w:rPr>
                <w:rFonts w:ascii="Aptos" w:hAnsi="Aptos"/>
                <w:b w:val="0"/>
                <w:sz w:val="14"/>
              </w:rPr>
              <w:t>Logs / telemetry</w:t>
            </w:r>
          </w:p>
        </w:tc>
        <w:tc>
          <w:tcPr>
            <w:tcW w:type="dxa" w:w="3408"/>
            <w:vAlign w:val="top"/>
          </w:tcPr>
          <w:p>
            <w:r/>
            <w:r>
              <w:rPr>
                <w:rFonts w:ascii="Aptos" w:hAnsi="Aptos"/>
                <w:b w:val="0"/>
                <w:sz w:val="14"/>
              </w:rPr>
              <w:t>Operational, audit and model/version telemetry required for reconstruction, monitoring and incident response; sensitive fields minimised and governed by retention/access rules</w:t>
            </w:r>
          </w:p>
        </w:tc>
        <w:tc>
          <w:tcPr>
            <w:tcW w:type="dxa" w:w="3408"/>
            <w:vAlign w:val="top"/>
          </w:tcPr>
          <w:p>
            <w:r/>
            <w:r>
              <w:rPr>
                <w:rFonts w:ascii="Aptos" w:hAnsi="Aptos"/>
                <w:b w:val="0"/>
                <w:sz w:val="14"/>
              </w:rPr>
              <w:t>Data Management Record - logging/retention [TBC]</w:t>
            </w:r>
          </w:p>
        </w:tc>
      </w:tr>
    </w:tbl>
    <w:p/>
    <w:p>
      <w:pPr>
        <w:pStyle w:val="Heading1"/>
      </w:pPr>
      <w:r>
        <w:t>7. Logging and Telemetry (C7)</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D9EAD3"/>
          </w:tcPr>
          <w:p>
            <w:r/>
            <w:r>
              <w:rPr>
                <w:rFonts w:ascii="Aptos" w:hAnsi="Aptos"/>
                <w:b/>
                <w:sz w:val="15"/>
              </w:rPr>
              <w:t>Aspect</w:t>
            </w:r>
          </w:p>
        </w:tc>
        <w:tc>
          <w:tcPr>
            <w:tcW w:type="dxa" w:w="5112"/>
            <w:vAlign w:val="top"/>
            <w:shd w:fill="D9EAD3"/>
          </w:tcPr>
          <w:p>
            <w:r/>
            <w:r>
              <w:rPr>
                <w:rFonts w:ascii="Aptos" w:hAnsi="Aptos"/>
                <w:b/>
                <w:sz w:val="15"/>
              </w:rPr>
              <w:t>Copy/paste answer</w:t>
            </w:r>
          </w:p>
        </w:tc>
      </w:tr>
      <w:tr>
        <w:tc>
          <w:tcPr>
            <w:tcW w:type="dxa" w:w="5112"/>
            <w:vAlign w:val="top"/>
          </w:tcPr>
          <w:p>
            <w:r/>
            <w:r>
              <w:rPr>
                <w:rFonts w:ascii="Aptos" w:hAnsi="Aptos"/>
                <w:b w:val="0"/>
                <w:sz w:val="15"/>
              </w:rPr>
              <w:t>What is logged</w:t>
            </w:r>
          </w:p>
        </w:tc>
        <w:tc>
          <w:tcPr>
            <w:tcW w:type="dxa" w:w="5112"/>
            <w:vAlign w:val="top"/>
          </w:tcPr>
          <w:p>
            <w:r/>
            <w:r>
              <w:rPr>
                <w:rFonts w:ascii="Aptos" w:hAnsi="Aptos"/>
                <w:b w:val="0"/>
                <w:sz w:val="15"/>
              </w:rPr>
              <w:t>Interaction/session identifier; timestamp; consuming channel/service; API/model/configuration version; evidence supplied; questions selected/returned; material inference state or probability changes required for audit/explanation; safety thresholds/rules invoked; final structured outputs; validation/deployment identifiers where relevant; latency, warnings and errors. Build-time AI usage should additionally record the tool/model/version, source input reference, generated output reference and human/clinical approval outcome.</w:t>
            </w:r>
          </w:p>
        </w:tc>
      </w:tr>
      <w:tr>
        <w:tc>
          <w:tcPr>
            <w:tcW w:type="dxa" w:w="5112"/>
            <w:vAlign w:val="top"/>
          </w:tcPr>
          <w:p>
            <w:r/>
            <w:r>
              <w:rPr>
                <w:rFonts w:ascii="Aptos" w:hAnsi="Aptos"/>
                <w:b w:val="0"/>
                <w:sz w:val="15"/>
              </w:rPr>
              <w:t>Storage location</w:t>
            </w:r>
          </w:p>
        </w:tc>
        <w:tc>
          <w:tcPr>
            <w:tcW w:type="dxa" w:w="5112"/>
            <w:vAlign w:val="top"/>
          </w:tcPr>
          <w:p>
            <w:r/>
            <w:r>
              <w:rPr>
                <w:rFonts w:ascii="Aptos" w:hAnsi="Aptos"/>
                <w:b w:val="0"/>
                <w:sz w:val="15"/>
              </w:rPr>
              <w:t>Approved NHS England AWS logging/audit services in the configured UK region, principally Amazon CloudWatch and controlled audit/evidence stores. Exact log groups/buckets/accounts are defined in the physical architecture and operational runbook.</w:t>
            </w:r>
          </w:p>
        </w:tc>
      </w:tr>
      <w:tr>
        <w:tc>
          <w:tcPr>
            <w:tcW w:type="dxa" w:w="5112"/>
            <w:vAlign w:val="top"/>
          </w:tcPr>
          <w:p>
            <w:r/>
            <w:r>
              <w:rPr>
                <w:rFonts w:ascii="Aptos" w:hAnsi="Aptos"/>
                <w:b w:val="0"/>
                <w:sz w:val="15"/>
              </w:rPr>
              <w:t>Retention period</w:t>
            </w:r>
          </w:p>
        </w:tc>
        <w:tc>
          <w:tcPr>
            <w:tcW w:type="dxa" w:w="5112"/>
            <w:vAlign w:val="top"/>
          </w:tcPr>
          <w:p>
            <w:r/>
            <w:r>
              <w:rPr>
                <w:rFonts w:ascii="Aptos" w:hAnsi="Aptos"/>
                <w:b w:val="0"/>
                <w:sz w:val="15"/>
              </w:rPr>
              <w:t>[TBC - insert retention period approved in the Data Management Record. Retention must support clinical safety, audit, incident investigation, contractual and regulatory obligations while applying data minimisation.]</w:t>
            </w:r>
          </w:p>
        </w:tc>
      </w:tr>
      <w:tr>
        <w:tc>
          <w:tcPr>
            <w:tcW w:type="dxa" w:w="5112"/>
            <w:vAlign w:val="top"/>
          </w:tcPr>
          <w:p>
            <w:r/>
            <w:r>
              <w:rPr>
                <w:rFonts w:ascii="Aptos" w:hAnsi="Aptos"/>
                <w:b w:val="0"/>
                <w:sz w:val="15"/>
              </w:rPr>
              <w:t>Access controls</w:t>
            </w:r>
          </w:p>
        </w:tc>
        <w:tc>
          <w:tcPr>
            <w:tcW w:type="dxa" w:w="5112"/>
            <w:vAlign w:val="top"/>
          </w:tcPr>
          <w:p>
            <w:r/>
            <w:r>
              <w:rPr>
                <w:rFonts w:ascii="Aptos" w:hAnsi="Aptos"/>
                <w:b w:val="0"/>
                <w:sz w:val="15"/>
              </w:rPr>
              <w:t>Least-privilege IAM/RBAC. Operational access restricted to authorised support/platform/security users; clinical/model governance evidence restricted to authorised governance roles. Access to logs and artefacts is itself auditable. Administrative access uses approved NHS/Kainos identity controls.</w:t>
            </w:r>
          </w:p>
        </w:tc>
      </w:tr>
      <w:tr>
        <w:tc>
          <w:tcPr>
            <w:tcW w:type="dxa" w:w="5112"/>
            <w:vAlign w:val="top"/>
          </w:tcPr>
          <w:p>
            <w:r/>
            <w:r>
              <w:rPr>
                <w:rFonts w:ascii="Aptos" w:hAnsi="Aptos"/>
                <w:b w:val="0"/>
                <w:sz w:val="15"/>
              </w:rPr>
              <w:t>PII / sensitive handling</w:t>
            </w:r>
          </w:p>
        </w:tc>
        <w:tc>
          <w:tcPr>
            <w:tcW w:type="dxa" w:w="5112"/>
            <w:vAlign w:val="top"/>
          </w:tcPr>
          <w:p>
            <w:r/>
            <w:r>
              <w:rPr>
                <w:rFonts w:ascii="Aptos" w:hAnsi="Aptos"/>
                <w:b w:val="0"/>
                <w:sz w:val="15"/>
              </w:rPr>
              <w:t>Runtime data is handled according to the approved DPIA/Data Management Record. Sensitive data is minimised, encrypted in transit and at rest, and access-controlled. Current Bedrock build-time use cases are designed not to send PII to the model service. Any future change to data use requires risk/IG reassessment before release.</w:t>
            </w:r>
          </w:p>
        </w:tc>
      </w:tr>
      <w:tr>
        <w:tc>
          <w:tcPr>
            <w:tcW w:type="dxa" w:w="5112"/>
            <w:vAlign w:val="top"/>
          </w:tcPr>
          <w:p>
            <w:r/>
            <w:r>
              <w:rPr>
                <w:rFonts w:ascii="Aptos" w:hAnsi="Aptos"/>
                <w:b w:val="0"/>
                <w:sz w:val="15"/>
              </w:rPr>
              <w:t>Reconstruction capability</w:t>
            </w:r>
          </w:p>
        </w:tc>
        <w:tc>
          <w:tcPr>
            <w:tcW w:type="dxa" w:w="5112"/>
            <w:vAlign w:val="top"/>
          </w:tcPr>
          <w:p>
            <w:r/>
            <w:r>
              <w:rPr>
                <w:rFonts w:ascii="Aptos" w:hAnsi="Aptos"/>
                <w:b w:val="0"/>
                <w:sz w:val="15"/>
              </w:rPr>
              <w:t>For a reported interaction or incident, authorised reviewers should be able to identify the exact deployed model/configuration, reconstruct the sequence of evidence and questions, identify material probability/safety-rule transitions, reproduce the relevant inference where technically possible, and link the outcome to the release and validation evidence that authorised that model version.</w:t>
            </w:r>
          </w:p>
        </w:tc>
      </w:tr>
    </w:tbl>
    <w:p/>
    <w:p>
      <w:pPr>
        <w:pStyle w:val="Heading1"/>
      </w:pPr>
      <w:r>
        <w:t>8. User and Operator Information (C9)</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top"/>
            <w:shd w:fill="D9EAD3"/>
          </w:tcPr>
          <w:p>
            <w:r/>
            <w:r>
              <w:rPr>
                <w:rFonts w:ascii="Aptos" w:hAnsi="Aptos"/>
                <w:b/>
                <w:sz w:val="14"/>
              </w:rPr>
              <w:t>Information</w:t>
            </w:r>
          </w:p>
        </w:tc>
        <w:tc>
          <w:tcPr>
            <w:tcW w:type="dxa" w:w="3408"/>
            <w:vAlign w:val="top"/>
            <w:shd w:fill="D9EAD3"/>
          </w:tcPr>
          <w:p>
            <w:r/>
            <w:r>
              <w:rPr>
                <w:rFonts w:ascii="Aptos" w:hAnsi="Aptos"/>
                <w:b/>
                <w:sz w:val="14"/>
              </w:rPr>
              <w:t>Content</w:t>
            </w:r>
          </w:p>
        </w:tc>
        <w:tc>
          <w:tcPr>
            <w:tcW w:type="dxa" w:w="3408"/>
            <w:vAlign w:val="top"/>
            <w:shd w:fill="D9EAD3"/>
          </w:tcPr>
          <w:p>
            <w:r/>
            <w:r>
              <w:rPr>
                <w:rFonts w:ascii="Aptos" w:hAnsi="Aptos"/>
                <w:b/>
                <w:sz w:val="14"/>
              </w:rPr>
              <w:t>Where published</w:t>
            </w:r>
          </w:p>
        </w:tc>
      </w:tr>
      <w:tr>
        <w:tc>
          <w:tcPr>
            <w:tcW w:type="dxa" w:w="3408"/>
            <w:vAlign w:val="top"/>
          </w:tcPr>
          <w:p>
            <w:r/>
            <w:r>
              <w:rPr>
                <w:rFonts w:ascii="Aptos" w:hAnsi="Aptos"/>
                <w:b w:val="0"/>
                <w:sz w:val="14"/>
              </w:rPr>
              <w:t>Intended use and audience</w:t>
            </w:r>
          </w:p>
        </w:tc>
        <w:tc>
          <w:tcPr>
            <w:tcW w:type="dxa" w:w="3408"/>
            <w:vAlign w:val="top"/>
          </w:tcPr>
          <w:p>
            <w:r/>
            <w:r>
              <w:rPr>
                <w:rFonts w:ascii="Aptos" w:hAnsi="Aptos"/>
                <w:b w:val="0"/>
                <w:sz w:val="14"/>
              </w:rPr>
              <w:t>Adaptive Triage provides clinically governed probabilistic triage reasoning for approved NHS digital urgent and emergency care channels. It is intended to support structured triage interactions and onward care/service selection; it is not a general diagnostic or unrestricted medical-advice system.</w:t>
            </w:r>
          </w:p>
        </w:tc>
        <w:tc>
          <w:tcPr>
            <w:tcW w:type="dxa" w:w="3408"/>
            <w:vAlign w:val="top"/>
          </w:tcPr>
          <w:p>
            <w:r/>
            <w:r>
              <w:rPr>
                <w:rFonts w:ascii="Aptos" w:hAnsi="Aptos"/>
                <w:b w:val="0"/>
                <w:sz w:val="14"/>
              </w:rPr>
              <w:t>API/service documentation; product/service description; clinical/operator runbook; relevant in-product/channel information.</w:t>
            </w:r>
          </w:p>
        </w:tc>
      </w:tr>
      <w:tr>
        <w:tc>
          <w:tcPr>
            <w:tcW w:type="dxa" w:w="3408"/>
            <w:vAlign w:val="top"/>
          </w:tcPr>
          <w:p>
            <w:r/>
            <w:r>
              <w:rPr>
                <w:rFonts w:ascii="Aptos" w:hAnsi="Aptos"/>
                <w:b w:val="0"/>
                <w:sz w:val="14"/>
              </w:rPr>
              <w:t>Limitations</w:t>
            </w:r>
          </w:p>
        </w:tc>
        <w:tc>
          <w:tcPr>
            <w:tcW w:type="dxa" w:w="3408"/>
            <w:vAlign w:val="top"/>
          </w:tcPr>
          <w:p>
            <w:r/>
            <w:r>
              <w:rPr>
                <w:rFonts w:ascii="Aptos" w:hAnsi="Aptos"/>
                <w:b w:val="0"/>
                <w:sz w:val="14"/>
              </w:rPr>
              <w:t>The service can only reason over evidence and clinical relationships represented in the approved model. It may be less reliable for out-of-distribution, incomplete, contradictory or poorly represented presentations and is dependent on the correctness of supplied evidence and approved model content. It must not be used outside approved populations/channels without reassessment.</w:t>
            </w:r>
          </w:p>
        </w:tc>
        <w:tc>
          <w:tcPr>
            <w:tcW w:type="dxa" w:w="3408"/>
            <w:vAlign w:val="top"/>
          </w:tcPr>
          <w:p>
            <w:r/>
            <w:r>
              <w:rPr>
                <w:rFonts w:ascii="Aptos" w:hAnsi="Aptos"/>
                <w:b w:val="0"/>
                <w:sz w:val="14"/>
              </w:rPr>
              <w:t>Operator runbook; model/system card; API/service documentation; clinical governance UI where appropriate.</w:t>
            </w:r>
          </w:p>
        </w:tc>
      </w:tr>
      <w:tr>
        <w:tc>
          <w:tcPr>
            <w:tcW w:type="dxa" w:w="3408"/>
            <w:vAlign w:val="top"/>
          </w:tcPr>
          <w:p>
            <w:r/>
            <w:r>
              <w:rPr>
                <w:rFonts w:ascii="Aptos" w:hAnsi="Aptos"/>
                <w:b w:val="0"/>
                <w:sz w:val="14"/>
              </w:rPr>
              <w:t>Required oversight</w:t>
            </w:r>
          </w:p>
        </w:tc>
        <w:tc>
          <w:tcPr>
            <w:tcW w:type="dxa" w:w="3408"/>
            <w:vAlign w:val="top"/>
          </w:tcPr>
          <w:p>
            <w:r/>
            <w:r>
              <w:rPr>
                <w:rFonts w:ascii="Aptos" w:hAnsi="Aptos"/>
                <w:b w:val="0"/>
                <w:sz w:val="14"/>
              </w:rPr>
              <w:t>Clinical review and approval are required for model releases and material safety-policy changes. Build-time LLM outputs are reviewed by a human and clinically relevant outputs require named clinician review/sign-off before entering the approved model. Operational incidents and safety concerns are escalated through defined clinical/product/security governance.</w:t>
            </w:r>
          </w:p>
        </w:tc>
        <w:tc>
          <w:tcPr>
            <w:tcW w:type="dxa" w:w="3408"/>
            <w:vAlign w:val="top"/>
          </w:tcPr>
          <w:p>
            <w:r/>
            <w:r>
              <w:rPr>
                <w:rFonts w:ascii="Aptos" w:hAnsi="Aptos"/>
                <w:b w:val="0"/>
                <w:sz w:val="14"/>
              </w:rPr>
              <w:t>Clinical governance process; operator runbook; release workflow / approvals log.</w:t>
            </w:r>
          </w:p>
        </w:tc>
      </w:tr>
      <w:tr>
        <w:tc>
          <w:tcPr>
            <w:tcW w:type="dxa" w:w="3408"/>
            <w:vAlign w:val="top"/>
          </w:tcPr>
          <w:p>
            <w:r/>
            <w:r>
              <w:rPr>
                <w:rFonts w:ascii="Aptos" w:hAnsi="Aptos"/>
                <w:b w:val="0"/>
                <w:sz w:val="14"/>
              </w:rPr>
              <w:t>Redress channel</w:t>
            </w:r>
          </w:p>
        </w:tc>
        <w:tc>
          <w:tcPr>
            <w:tcW w:type="dxa" w:w="3408"/>
            <w:vAlign w:val="top"/>
          </w:tcPr>
          <w:p>
            <w:r/>
            <w:r>
              <w:rPr>
                <w:rFonts w:ascii="Aptos" w:hAnsi="Aptos"/>
                <w:b w:val="0"/>
                <w:sz w:val="14"/>
              </w:rPr>
              <w:t>Users/operators must be able to report suspected unsafe behaviour, incorrect outcomes, data issues or other concerns through the relevant NHS product/support and clinical-safety escalation channels. Material issues are triaged through the organisational incident process and can trigger model/configuration suspension, rollback or review.</w:t>
            </w:r>
          </w:p>
        </w:tc>
        <w:tc>
          <w:tcPr>
            <w:tcW w:type="dxa" w:w="3408"/>
            <w:vAlign w:val="top"/>
          </w:tcPr>
          <w:p>
            <w:r/>
            <w:r>
              <w:rPr>
                <w:rFonts w:ascii="Aptos" w:hAnsi="Aptos"/>
                <w:b w:val="0"/>
                <w:sz w:val="14"/>
              </w:rPr>
              <w:t>Service support route; incident process; clinical safety runbook. [TBC - insert exact support/contact route.]</w:t>
            </w:r>
          </w:p>
        </w:tc>
      </w:tr>
      <w:tr>
        <w:tc>
          <w:tcPr>
            <w:tcW w:type="dxa" w:w="3408"/>
            <w:vAlign w:val="top"/>
          </w:tcPr>
          <w:p>
            <w:r/>
            <w:r>
              <w:rPr>
                <w:rFonts w:ascii="Aptos" w:hAnsi="Aptos"/>
                <w:b w:val="0"/>
                <w:sz w:val="14"/>
              </w:rPr>
              <w:t>Data handling notice</w:t>
            </w:r>
          </w:p>
        </w:tc>
        <w:tc>
          <w:tcPr>
            <w:tcW w:type="dxa" w:w="3408"/>
            <w:vAlign w:val="top"/>
          </w:tcPr>
          <w:p>
            <w:r/>
            <w:r>
              <w:rPr>
                <w:rFonts w:ascii="Aptos" w:hAnsi="Aptos"/>
                <w:b w:val="0"/>
                <w:sz w:val="14"/>
              </w:rPr>
              <w:t>Data handling, lawful basis, retention and data-subject rights are governed by the approved NHS England privacy information, DPIA and Data Management Record for the service.</w:t>
            </w:r>
          </w:p>
        </w:tc>
        <w:tc>
          <w:tcPr>
            <w:tcW w:type="dxa" w:w="3408"/>
            <w:vAlign w:val="top"/>
          </w:tcPr>
          <w:p>
            <w:r/>
            <w:r>
              <w:rPr>
                <w:rFonts w:ascii="Aptos" w:hAnsi="Aptos"/>
                <w:b w:val="0"/>
                <w:sz w:val="14"/>
              </w:rPr>
              <w:t>NHS England privacy notice / service privacy information; DMR/DPIA references. [TBC exact link/reference.]</w:t>
            </w:r>
          </w:p>
        </w:tc>
      </w:tr>
      <w:tr>
        <w:tc>
          <w:tcPr>
            <w:tcW w:type="dxa" w:w="3408"/>
            <w:vAlign w:val="top"/>
          </w:tcPr>
          <w:p>
            <w:r/>
            <w:r>
              <w:rPr>
                <w:rFonts w:ascii="Aptos" w:hAnsi="Aptos"/>
                <w:b w:val="0"/>
                <w:sz w:val="14"/>
              </w:rPr>
              <w:t>AI Disclosure</w:t>
            </w:r>
          </w:p>
        </w:tc>
        <w:tc>
          <w:tcPr>
            <w:tcW w:type="dxa" w:w="3408"/>
            <w:vAlign w:val="top"/>
          </w:tcPr>
          <w:p>
            <w:r/>
            <w:r>
              <w:rPr>
                <w:rFonts w:ascii="Aptos" w:hAnsi="Aptos"/>
                <w:b w:val="0"/>
                <w:sz w:val="14"/>
              </w:rPr>
              <w:t>Users/operators should be informed, in a manner appropriate to the channel and intended use, that the service uses probabilistic/AI-based clinical reasoning. The disclosure should explain that the capability is clinically governed, its role in triage, and any human/clinical oversight relevant to the interaction without overstating the system's capabilities.</w:t>
            </w:r>
          </w:p>
        </w:tc>
        <w:tc>
          <w:tcPr>
            <w:tcW w:type="dxa" w:w="3408"/>
            <w:vAlign w:val="top"/>
          </w:tcPr>
          <w:p>
            <w:r/>
            <w:r>
              <w:rPr>
                <w:rFonts w:ascii="Aptos" w:hAnsi="Aptos"/>
                <w:b w:val="0"/>
                <w:sz w:val="14"/>
              </w:rPr>
              <w:t>Channel/service information and help content; operator documentation. [TBC wording/location with Product, Content, IG and Clinical Safety.]</w:t>
            </w:r>
          </w:p>
        </w:tc>
      </w:tr>
    </w:tbl>
    <w:p/>
    <w:p>
      <w:pPr>
        <w:pStyle w:val="Heading1"/>
      </w:pPr>
      <w:r>
        <w:t>9. Known Limitations and Failure Modes (C9)</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top"/>
            <w:shd w:fill="D9EAD3"/>
          </w:tcPr>
          <w:p>
            <w:r/>
            <w:r>
              <w:rPr>
                <w:rFonts w:ascii="Aptos" w:hAnsi="Aptos"/>
                <w:b/>
                <w:sz w:val="13"/>
              </w:rPr>
              <w:t>Limitation / failure mode</w:t>
            </w:r>
          </w:p>
        </w:tc>
        <w:tc>
          <w:tcPr>
            <w:tcW w:type="dxa" w:w="3408"/>
            <w:vAlign w:val="top"/>
            <w:shd w:fill="D9EAD3"/>
          </w:tcPr>
          <w:p>
            <w:r/>
            <w:r>
              <w:rPr>
                <w:rFonts w:ascii="Aptos" w:hAnsi="Aptos"/>
                <w:b/>
                <w:sz w:val="13"/>
              </w:rPr>
              <w:t>Why it occurs</w:t>
            </w:r>
          </w:p>
        </w:tc>
        <w:tc>
          <w:tcPr>
            <w:tcW w:type="dxa" w:w="3408"/>
            <w:vAlign w:val="top"/>
            <w:shd w:fill="D9EAD3"/>
          </w:tcPr>
          <w:p>
            <w:r/>
            <w:r>
              <w:rPr>
                <w:rFonts w:ascii="Aptos" w:hAnsi="Aptos"/>
                <w:b/>
                <w:sz w:val="13"/>
              </w:rPr>
              <w:t>Mitigation in place</w:t>
            </w:r>
          </w:p>
        </w:tc>
      </w:tr>
      <w:tr>
        <w:tc>
          <w:tcPr>
            <w:tcW w:type="dxa" w:w="3408"/>
            <w:vAlign w:val="top"/>
          </w:tcPr>
          <w:p>
            <w:r/>
            <w:r>
              <w:rPr>
                <w:rFonts w:ascii="Aptos" w:hAnsi="Aptos"/>
                <w:b w:val="0"/>
                <w:sz w:val="13"/>
              </w:rPr>
              <w:t>Model scope limitation</w:t>
            </w:r>
          </w:p>
        </w:tc>
        <w:tc>
          <w:tcPr>
            <w:tcW w:type="dxa" w:w="3408"/>
            <w:vAlign w:val="top"/>
          </w:tcPr>
          <w:p>
            <w:r/>
            <w:r>
              <w:rPr>
                <w:rFonts w:ascii="Aptos" w:hAnsi="Aptos"/>
                <w:b w:val="0"/>
                <w:sz w:val="13"/>
              </w:rPr>
              <w:t>The Bayesian Network can only reason over clinical concepts, states and relationships represented in the approved model.</w:t>
            </w:r>
          </w:p>
        </w:tc>
        <w:tc>
          <w:tcPr>
            <w:tcW w:type="dxa" w:w="3408"/>
            <w:vAlign w:val="top"/>
          </w:tcPr>
          <w:p>
            <w:r/>
            <w:r>
              <w:rPr>
                <w:rFonts w:ascii="Aptos" w:hAnsi="Aptos"/>
                <w:b w:val="0"/>
                <w:sz w:val="13"/>
              </w:rPr>
              <w:t>Maintain explicit intended-use/model scope; clinical review of network coverage; route unsupported/out-of-scope presentations to a safe fallback/escalation path.</w:t>
            </w:r>
          </w:p>
        </w:tc>
      </w:tr>
      <w:tr>
        <w:tc>
          <w:tcPr>
            <w:tcW w:type="dxa" w:w="3408"/>
            <w:vAlign w:val="top"/>
          </w:tcPr>
          <w:p>
            <w:r/>
            <w:r>
              <w:rPr>
                <w:rFonts w:ascii="Aptos" w:hAnsi="Aptos"/>
                <w:b w:val="0"/>
                <w:sz w:val="13"/>
              </w:rPr>
              <w:t>Incomplete or incorrect evidence</w:t>
            </w:r>
          </w:p>
        </w:tc>
        <w:tc>
          <w:tcPr>
            <w:tcW w:type="dxa" w:w="3408"/>
            <w:vAlign w:val="top"/>
          </w:tcPr>
          <w:p>
            <w:r/>
            <w:r>
              <w:rPr>
                <w:rFonts w:ascii="Aptos" w:hAnsi="Aptos"/>
                <w:b w:val="0"/>
                <w:sz w:val="13"/>
              </w:rPr>
              <w:t>The inference engine depends on evidence supplied by the user/channel. Missing, misunderstood or incorrect answers can alter posterior probabilities.</w:t>
            </w:r>
          </w:p>
        </w:tc>
        <w:tc>
          <w:tcPr>
            <w:tcW w:type="dxa" w:w="3408"/>
            <w:vAlign w:val="top"/>
          </w:tcPr>
          <w:p>
            <w:r/>
            <w:r>
              <w:rPr>
                <w:rFonts w:ascii="Aptos" w:hAnsi="Aptos"/>
                <w:b w:val="0"/>
                <w:sz w:val="13"/>
              </w:rPr>
              <w:t>Adaptive questioning; input validation; contradiction handling; safety-net rules; conservative escalation where uncertainty is material.</w:t>
            </w:r>
          </w:p>
        </w:tc>
      </w:tr>
      <w:tr>
        <w:tc>
          <w:tcPr>
            <w:tcW w:type="dxa" w:w="3408"/>
            <w:vAlign w:val="top"/>
          </w:tcPr>
          <w:p>
            <w:r/>
            <w:r>
              <w:rPr>
                <w:rFonts w:ascii="Aptos" w:hAnsi="Aptos"/>
                <w:b w:val="0"/>
                <w:sz w:val="13"/>
              </w:rPr>
              <w:t>Out-of-distribution presentation</w:t>
            </w:r>
          </w:p>
        </w:tc>
        <w:tc>
          <w:tcPr>
            <w:tcW w:type="dxa" w:w="3408"/>
            <w:vAlign w:val="top"/>
          </w:tcPr>
          <w:p>
            <w:r/>
            <w:r>
              <w:rPr>
                <w:rFonts w:ascii="Aptos" w:hAnsi="Aptos"/>
                <w:b w:val="0"/>
                <w:sz w:val="13"/>
              </w:rPr>
              <w:t>Rare, novel or clinically unusual presentations may not be well represented in model structure or evaluation data.</w:t>
            </w:r>
          </w:p>
        </w:tc>
        <w:tc>
          <w:tcPr>
            <w:tcW w:type="dxa" w:w="3408"/>
            <w:vAlign w:val="top"/>
          </w:tcPr>
          <w:p>
            <w:r/>
            <w:r>
              <w:rPr>
                <w:rFonts w:ascii="Aptos" w:hAnsi="Aptos"/>
                <w:b w:val="0"/>
                <w:sz w:val="13"/>
              </w:rPr>
              <w:t>OOD/edge-case testing; monitoring; safe fallback; clinician review; controlled model updates.</w:t>
            </w:r>
          </w:p>
        </w:tc>
      </w:tr>
      <w:tr>
        <w:tc>
          <w:tcPr>
            <w:tcW w:type="dxa" w:w="3408"/>
            <w:vAlign w:val="top"/>
          </w:tcPr>
          <w:p>
            <w:r/>
            <w:r>
              <w:rPr>
                <w:rFonts w:ascii="Aptos" w:hAnsi="Aptos"/>
                <w:b w:val="0"/>
                <w:sz w:val="13"/>
              </w:rPr>
              <w:t>Probability/CPT miscalibration</w:t>
            </w:r>
          </w:p>
        </w:tc>
        <w:tc>
          <w:tcPr>
            <w:tcW w:type="dxa" w:w="3408"/>
            <w:vAlign w:val="top"/>
          </w:tcPr>
          <w:p>
            <w:r/>
            <w:r>
              <w:rPr>
                <w:rFonts w:ascii="Aptos" w:hAnsi="Aptos"/>
                <w:b w:val="0"/>
                <w:sz w:val="13"/>
              </w:rPr>
              <w:t>Conditional probabilities may be based on limited evidence, expert elicitation or data that changes over time.</w:t>
            </w:r>
          </w:p>
        </w:tc>
        <w:tc>
          <w:tcPr>
            <w:tcW w:type="dxa" w:w="3408"/>
            <w:vAlign w:val="top"/>
          </w:tcPr>
          <w:p>
            <w:r/>
            <w:r>
              <w:rPr>
                <w:rFonts w:ascii="Aptos" w:hAnsi="Aptos"/>
                <w:b w:val="0"/>
                <w:sz w:val="13"/>
              </w:rPr>
              <w:t>Clinical review, calibration testing, validation against datasets/vignettes, monitoring and controlled recalibration/re-release.</w:t>
            </w:r>
          </w:p>
        </w:tc>
      </w:tr>
      <w:tr>
        <w:tc>
          <w:tcPr>
            <w:tcW w:type="dxa" w:w="3408"/>
            <w:vAlign w:val="top"/>
          </w:tcPr>
          <w:p>
            <w:r/>
            <w:r>
              <w:rPr>
                <w:rFonts w:ascii="Aptos" w:hAnsi="Aptos"/>
                <w:b w:val="0"/>
                <w:sz w:val="13"/>
              </w:rPr>
              <w:t>Incorrect model structure / causal assumption</w:t>
            </w:r>
          </w:p>
        </w:tc>
        <w:tc>
          <w:tcPr>
            <w:tcW w:type="dxa" w:w="3408"/>
            <w:vAlign w:val="top"/>
          </w:tcPr>
          <w:p>
            <w:r/>
            <w:r>
              <w:rPr>
                <w:rFonts w:ascii="Aptos" w:hAnsi="Aptos"/>
                <w:b w:val="0"/>
                <w:sz w:val="13"/>
              </w:rPr>
              <w:t>An edge or dependency may incorrectly represent a clinical relationship or omit an important dependency.</w:t>
            </w:r>
          </w:p>
        </w:tc>
        <w:tc>
          <w:tcPr>
            <w:tcW w:type="dxa" w:w="3408"/>
            <w:vAlign w:val="top"/>
          </w:tcPr>
          <w:p>
            <w:r/>
            <w:r>
              <w:rPr>
                <w:rFonts w:ascii="Aptos" w:hAnsi="Aptos"/>
                <w:b w:val="0"/>
                <w:sz w:val="13"/>
              </w:rPr>
              <w:t>Source provenance, automated structural checks, clinical review of DAG/CPTs, vignette/regression testing and versioned approval.</w:t>
            </w:r>
          </w:p>
        </w:tc>
      </w:tr>
      <w:tr>
        <w:tc>
          <w:tcPr>
            <w:tcW w:type="dxa" w:w="3408"/>
            <w:vAlign w:val="top"/>
          </w:tcPr>
          <w:p>
            <w:r/>
            <w:r>
              <w:rPr>
                <w:rFonts w:ascii="Aptos" w:hAnsi="Aptos"/>
                <w:b w:val="0"/>
                <w:sz w:val="13"/>
              </w:rPr>
              <w:t>Federation/orchestration error</w:t>
            </w:r>
          </w:p>
        </w:tc>
        <w:tc>
          <w:tcPr>
            <w:tcW w:type="dxa" w:w="3408"/>
            <w:vAlign w:val="top"/>
          </w:tcPr>
          <w:p>
            <w:r/>
            <w:r>
              <w:rPr>
                <w:rFonts w:ascii="Aptos" w:hAnsi="Aptos"/>
                <w:b w:val="0"/>
                <w:sz w:val="13"/>
              </w:rPr>
              <w:t>A specialised model may be selected or combined incorrectly, producing incomplete or inconsistent reasoning.</w:t>
            </w:r>
          </w:p>
        </w:tc>
        <w:tc>
          <w:tcPr>
            <w:tcW w:type="dxa" w:w="3408"/>
            <w:vAlign w:val="top"/>
          </w:tcPr>
          <w:p>
            <w:r/>
            <w:r>
              <w:rPr>
                <w:rFonts w:ascii="Aptos" w:hAnsi="Aptos"/>
                <w:b w:val="0"/>
                <w:sz w:val="13"/>
              </w:rPr>
              <w:t>Explicit orchestration rules, integration tests, cross-model safety tests, audit logging and fallback behaviour.</w:t>
            </w:r>
          </w:p>
        </w:tc>
      </w:tr>
      <w:tr>
        <w:tc>
          <w:tcPr>
            <w:tcW w:type="dxa" w:w="3408"/>
            <w:vAlign w:val="top"/>
          </w:tcPr>
          <w:p>
            <w:r/>
            <w:r>
              <w:rPr>
                <w:rFonts w:ascii="Aptos" w:hAnsi="Aptos"/>
                <w:b w:val="0"/>
                <w:sz w:val="13"/>
              </w:rPr>
              <w:t>Threshold / guardrail misconfiguration</w:t>
            </w:r>
          </w:p>
        </w:tc>
        <w:tc>
          <w:tcPr>
            <w:tcW w:type="dxa" w:w="3408"/>
            <w:vAlign w:val="top"/>
          </w:tcPr>
          <w:p>
            <w:r/>
            <w:r>
              <w:rPr>
                <w:rFonts w:ascii="Aptos" w:hAnsi="Aptos"/>
                <w:b w:val="0"/>
                <w:sz w:val="13"/>
              </w:rPr>
              <w:t>Risk tolerance, stopping criteria or channel thresholds may be set too aggressively or inconsistently.</w:t>
            </w:r>
          </w:p>
        </w:tc>
        <w:tc>
          <w:tcPr>
            <w:tcW w:type="dxa" w:w="3408"/>
            <w:vAlign w:val="top"/>
          </w:tcPr>
          <w:p>
            <w:r/>
            <w:r>
              <w:rPr>
                <w:rFonts w:ascii="Aptos" w:hAnsi="Aptos"/>
                <w:b w:val="0"/>
                <w:sz w:val="13"/>
              </w:rPr>
              <w:t>Version-controlled configuration; validation before activation; clinical approval; audit trail; rollback to last approved configuration.</w:t>
            </w:r>
          </w:p>
        </w:tc>
      </w:tr>
      <w:tr>
        <w:tc>
          <w:tcPr>
            <w:tcW w:type="dxa" w:w="3408"/>
            <w:vAlign w:val="top"/>
          </w:tcPr>
          <w:p>
            <w:r/>
            <w:r>
              <w:rPr>
                <w:rFonts w:ascii="Aptos" w:hAnsi="Aptos"/>
                <w:b w:val="0"/>
                <w:sz w:val="13"/>
              </w:rPr>
              <w:t>Model/data drift</w:t>
            </w:r>
          </w:p>
        </w:tc>
        <w:tc>
          <w:tcPr>
            <w:tcW w:type="dxa" w:w="3408"/>
            <w:vAlign w:val="top"/>
          </w:tcPr>
          <w:p>
            <w:r/>
            <w:r>
              <w:rPr>
                <w:rFonts w:ascii="Aptos" w:hAnsi="Aptos"/>
                <w:b w:val="0"/>
                <w:sz w:val="13"/>
              </w:rPr>
              <w:t>Real-world presentation patterns or source data distributions may change after deployment.</w:t>
            </w:r>
          </w:p>
        </w:tc>
        <w:tc>
          <w:tcPr>
            <w:tcW w:type="dxa" w:w="3408"/>
            <w:vAlign w:val="top"/>
          </w:tcPr>
          <w:p>
            <w:r/>
            <w:r>
              <w:rPr>
                <w:rFonts w:ascii="Aptos" w:hAnsi="Aptos"/>
                <w:b w:val="0"/>
                <w:sz w:val="13"/>
              </w:rPr>
              <w:t>Post-go-live monitoring for calibration/performance/drift; thresholds for investigation; periodic review and controlled retraining/recalibration.</w:t>
            </w:r>
          </w:p>
        </w:tc>
      </w:tr>
      <w:tr>
        <w:tc>
          <w:tcPr>
            <w:tcW w:type="dxa" w:w="3408"/>
            <w:vAlign w:val="top"/>
          </w:tcPr>
          <w:p>
            <w:r/>
            <w:r>
              <w:rPr>
                <w:rFonts w:ascii="Aptos" w:hAnsi="Aptos"/>
                <w:b w:val="0"/>
                <w:sz w:val="13"/>
              </w:rPr>
              <w:t>Bias / subgroup performance</w:t>
            </w:r>
          </w:p>
        </w:tc>
        <w:tc>
          <w:tcPr>
            <w:tcW w:type="dxa" w:w="3408"/>
            <w:vAlign w:val="top"/>
          </w:tcPr>
          <w:p>
            <w:r/>
            <w:r>
              <w:rPr>
                <w:rFonts w:ascii="Aptos" w:hAnsi="Aptos"/>
                <w:b w:val="0"/>
                <w:sz w:val="13"/>
              </w:rPr>
              <w:t>Performance may differ across demographic or clinical subgroups because of source data/model representation.</w:t>
            </w:r>
          </w:p>
        </w:tc>
        <w:tc>
          <w:tcPr>
            <w:tcW w:type="dxa" w:w="3408"/>
            <w:vAlign w:val="top"/>
          </w:tcPr>
          <w:p>
            <w:r/>
            <w:r>
              <w:rPr>
                <w:rFonts w:ascii="Aptos" w:hAnsi="Aptos"/>
                <w:b w:val="0"/>
                <w:sz w:val="13"/>
              </w:rPr>
              <w:t>Subgroup/fairness evaluation, clinical review, monitoring and remediation prior to release where unacceptable disparities are identified.</w:t>
            </w:r>
          </w:p>
        </w:tc>
      </w:tr>
      <w:tr>
        <w:tc>
          <w:tcPr>
            <w:tcW w:type="dxa" w:w="3408"/>
            <w:vAlign w:val="top"/>
          </w:tcPr>
          <w:p>
            <w:r/>
            <w:r>
              <w:rPr>
                <w:rFonts w:ascii="Aptos" w:hAnsi="Aptos"/>
                <w:b w:val="0"/>
                <w:sz w:val="13"/>
              </w:rPr>
              <w:t>System/service dependency failure</w:t>
            </w:r>
          </w:p>
        </w:tc>
        <w:tc>
          <w:tcPr>
            <w:tcW w:type="dxa" w:w="3408"/>
            <w:vAlign w:val="top"/>
          </w:tcPr>
          <w:p>
            <w:r/>
            <w:r>
              <w:rPr>
                <w:rFonts w:ascii="Aptos" w:hAnsi="Aptos"/>
                <w:b w:val="0"/>
                <w:sz w:val="13"/>
              </w:rPr>
              <w:t>AWS, downstream services, terminology sources or consuming services may be unavailable or return errors.</w:t>
            </w:r>
          </w:p>
        </w:tc>
        <w:tc>
          <w:tcPr>
            <w:tcW w:type="dxa" w:w="3408"/>
            <w:vAlign w:val="top"/>
          </w:tcPr>
          <w:p>
            <w:r/>
            <w:r>
              <w:rPr>
                <w:rFonts w:ascii="Aptos" w:hAnsi="Aptos"/>
                <w:b w:val="0"/>
                <w:sz w:val="13"/>
              </w:rPr>
              <w:t>Resilience patterns, timeouts/retries where safe, health monitoring, controlled degradation/fallback and operational incident response.</w:t>
            </w:r>
          </w:p>
        </w:tc>
      </w:tr>
      <w:tr>
        <w:tc>
          <w:tcPr>
            <w:tcW w:type="dxa" w:w="3408"/>
            <w:vAlign w:val="top"/>
          </w:tcPr>
          <w:p>
            <w:r/>
            <w:r>
              <w:rPr>
                <w:rFonts w:ascii="Aptos" w:hAnsi="Aptos"/>
                <w:b w:val="0"/>
                <w:sz w:val="13"/>
              </w:rPr>
              <w:t>Build-time LLM inaccurate output</w:t>
            </w:r>
          </w:p>
        </w:tc>
        <w:tc>
          <w:tcPr>
            <w:tcW w:type="dxa" w:w="3408"/>
            <w:vAlign w:val="top"/>
          </w:tcPr>
          <w:p>
            <w:r/>
            <w:r>
              <w:rPr>
                <w:rFonts w:ascii="Aptos" w:hAnsi="Aptos"/>
                <w:b w:val="0"/>
                <w:sz w:val="13"/>
              </w:rPr>
              <w:t>A foundation model may hallucinate, omit or incorrectly structure clinical/source information during build-time assistance.</w:t>
            </w:r>
          </w:p>
        </w:tc>
        <w:tc>
          <w:tcPr>
            <w:tcW w:type="dxa" w:w="3408"/>
            <w:vAlign w:val="top"/>
          </w:tcPr>
          <w:p>
            <w:r/>
            <w:r>
              <w:rPr>
                <w:rFonts w:ascii="Aptos" w:hAnsi="Aptos"/>
                <w:b w:val="0"/>
                <w:sz w:val="13"/>
              </w:rPr>
              <w:t>No runtime clinical decision is delegated to the LLM; generated outputs are traceable to source material and require engineering/clinical review and approval before use.</w:t>
            </w:r>
          </w:p>
        </w:tc>
      </w:tr>
      <w:tr>
        <w:tc>
          <w:tcPr>
            <w:tcW w:type="dxa" w:w="3408"/>
            <w:vAlign w:val="top"/>
          </w:tcPr>
          <w:p>
            <w:r/>
            <w:r>
              <w:rPr>
                <w:rFonts w:ascii="Aptos" w:hAnsi="Aptos"/>
                <w:b w:val="0"/>
                <w:sz w:val="13"/>
              </w:rPr>
              <w:t>Security/adversarial input</w:t>
            </w:r>
          </w:p>
        </w:tc>
        <w:tc>
          <w:tcPr>
            <w:tcW w:type="dxa" w:w="3408"/>
            <w:vAlign w:val="top"/>
          </w:tcPr>
          <w:p>
            <w:r/>
            <w:r>
              <w:rPr>
                <w:rFonts w:ascii="Aptos" w:hAnsi="Aptos"/>
                <w:b w:val="0"/>
                <w:sz w:val="13"/>
              </w:rPr>
              <w:t>Malformed, malicious or strategically misleading input could attempt to manipulate behaviour or expose data.</w:t>
            </w:r>
          </w:p>
        </w:tc>
        <w:tc>
          <w:tcPr>
            <w:tcW w:type="dxa" w:w="3408"/>
            <w:vAlign w:val="top"/>
          </w:tcPr>
          <w:p>
            <w:r/>
            <w:r>
              <w:rPr>
                <w:rFonts w:ascii="Aptos" w:hAnsi="Aptos"/>
                <w:b w:val="0"/>
                <w:sz w:val="13"/>
              </w:rPr>
              <w:t>Input validation, API security, least privilege, WAF/security controls, adversarial/red-team testing, monitoring and incident response.</w:t>
            </w:r>
          </w:p>
        </w:tc>
      </w:tr>
    </w:tbl>
    <w:p/>
    <w:p>
      <w:pPr>
        <w:pStyle w:val="Heading1"/>
      </w:pPr>
      <w:r>
        <w:t>10. Non-Functional Requirements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top"/>
            <w:shd w:fill="D9EAD3"/>
          </w:tcPr>
          <w:p>
            <w:r/>
            <w:r>
              <w:rPr>
                <w:rFonts w:ascii="Aptos" w:hAnsi="Aptos"/>
                <w:b/>
                <w:sz w:val="13"/>
              </w:rPr>
              <w:t>NFR area</w:t>
            </w:r>
          </w:p>
        </w:tc>
        <w:tc>
          <w:tcPr>
            <w:tcW w:type="dxa" w:w="2556"/>
            <w:vAlign w:val="top"/>
            <w:shd w:fill="D9EAD3"/>
          </w:tcPr>
          <w:p>
            <w:r/>
            <w:r>
              <w:rPr>
                <w:rFonts w:ascii="Aptos" w:hAnsi="Aptos"/>
                <w:b/>
                <w:sz w:val="13"/>
              </w:rPr>
              <w:t>Requirement / threshold</w:t>
            </w:r>
          </w:p>
        </w:tc>
        <w:tc>
          <w:tcPr>
            <w:tcW w:type="dxa" w:w="2556"/>
            <w:vAlign w:val="top"/>
            <w:shd w:fill="D9EAD3"/>
          </w:tcPr>
          <w:p>
            <w:r/>
            <w:r>
              <w:rPr>
                <w:rFonts w:ascii="Aptos" w:hAnsi="Aptos"/>
                <w:b/>
                <w:sz w:val="13"/>
              </w:rPr>
              <w:t>Owner</w:t>
            </w:r>
          </w:p>
        </w:tc>
        <w:tc>
          <w:tcPr>
            <w:tcW w:type="dxa" w:w="2556"/>
            <w:vAlign w:val="top"/>
            <w:shd w:fill="D9EAD3"/>
          </w:tcPr>
          <w:p>
            <w:r/>
            <w:r>
              <w:rPr>
                <w:rFonts w:ascii="Aptos" w:hAnsi="Aptos"/>
                <w:b/>
                <w:sz w:val="13"/>
              </w:rPr>
              <w:t>Verification</w:t>
            </w:r>
          </w:p>
        </w:tc>
      </w:tr>
      <w:tr>
        <w:tc>
          <w:tcPr>
            <w:tcW w:type="dxa" w:w="2556"/>
            <w:vAlign w:val="top"/>
          </w:tcPr>
          <w:p>
            <w:r/>
            <w:r>
              <w:rPr>
                <w:rFonts w:ascii="Aptos" w:hAnsi="Aptos"/>
                <w:b w:val="0"/>
                <w:sz w:val="13"/>
              </w:rPr>
              <w:t>Model performance / clinical safety</w:t>
            </w:r>
          </w:p>
        </w:tc>
        <w:tc>
          <w:tcPr>
            <w:tcW w:type="dxa" w:w="2556"/>
            <w:vAlign w:val="top"/>
          </w:tcPr>
          <w:p>
            <w:r/>
            <w:r>
              <w:rPr>
                <w:rFonts w:ascii="Aptos" w:hAnsi="Aptos"/>
                <w:b w:val="0"/>
                <w:sz w:val="13"/>
              </w:rPr>
              <w:t>Tier 3 release thresholds must be explicitly defined and approved before Beta. Metrics will include clinically appropriate sensitivity/false-negative measures for high-risk outcomes, disposition/outcome performance, calibration/discrimination and regression against the approved vignette suite. [TBC numeric thresholds.]</w:t>
            </w:r>
          </w:p>
        </w:tc>
        <w:tc>
          <w:tcPr>
            <w:tcW w:type="dxa" w:w="2556"/>
            <w:vAlign w:val="top"/>
          </w:tcPr>
          <w:p>
            <w:r/>
            <w:r>
              <w:rPr>
                <w:rFonts w:ascii="Aptos" w:hAnsi="Aptos"/>
                <w:b w:val="0"/>
                <w:sz w:val="13"/>
              </w:rPr>
              <w:t>Clinical / Data Science / QA</w:t>
            </w:r>
          </w:p>
        </w:tc>
        <w:tc>
          <w:tcPr>
            <w:tcW w:type="dxa" w:w="2556"/>
            <w:vAlign w:val="top"/>
          </w:tcPr>
          <w:p>
            <w:r/>
            <w:r>
              <w:rPr>
                <w:rFonts w:ascii="Aptos" w:hAnsi="Aptos"/>
                <w:b w:val="0"/>
                <w:sz w:val="13"/>
              </w:rPr>
              <w:t>Monitoring &amp; Review Record; evaluation report; clinical validation sign-off.</w:t>
            </w:r>
          </w:p>
        </w:tc>
      </w:tr>
      <w:tr>
        <w:tc>
          <w:tcPr>
            <w:tcW w:type="dxa" w:w="2556"/>
            <w:vAlign w:val="top"/>
          </w:tcPr>
          <w:p>
            <w:r/>
            <w:r>
              <w:rPr>
                <w:rFonts w:ascii="Aptos" w:hAnsi="Aptos"/>
                <w:b w:val="0"/>
                <w:sz w:val="13"/>
              </w:rPr>
              <w:t>Robustness</w:t>
            </w:r>
          </w:p>
        </w:tc>
        <w:tc>
          <w:tcPr>
            <w:tcW w:type="dxa" w:w="2556"/>
            <w:vAlign w:val="top"/>
          </w:tcPr>
          <w:p>
            <w:r/>
            <w:r>
              <w:rPr>
                <w:rFonts w:ascii="Aptos" w:hAnsi="Aptos"/>
                <w:b w:val="0"/>
                <w:sz w:val="13"/>
              </w:rPr>
              <w:t>Performance must remain within approved safety limits under foreseeable misuse, contradictory/incomplete evidence, edge cases, malformed inputs and other adversarial scenarios. [TBC numeric tolerance where applicable.]</w:t>
            </w:r>
          </w:p>
        </w:tc>
        <w:tc>
          <w:tcPr>
            <w:tcW w:type="dxa" w:w="2556"/>
            <w:vAlign w:val="top"/>
          </w:tcPr>
          <w:p>
            <w:r/>
            <w:r>
              <w:rPr>
                <w:rFonts w:ascii="Aptos" w:hAnsi="Aptos"/>
                <w:b w:val="0"/>
                <w:sz w:val="13"/>
              </w:rPr>
              <w:t>QA / Security / Data Science / Clinical</w:t>
            </w:r>
          </w:p>
        </w:tc>
        <w:tc>
          <w:tcPr>
            <w:tcW w:type="dxa" w:w="2556"/>
            <w:vAlign w:val="top"/>
          </w:tcPr>
          <w:p>
            <w:r/>
            <w:r>
              <w:rPr>
                <w:rFonts w:ascii="Aptos" w:hAnsi="Aptos"/>
                <w:b w:val="0"/>
                <w:sz w:val="13"/>
              </w:rPr>
              <w:t>Robustness and Tier 3 adversarial/red-team test evidence.</w:t>
            </w:r>
          </w:p>
        </w:tc>
      </w:tr>
      <w:tr>
        <w:tc>
          <w:tcPr>
            <w:tcW w:type="dxa" w:w="2556"/>
            <w:vAlign w:val="top"/>
          </w:tcPr>
          <w:p>
            <w:r/>
            <w:r>
              <w:rPr>
                <w:rFonts w:ascii="Aptos" w:hAnsi="Aptos"/>
                <w:b w:val="0"/>
                <w:sz w:val="13"/>
              </w:rPr>
              <w:t>Fairness / bias</w:t>
            </w:r>
          </w:p>
        </w:tc>
        <w:tc>
          <w:tcPr>
            <w:tcW w:type="dxa" w:w="2556"/>
            <w:vAlign w:val="top"/>
          </w:tcPr>
          <w:p>
            <w:r/>
            <w:r>
              <w:rPr>
                <w:rFonts w:ascii="Aptos" w:hAnsi="Aptos"/>
                <w:b w:val="0"/>
                <w:sz w:val="13"/>
              </w:rPr>
              <w:t>Evaluate performance across relevant protected/demographic and clinically important subgroups and define a maximum acceptable disparity or clinical review threshold before Beta. [TBC subgroup set and numeric thresholds.]</w:t>
            </w:r>
          </w:p>
        </w:tc>
        <w:tc>
          <w:tcPr>
            <w:tcW w:type="dxa" w:w="2556"/>
            <w:vAlign w:val="top"/>
          </w:tcPr>
          <w:p>
            <w:r/>
            <w:r>
              <w:rPr>
                <w:rFonts w:ascii="Aptos" w:hAnsi="Aptos"/>
                <w:b w:val="0"/>
                <w:sz w:val="13"/>
              </w:rPr>
              <w:t>Data/AI Ethics / Data Science / Clinical</w:t>
            </w:r>
          </w:p>
        </w:tc>
        <w:tc>
          <w:tcPr>
            <w:tcW w:type="dxa" w:w="2556"/>
            <w:vAlign w:val="top"/>
          </w:tcPr>
          <w:p>
            <w:r/>
            <w:r>
              <w:rPr>
                <w:rFonts w:ascii="Aptos" w:hAnsi="Aptos"/>
                <w:b w:val="0"/>
                <w:sz w:val="13"/>
              </w:rPr>
              <w:t>Bias/fairness evaluation in Monitoring &amp; Review Record.</w:t>
            </w:r>
          </w:p>
        </w:tc>
      </w:tr>
      <w:tr>
        <w:tc>
          <w:tcPr>
            <w:tcW w:type="dxa" w:w="2556"/>
            <w:vAlign w:val="top"/>
          </w:tcPr>
          <w:p>
            <w:r/>
            <w:r>
              <w:rPr>
                <w:rFonts w:ascii="Aptos" w:hAnsi="Aptos"/>
                <w:b w:val="0"/>
                <w:sz w:val="13"/>
              </w:rPr>
              <w:t>Explainability</w:t>
            </w:r>
          </w:p>
        </w:tc>
        <w:tc>
          <w:tcPr>
            <w:tcW w:type="dxa" w:w="2556"/>
            <w:vAlign w:val="top"/>
          </w:tcPr>
          <w:p>
            <w:r/>
            <w:r>
              <w:rPr>
                <w:rFonts w:ascii="Aptos" w:hAnsi="Aptos"/>
                <w:b w:val="0"/>
                <w:sz w:val="13"/>
              </w:rPr>
              <w:t>For material triage outcomes, authorised reviewers must be able to identify the model version, material evidence considered, relevant probability/decision transitions, safety rules/thresholds applied and the basis for the resulting triage disposition at a level suitable for clinical assurance and incident review.</w:t>
            </w:r>
          </w:p>
        </w:tc>
        <w:tc>
          <w:tcPr>
            <w:tcW w:type="dxa" w:w="2556"/>
            <w:vAlign w:val="top"/>
          </w:tcPr>
          <w:p>
            <w:r/>
            <w:r>
              <w:rPr>
                <w:rFonts w:ascii="Aptos" w:hAnsi="Aptos"/>
                <w:b w:val="0"/>
                <w:sz w:val="13"/>
              </w:rPr>
              <w:t>Clinical / Architecture / Data Science</w:t>
            </w:r>
          </w:p>
        </w:tc>
        <w:tc>
          <w:tcPr>
            <w:tcW w:type="dxa" w:w="2556"/>
            <w:vAlign w:val="top"/>
          </w:tcPr>
          <w:p>
            <w:r/>
            <w:r>
              <w:rPr>
                <w:rFonts w:ascii="Aptos" w:hAnsi="Aptos"/>
                <w:b w:val="0"/>
                <w:sz w:val="13"/>
              </w:rPr>
              <w:t>Explainability review, audit reconstruction testing and clinical sign-off.</w:t>
            </w:r>
          </w:p>
        </w:tc>
      </w:tr>
      <w:tr>
        <w:tc>
          <w:tcPr>
            <w:tcW w:type="dxa" w:w="2556"/>
            <w:vAlign w:val="top"/>
          </w:tcPr>
          <w:p>
            <w:r/>
            <w:r>
              <w:rPr>
                <w:rFonts w:ascii="Aptos" w:hAnsi="Aptos"/>
                <w:b w:val="0"/>
                <w:sz w:val="13"/>
              </w:rPr>
              <w:t>Drift tolerance</w:t>
            </w:r>
          </w:p>
        </w:tc>
        <w:tc>
          <w:tcPr>
            <w:tcW w:type="dxa" w:w="2556"/>
            <w:vAlign w:val="top"/>
          </w:tcPr>
          <w:p>
            <w:r/>
            <w:r>
              <w:rPr>
                <w:rFonts w:ascii="Aptos" w:hAnsi="Aptos"/>
                <w:b w:val="0"/>
                <w:sz w:val="13"/>
              </w:rPr>
              <w:t>Define alerts/review triggers for clinically material deterioration in calibration, outcome performance, subgroup performance, input distribution or error/incident indicators. [TBC numeric thresholds and time windows.]</w:t>
            </w:r>
          </w:p>
        </w:tc>
        <w:tc>
          <w:tcPr>
            <w:tcW w:type="dxa" w:w="2556"/>
            <w:vAlign w:val="top"/>
          </w:tcPr>
          <w:p>
            <w:r/>
            <w:r>
              <w:rPr>
                <w:rFonts w:ascii="Aptos" w:hAnsi="Aptos"/>
                <w:b w:val="0"/>
                <w:sz w:val="13"/>
              </w:rPr>
              <w:t>Data Science / Clinical / Operations</w:t>
            </w:r>
          </w:p>
        </w:tc>
        <w:tc>
          <w:tcPr>
            <w:tcW w:type="dxa" w:w="2556"/>
            <w:vAlign w:val="top"/>
          </w:tcPr>
          <w:p>
            <w:r/>
            <w:r>
              <w:rPr>
                <w:rFonts w:ascii="Aptos" w:hAnsi="Aptos"/>
                <w:b w:val="0"/>
                <w:sz w:val="13"/>
              </w:rPr>
              <w:t>Post-go-live monitoring plan and Monitoring &amp; Review Record.</w:t>
            </w:r>
          </w:p>
        </w:tc>
      </w:tr>
      <w:tr>
        <w:tc>
          <w:tcPr>
            <w:tcW w:type="dxa" w:w="2556"/>
            <w:vAlign w:val="top"/>
          </w:tcPr>
          <w:p>
            <w:r/>
            <w:r>
              <w:rPr>
                <w:rFonts w:ascii="Aptos" w:hAnsi="Aptos"/>
                <w:b w:val="0"/>
                <w:sz w:val="13"/>
              </w:rPr>
              <w:t>AI-specific security</w:t>
            </w:r>
          </w:p>
        </w:tc>
        <w:tc>
          <w:tcPr>
            <w:tcW w:type="dxa" w:w="2556"/>
            <w:vAlign w:val="top"/>
          </w:tcPr>
          <w:p>
            <w:r/>
            <w:r>
              <w:rPr>
                <w:rFonts w:ascii="Aptos" w:hAnsi="Aptos"/>
                <w:b w:val="0"/>
                <w:sz w:val="13"/>
              </w:rPr>
              <w:t>Build/runtime design must prevent unauthorised model/configuration changes, protect sensitive data, restrict build-time AI use to approved data/tooling, and withstand relevant AI-specific misuse/adversarial scenarios. No PII is intended to be sent to Bedrock under the current build use cases.</w:t>
            </w:r>
          </w:p>
        </w:tc>
        <w:tc>
          <w:tcPr>
            <w:tcW w:type="dxa" w:w="2556"/>
            <w:vAlign w:val="top"/>
          </w:tcPr>
          <w:p>
            <w:r/>
            <w:r>
              <w:rPr>
                <w:rFonts w:ascii="Aptos" w:hAnsi="Aptos"/>
                <w:b w:val="0"/>
                <w:sz w:val="13"/>
              </w:rPr>
              <w:t>Security / Platform / AI Engineering</w:t>
            </w:r>
          </w:p>
        </w:tc>
        <w:tc>
          <w:tcPr>
            <w:tcW w:type="dxa" w:w="2556"/>
            <w:vAlign w:val="top"/>
          </w:tcPr>
          <w:p>
            <w:r/>
            <w:r>
              <w:rPr>
                <w:rFonts w:ascii="Aptos" w:hAnsi="Aptos"/>
                <w:b w:val="0"/>
                <w:sz w:val="13"/>
              </w:rPr>
              <w:t>Security assessment, access-control evidence, logging evidence and C14 red-team/adversarial testing.</w:t>
            </w:r>
          </w:p>
        </w:tc>
      </w:tr>
      <w:tr>
        <w:tc>
          <w:tcPr>
            <w:tcW w:type="dxa" w:w="2556"/>
            <w:vAlign w:val="top"/>
          </w:tcPr>
          <w:p>
            <w:r/>
            <w:r>
              <w:rPr>
                <w:rFonts w:ascii="Aptos" w:hAnsi="Aptos"/>
                <w:b w:val="0"/>
                <w:sz w:val="13"/>
              </w:rPr>
              <w:t>Standard IT NFRs</w:t>
            </w:r>
          </w:p>
        </w:tc>
        <w:tc>
          <w:tcPr>
            <w:tcW w:type="dxa" w:w="2556"/>
            <w:vAlign w:val="top"/>
          </w:tcPr>
          <w:p>
            <w:r/>
            <w:r>
              <w:rPr>
                <w:rFonts w:ascii="Aptos" w:hAnsi="Aptos"/>
                <w:b w:val="0"/>
                <w:sz w:val="13"/>
              </w:rPr>
              <w:t>Performance, availability, scalability, baseline security, accessibility and supportability are governed through the Adaptive Triage project NFR/requirements artefact and approved AWS architecture. [Insert project NFR reference.]</w:t>
            </w:r>
          </w:p>
        </w:tc>
        <w:tc>
          <w:tcPr>
            <w:tcW w:type="dxa" w:w="2556"/>
            <w:vAlign w:val="top"/>
          </w:tcPr>
          <w:p>
            <w:r/>
            <w:r>
              <w:rPr>
                <w:rFonts w:ascii="Aptos" w:hAnsi="Aptos"/>
                <w:b w:val="0"/>
                <w:sz w:val="13"/>
              </w:rPr>
              <w:t>Engineering / Platform / Product</w:t>
            </w:r>
          </w:p>
        </w:tc>
        <w:tc>
          <w:tcPr>
            <w:tcW w:type="dxa" w:w="2556"/>
            <w:vAlign w:val="top"/>
          </w:tcPr>
          <w:p>
            <w:r/>
            <w:r>
              <w:rPr>
                <w:rFonts w:ascii="Aptos" w:hAnsi="Aptos"/>
                <w:b w:val="0"/>
                <w:sz w:val="13"/>
              </w:rPr>
              <w:t>Normal delivery NFR evidence and service acceptance testing.</w:t>
            </w:r>
          </w:p>
        </w:tc>
      </w:tr>
    </w:tbl>
    <w:p/>
    <w:p>
      <w:pPr>
        <w:pStyle w:val="Heading1"/>
      </w:pPr>
      <w:r>
        <w:t>11. Retirement Plan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D9EAD3"/>
          </w:tcPr>
          <w:p>
            <w:r/>
            <w:r>
              <w:rPr>
                <w:rFonts w:ascii="Aptos" w:hAnsi="Aptos"/>
                <w:b/>
                <w:sz w:val="15"/>
              </w:rPr>
              <w:t>Aspect</w:t>
            </w:r>
          </w:p>
        </w:tc>
        <w:tc>
          <w:tcPr>
            <w:tcW w:type="dxa" w:w="5112"/>
            <w:vAlign w:val="top"/>
            <w:shd w:fill="D9EAD3"/>
          </w:tcPr>
          <w:p>
            <w:r/>
            <w:r>
              <w:rPr>
                <w:rFonts w:ascii="Aptos" w:hAnsi="Aptos"/>
                <w:b/>
                <w:sz w:val="15"/>
              </w:rPr>
              <w:t>Copy/paste answer</w:t>
            </w:r>
          </w:p>
        </w:tc>
      </w:tr>
      <w:tr>
        <w:tc>
          <w:tcPr>
            <w:tcW w:type="dxa" w:w="5112"/>
            <w:vAlign w:val="top"/>
          </w:tcPr>
          <w:p>
            <w:r/>
            <w:r>
              <w:rPr>
                <w:rFonts w:ascii="Aptos" w:hAnsi="Aptos"/>
                <w:b w:val="0"/>
                <w:sz w:val="15"/>
              </w:rPr>
              <w:t>Retirement triggers</w:t>
            </w:r>
          </w:p>
        </w:tc>
        <w:tc>
          <w:tcPr>
            <w:tcW w:type="dxa" w:w="5112"/>
            <w:vAlign w:val="top"/>
          </w:tcPr>
          <w:p>
            <w:r/>
            <w:r>
              <w:rPr>
                <w:rFonts w:ascii="Aptos" w:hAnsi="Aptos"/>
                <w:b w:val="0"/>
                <w:sz w:val="15"/>
              </w:rPr>
              <w:t>The service/model may be retired or superseded because of an approved successor capability/model, unacceptable safety/performance or drift, material regulatory/clinical policy change, supplier/platform end-of-life, inability to maintain required assurance, change in intended use/business need, or formal customer decision.</w:t>
            </w:r>
          </w:p>
        </w:tc>
      </w:tr>
      <w:tr>
        <w:tc>
          <w:tcPr>
            <w:tcW w:type="dxa" w:w="5112"/>
            <w:vAlign w:val="top"/>
          </w:tcPr>
          <w:p>
            <w:r/>
            <w:r>
              <w:rPr>
                <w:rFonts w:ascii="Aptos" w:hAnsi="Aptos"/>
                <w:b w:val="0"/>
                <w:sz w:val="15"/>
              </w:rPr>
              <w:t>Data disposition</w:t>
            </w:r>
          </w:p>
        </w:tc>
        <w:tc>
          <w:tcPr>
            <w:tcW w:type="dxa" w:w="5112"/>
            <w:vAlign w:val="top"/>
          </w:tcPr>
          <w:p>
            <w:r/>
            <w:r>
              <w:rPr>
                <w:rFonts w:ascii="Aptos" w:hAnsi="Aptos"/>
                <w:b w:val="0"/>
                <w:sz w:val="15"/>
              </w:rPr>
              <w:t>Operational and assurance data will be deleted, archived or migrated in accordance with the Data Management Record, applicable NHS England retention schedules, legal/clinical obligations and data-minimisation requirements. [TBC exact retention/disposal rules.]</w:t>
            </w:r>
          </w:p>
        </w:tc>
      </w:tr>
      <w:tr>
        <w:tc>
          <w:tcPr>
            <w:tcW w:type="dxa" w:w="5112"/>
            <w:vAlign w:val="top"/>
          </w:tcPr>
          <w:p>
            <w:r/>
            <w:r>
              <w:rPr>
                <w:rFonts w:ascii="Aptos" w:hAnsi="Aptos"/>
                <w:b w:val="0"/>
                <w:sz w:val="15"/>
              </w:rPr>
              <w:t>Model and artefact archive</w:t>
            </w:r>
          </w:p>
        </w:tc>
        <w:tc>
          <w:tcPr>
            <w:tcW w:type="dxa" w:w="5112"/>
            <w:vAlign w:val="top"/>
          </w:tcPr>
          <w:p>
            <w:r/>
            <w:r>
              <w:rPr>
                <w:rFonts w:ascii="Aptos" w:hAnsi="Aptos"/>
                <w:b w:val="0"/>
                <w:sz w:val="15"/>
              </w:rPr>
              <w:t>Final approved model artefacts, model/configuration identifiers, relevant build provenance, evaluation/validation evidence, approvals, release records and required audit logs will be retained in controlled repositories for the approved retention period so historical clinical decisions can be investigated where required.</w:t>
            </w:r>
          </w:p>
        </w:tc>
      </w:tr>
      <w:tr>
        <w:tc>
          <w:tcPr>
            <w:tcW w:type="dxa" w:w="5112"/>
            <w:vAlign w:val="top"/>
          </w:tcPr>
          <w:p>
            <w:r/>
            <w:r>
              <w:rPr>
                <w:rFonts w:ascii="Aptos" w:hAnsi="Aptos"/>
                <w:b w:val="0"/>
                <w:sz w:val="15"/>
              </w:rPr>
              <w:t>Stakeholder communications</w:t>
            </w:r>
          </w:p>
        </w:tc>
        <w:tc>
          <w:tcPr>
            <w:tcW w:type="dxa" w:w="5112"/>
            <w:vAlign w:val="top"/>
          </w:tcPr>
          <w:p>
            <w:r/>
            <w:r>
              <w:rPr>
                <w:rFonts w:ascii="Aptos" w:hAnsi="Aptos"/>
                <w:b w:val="0"/>
                <w:sz w:val="15"/>
              </w:rPr>
              <w:t>NHS England Product/Service ownership, clinical safety, operations, integrating channels/services, security/IG, assurance stakeholders and affected users/operators will be informed in accordance with the retirement/cutover plan. Regulatory or conformity stakeholders will be included where applicable.</w:t>
            </w:r>
          </w:p>
        </w:tc>
      </w:tr>
      <w:tr>
        <w:tc>
          <w:tcPr>
            <w:tcW w:type="dxa" w:w="5112"/>
            <w:vAlign w:val="top"/>
          </w:tcPr>
          <w:p>
            <w:r/>
            <w:r>
              <w:rPr>
                <w:rFonts w:ascii="Aptos" w:hAnsi="Aptos"/>
                <w:b w:val="0"/>
                <w:sz w:val="15"/>
              </w:rPr>
              <w:t>Successor / fallback</w:t>
            </w:r>
          </w:p>
        </w:tc>
        <w:tc>
          <w:tcPr>
            <w:tcW w:type="dxa" w:w="5112"/>
            <w:vAlign w:val="top"/>
          </w:tcPr>
          <w:p>
            <w:r/>
            <w:r>
              <w:rPr>
                <w:rFonts w:ascii="Aptos" w:hAnsi="Aptos"/>
                <w:b w:val="0"/>
                <w:sz w:val="15"/>
              </w:rPr>
              <w:t>The retirement plan must identify the approved successor capability or safe fallback, which may include a replacement Adaptive Triage model/service, an approved deterministic triage capability, or another clinically approved pathway. Cutover must avoid leaving consuming channels without a safe triage route.</w:t>
            </w:r>
          </w:p>
        </w:tc>
      </w:tr>
      <w:tr>
        <w:tc>
          <w:tcPr>
            <w:tcW w:type="dxa" w:w="5112"/>
            <w:vAlign w:val="top"/>
          </w:tcPr>
          <w:p>
            <w:r/>
            <w:r>
              <w:rPr>
                <w:rFonts w:ascii="Aptos" w:hAnsi="Aptos"/>
                <w:b w:val="0"/>
                <w:sz w:val="15"/>
              </w:rPr>
              <w:t>Evidence retention</w:t>
            </w:r>
          </w:p>
        </w:tc>
        <w:tc>
          <w:tcPr>
            <w:tcW w:type="dxa" w:w="5112"/>
            <w:vAlign w:val="top"/>
          </w:tcPr>
          <w:p>
            <w:r/>
            <w:r>
              <w:rPr>
                <w:rFonts w:ascii="Aptos" w:hAnsi="Aptos"/>
                <w:b w:val="0"/>
                <w:sz w:val="15"/>
              </w:rPr>
              <w:t>Retirement decisions, approvals, final model/evaluation evidence and required logs will be retained in the controlled assurance repository/AI System Register for the period defined by the Data Management Record and applicable governance requirements. [TBC repository name and retention period.]</w:t>
            </w:r>
          </w:p>
        </w:tc>
      </w:tr>
    </w:tbl>
    <w:p/>
    <w:p>
      <w:pPr>
        <w:pStyle w:val="Heading1"/>
      </w:pPr>
      <w:r>
        <w:t>12. Maintenance and Support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D9EAD3"/>
          </w:tcPr>
          <w:p>
            <w:r/>
            <w:r>
              <w:rPr>
                <w:rFonts w:ascii="Aptos" w:hAnsi="Aptos"/>
                <w:b/>
                <w:sz w:val="15"/>
              </w:rPr>
              <w:t>Aspect</w:t>
            </w:r>
          </w:p>
        </w:tc>
        <w:tc>
          <w:tcPr>
            <w:tcW w:type="dxa" w:w="5112"/>
            <w:vAlign w:val="top"/>
            <w:shd w:fill="D9EAD3"/>
          </w:tcPr>
          <w:p>
            <w:r/>
            <w:r>
              <w:rPr>
                <w:rFonts w:ascii="Aptos" w:hAnsi="Aptos"/>
                <w:b/>
                <w:sz w:val="15"/>
              </w:rPr>
              <w:t>Copy/paste answer</w:t>
            </w:r>
          </w:p>
        </w:tc>
      </w:tr>
      <w:tr>
        <w:tc>
          <w:tcPr>
            <w:tcW w:type="dxa" w:w="5112"/>
            <w:vAlign w:val="top"/>
          </w:tcPr>
          <w:p>
            <w:r/>
            <w:r>
              <w:rPr>
                <w:rFonts w:ascii="Aptos" w:hAnsi="Aptos"/>
                <w:b w:val="0"/>
                <w:sz w:val="15"/>
              </w:rPr>
              <w:t>Maintaining team</w:t>
            </w:r>
          </w:p>
        </w:tc>
        <w:tc>
          <w:tcPr>
            <w:tcW w:type="dxa" w:w="5112"/>
            <w:vAlign w:val="top"/>
          </w:tcPr>
          <w:p>
            <w:r/>
            <w:r>
              <w:rPr>
                <w:rFonts w:ascii="Aptos" w:hAnsi="Aptos"/>
                <w:b w:val="0"/>
                <w:sz w:val="15"/>
              </w:rPr>
              <w:t>Adaptive Triage product/delivery team with Data Science/AI Engineering, Software Engineering and Platform Operations, supported by Clinical Safety/clinical reviewers, Security, QA and other assurance roles. [TBC - insert final named service/team owner and contact route.]</w:t>
            </w:r>
          </w:p>
        </w:tc>
      </w:tr>
      <w:tr>
        <w:tc>
          <w:tcPr>
            <w:tcW w:type="dxa" w:w="5112"/>
            <w:vAlign w:val="top"/>
          </w:tcPr>
          <w:p>
            <w:r/>
            <w:r>
              <w:rPr>
                <w:rFonts w:ascii="Aptos" w:hAnsi="Aptos"/>
                <w:b w:val="0"/>
                <w:sz w:val="15"/>
              </w:rPr>
              <w:t>Support model</w:t>
            </w:r>
          </w:p>
        </w:tc>
        <w:tc>
          <w:tcPr>
            <w:tcW w:type="dxa" w:w="5112"/>
            <w:vAlign w:val="top"/>
          </w:tcPr>
          <w:p>
            <w:r/>
            <w:r>
              <w:rPr>
                <w:rFonts w:ascii="Aptos" w:hAnsi="Aptos"/>
                <w:b w:val="0"/>
                <w:sz w:val="15"/>
              </w:rPr>
              <w:t>[TBC - define production support hours, incident SLAs, on-call/out-of-hours model and clinical escalation route before live deployment. Alpha/Beta support arrangements should be recorded separately if different from production.]</w:t>
            </w:r>
          </w:p>
        </w:tc>
      </w:tr>
      <w:tr>
        <w:tc>
          <w:tcPr>
            <w:tcW w:type="dxa" w:w="5112"/>
            <w:vAlign w:val="top"/>
          </w:tcPr>
          <w:p>
            <w:r/>
            <w:r>
              <w:rPr>
                <w:rFonts w:ascii="Aptos" w:hAnsi="Aptos"/>
                <w:b w:val="0"/>
                <w:sz w:val="15"/>
              </w:rPr>
              <w:t>Refresh / retraining cadence</w:t>
            </w:r>
          </w:p>
        </w:tc>
        <w:tc>
          <w:tcPr>
            <w:tcW w:type="dxa" w:w="5112"/>
            <w:vAlign w:val="top"/>
          </w:tcPr>
          <w:p>
            <w:r/>
            <w:r>
              <w:rPr>
                <w:rFonts w:ascii="Aptos" w:hAnsi="Aptos"/>
                <w:b w:val="0"/>
                <w:sz w:val="15"/>
              </w:rPr>
              <w:t>The Bayesian Network and associated probabilities are not refreshed automatically on a fixed unattended schedule. Changes are triggered by approved clinical/content changes, evidence of drift/performance degradation, new validated data/evidence, safety findings or planned model improvement. Every material refresh/recalibration is versioned, validated, clinically approved and released through the model lifecycle.</w:t>
            </w:r>
          </w:p>
        </w:tc>
      </w:tr>
      <w:tr>
        <w:tc>
          <w:tcPr>
            <w:tcW w:type="dxa" w:w="5112"/>
            <w:vAlign w:val="top"/>
          </w:tcPr>
          <w:p>
            <w:r/>
            <w:r>
              <w:rPr>
                <w:rFonts w:ascii="Aptos" w:hAnsi="Aptos"/>
                <w:b w:val="0"/>
                <w:sz w:val="15"/>
              </w:rPr>
              <w:t>Dependencies on suppliers</w:t>
            </w:r>
          </w:p>
        </w:tc>
        <w:tc>
          <w:tcPr>
            <w:tcW w:type="dxa" w:w="5112"/>
            <w:vAlign w:val="top"/>
          </w:tcPr>
          <w:p>
            <w:r/>
            <w:r>
              <w:rPr>
                <w:rFonts w:ascii="Aptos" w:hAnsi="Aptos"/>
                <w:b w:val="0"/>
                <w:sz w:val="15"/>
              </w:rPr>
              <w:t>Primary platform dependency is AWS, including services such as Bedrock (build-time only), SageMaker, Neptune, S3, CloudWatch and other approved AWS infrastructure services. The service also depends on NHS identity/interoperability/terminology capabilities and relevant consuming NHS services. [TBC - insert contractual/support references where required.]</w:t>
            </w:r>
          </w:p>
        </w:tc>
      </w:tr>
    </w:tbl>
    <w:p/>
    <w:p>
      <w:pPr>
        <w:pStyle w:val="Heading1"/>
      </w:pPr>
      <w:r>
        <w:t>13. Change History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top"/>
            <w:shd w:fill="D9EAD3"/>
          </w:tcPr>
          <w:p>
            <w:r/>
            <w:r>
              <w:rPr>
                <w:rFonts w:ascii="Aptos" w:hAnsi="Aptos"/>
                <w:b/>
                <w:sz w:val="16"/>
              </w:rPr>
              <w:t>Version</w:t>
            </w:r>
          </w:p>
        </w:tc>
        <w:tc>
          <w:tcPr>
            <w:tcW w:type="dxa" w:w="2556"/>
            <w:vAlign w:val="top"/>
            <w:shd w:fill="D9EAD3"/>
          </w:tcPr>
          <w:p>
            <w:r/>
            <w:r>
              <w:rPr>
                <w:rFonts w:ascii="Aptos" w:hAnsi="Aptos"/>
                <w:b/>
                <w:sz w:val="16"/>
              </w:rPr>
              <w:t>Date</w:t>
            </w:r>
          </w:p>
        </w:tc>
        <w:tc>
          <w:tcPr>
            <w:tcW w:type="dxa" w:w="2556"/>
            <w:vAlign w:val="top"/>
            <w:shd w:fill="D9EAD3"/>
          </w:tcPr>
          <w:p>
            <w:r/>
            <w:r>
              <w:rPr>
                <w:rFonts w:ascii="Aptos" w:hAnsi="Aptos"/>
                <w:b/>
                <w:sz w:val="16"/>
              </w:rPr>
              <w:t>Author</w:t>
            </w:r>
          </w:p>
        </w:tc>
        <w:tc>
          <w:tcPr>
            <w:tcW w:type="dxa" w:w="2556"/>
            <w:vAlign w:val="top"/>
            <w:shd w:fill="D9EAD3"/>
          </w:tcPr>
          <w:p>
            <w:r/>
            <w:r>
              <w:rPr>
                <w:rFonts w:ascii="Aptos" w:hAnsi="Aptos"/>
                <w:b/>
                <w:sz w:val="16"/>
              </w:rPr>
              <w:t>Change</w:t>
            </w:r>
          </w:p>
        </w:tc>
      </w:tr>
      <w:tr>
        <w:tc>
          <w:tcPr>
            <w:tcW w:type="dxa" w:w="2556"/>
            <w:vAlign w:val="top"/>
          </w:tcPr>
          <w:p>
            <w:r/>
            <w:r>
              <w:rPr>
                <w:rFonts w:ascii="Aptos" w:hAnsi="Aptos"/>
                <w:b w:val="0"/>
                <w:sz w:val="16"/>
              </w:rPr>
              <w:t>0.1</w:t>
            </w:r>
          </w:p>
        </w:tc>
        <w:tc>
          <w:tcPr>
            <w:tcW w:type="dxa" w:w="2556"/>
            <w:vAlign w:val="top"/>
          </w:tcPr>
          <w:p>
            <w:r/>
            <w:r>
              <w:rPr>
                <w:rFonts w:ascii="Aptos" w:hAnsi="Aptos"/>
                <w:b w:val="0"/>
                <w:sz w:val="16"/>
              </w:rPr>
              <w:t>06.09.2026</w:t>
            </w:r>
          </w:p>
        </w:tc>
        <w:tc>
          <w:tcPr>
            <w:tcW w:type="dxa" w:w="2556"/>
            <w:vAlign w:val="top"/>
          </w:tcPr>
          <w:p>
            <w:r/>
            <w:r>
              <w:rPr>
                <w:rFonts w:ascii="Aptos" w:hAnsi="Aptos"/>
                <w:b w:val="0"/>
                <w:sz w:val="16"/>
              </w:rPr>
              <w:t>Adaptive Triage architecture / AI governance working draft</w:t>
            </w:r>
          </w:p>
        </w:tc>
        <w:tc>
          <w:tcPr>
            <w:tcW w:type="dxa" w:w="2556"/>
            <w:vAlign w:val="top"/>
          </w:tcPr>
          <w:p>
            <w:r/>
            <w:r>
              <w:rPr>
                <w:rFonts w:ascii="Aptos" w:hAnsi="Aptos"/>
                <w:b w:val="0"/>
                <w:sz w:val="16"/>
              </w:rPr>
              <w:t>Initial question-by-question response pack created from the Kainos AI System Description Template and current Adaptive Triage position.</w:t>
            </w:r>
          </w:p>
        </w:tc>
      </w:tr>
    </w:tbl>
    <w:p/>
    <w:p>
      <w:pPr>
        <w:pStyle w:val="Heading1"/>
      </w:pPr>
      <w:r>
        <w:t>Outstanding information to confirm before formal submission</w:t>
      </w:r>
    </w:p>
    <w:p>
      <w:pPr>
        <w:pStyle w:val="ListBullet"/>
        <w:spacing w:after="40"/>
      </w:pPr>
      <w:r>
        <w:t>OneTrust Assessment ID.</w:t>
      </w:r>
    </w:p>
    <w:p>
      <w:pPr>
        <w:pStyle w:val="ListBullet"/>
        <w:spacing w:after="40"/>
      </w:pPr>
      <w:r>
        <w:t>Formal AI Governance Forum risk-tier decision.</w:t>
      </w:r>
    </w:p>
    <w:p>
      <w:pPr>
        <w:pStyle w:val="ListBullet"/>
        <w:spacing w:after="40"/>
      </w:pPr>
      <w:r>
        <w:t>Confirmed data-governance role and Data Controller wording.</w:t>
      </w:r>
    </w:p>
    <w:p>
      <w:pPr>
        <w:pStyle w:val="ListBullet"/>
        <w:spacing w:after="40"/>
      </w:pPr>
      <w:r>
        <w:t>Named Accountable Owner, Approver and Reviewers.</w:t>
      </w:r>
    </w:p>
    <w:p>
      <w:pPr>
        <w:pStyle w:val="ListBullet"/>
        <w:spacing w:after="40"/>
      </w:pPr>
      <w:r>
        <w:t>Final monitoring ownership and production support model.</w:t>
      </w:r>
    </w:p>
    <w:p>
      <w:pPr>
        <w:pStyle w:val="ListBullet"/>
        <w:spacing w:after="40"/>
      </w:pPr>
      <w:r>
        <w:t>Approved-list / exception references for each AI/model-development tool and foundation model.</w:t>
      </w:r>
    </w:p>
    <w:p>
      <w:pPr>
        <w:pStyle w:val="ListBullet"/>
        <w:spacing w:after="40"/>
      </w:pPr>
      <w:r>
        <w:t>Exact model, library and platform versions used by each release.</w:t>
      </w:r>
    </w:p>
    <w:p>
      <w:pPr>
        <w:pStyle w:val="ListBullet"/>
        <w:spacing w:after="40"/>
      </w:pPr>
      <w:r>
        <w:t>Final document/Confluence references for architecture, DPIA, DMR, NFRs and operational runbooks.</w:t>
      </w:r>
    </w:p>
    <w:p>
      <w:pPr>
        <w:pStyle w:val="ListBullet"/>
        <w:spacing w:after="40"/>
      </w:pPr>
      <w:r>
        <w:t>Approved numeric business success targets.</w:t>
      </w:r>
    </w:p>
    <w:p>
      <w:pPr>
        <w:pStyle w:val="ListBullet"/>
        <w:spacing w:after="40"/>
      </w:pPr>
      <w:r>
        <w:t>Approved Tier 3 model-performance, clinical-safety, fairness, robustness and drift thresholds.</w:t>
      </w:r>
    </w:p>
    <w:p>
      <w:pPr>
        <w:pStyle w:val="ListBullet"/>
        <w:spacing w:after="40"/>
      </w:pPr>
      <w:r>
        <w:t>Log retention period and detailed data-retention/disposal rules.</w:t>
      </w:r>
    </w:p>
    <w:p>
      <w:pPr>
        <w:pStyle w:val="ListBullet"/>
        <w:spacing w:after="40"/>
      </w:pPr>
      <w:r>
        <w:t>Exact support/redress channel and AI disclosure location/wording.</w:t>
      </w:r>
    </w:p>
    <w:p>
      <w:pPr>
        <w:pStyle w:val="ListBullet"/>
        <w:spacing w:after="40"/>
      </w:pPr>
      <w:r>
        <w:t>Repository/location and retention period for retirement evidence.</w:t>
      </w:r>
    </w:p>
    <w:p>
      <w:pPr>
        <w:pStyle w:val="Heading1"/>
      </w:pPr>
      <w:r>
        <w:t>Source template basis</w:t>
      </w:r>
    </w:p>
    <w:p>
      <w:r>
        <w:t>This report mirrors the Kainos AI System Description Template (Version 1.0, issued 15 May 2026). The template requires completion of System Identity, System Overview, Intended Use and Users, Architecture and Components, model/component selection rationale, data dependencies, logging and telemetry, user/operator information, known limitations/failure modes, AI-specific NFRs, retirement, maintenance/support and change history.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Artefact 1 - Kainos AI System Description - Adaptive Triage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rPr>
      <w:rFonts w:ascii="Aptos" w:hAnsi="Aptos"/>
      <w:b/>
      <w:sz w:val="20"/>
    </w:rPr>
  </w:style>
  <w:style w:type="paragraph" w:customStyle="1" w:styleId="Answer">
    <w:name w:val="Answe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