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2"/>
        </w:rPr>
        <w:t>Artefact 2</w:t>
      </w:r>
    </w:p>
    <w:p>
      <w:pPr>
        <w:jc w:val="center"/>
      </w:pPr>
      <w:r>
        <w:rPr>
          <w:rFonts w:ascii="Aptos Display" w:hAnsi="Aptos Display"/>
          <w:b/>
          <w:sz w:val="46"/>
        </w:rPr>
        <w:t>Kainos AI Risk and Impact Assessment</w:t>
      </w:r>
    </w:p>
    <w:p>
      <w:pPr>
        <w:jc w:val="center"/>
      </w:pPr>
      <w:r>
        <w:rPr>
          <w:rFonts w:ascii="Aptos Display" w:hAnsi="Aptos Display"/>
          <w:b/>
          <w:sz w:val="40"/>
        </w:rPr>
        <w:t>Adaptive Triage</w:t>
      </w:r>
    </w:p>
    <w:p/>
    <w:p>
      <w:pPr>
        <w:jc w:val="center"/>
      </w:pPr>
      <w:r>
        <w:rPr>
          <w:sz w:val="22"/>
        </w:rPr>
        <w:t>Question-by-question response pack for copy and paste into the Kainos assurance system</w:t>
      </w:r>
    </w:p>
    <w:p>
      <w:pPr>
        <w:jc w:val="center"/>
      </w:pPr>
      <w:r>
        <w:rPr>
          <w:b/>
          <w:sz w:val="20"/>
        </w:rPr>
        <w:t>Status: Draft working response - risk scores require formal review and approval</w:t>
      </w:r>
    </w:p>
    <w:p>
      <w:r>
        <w:br w:type="page"/>
      </w:r>
    </w:p>
    <w:p>
      <w:pPr>
        <w:pStyle w:val="Heading1"/>
      </w:pPr>
      <w:r>
        <w:t>How to use this report</w:t>
      </w:r>
    </w:p>
    <w:p>
      <w:r>
        <w:t>This report mirrors the Kainos AI Risk and Impact Assessment Template and lists each requested field or question with a standalone copy-and-paste-ready Adaptive Triage response. Where an authoritative programme answer is not yet available, the text is marked TBC rather than inventing information. Risk likelihood, impact and residual ratings are provisional working assessments and must be validated through the formal Kainos risk process, Clinical Safety, Security, Data/AI Ethics and the independent Tier 3 review.</w:t>
      </w:r>
    </w:p>
    <w:p>
      <w:r>
        <w:t>The template combines the intended-use impact assessment (C1) and AI risk assessment/treatment plan (C5). Because Adaptive Triage is being treated as a Tier 3 working assumption, the Independent Review section (C13) is also completed as far as current evidence permits.</w:t>
      </w:r>
    </w:p>
    <w:p>
      <w:pPr>
        <w:pStyle w:val="Heading1"/>
      </w:pPr>
      <w:r>
        <w:t>1.1 System Identity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6"/>
              </w:rPr>
              <w:t>Template field</w:t>
            </w:r>
          </w:p>
        </w:tc>
        <w:tc>
          <w:tcPr>
            <w:tcW w:type="dxa" w:w="5112"/>
            <w:vAlign w:val="top"/>
            <w:shd w:fill="D9EAD3"/>
          </w:tcPr>
          <w:p>
            <w:r/>
            <w:r>
              <w:rPr>
                <w:rFonts w:ascii="Aptos" w:hAnsi="Aptos"/>
                <w:b/>
                <w:sz w:val="16"/>
              </w:rPr>
              <w:t>Copy/paste answer</w:t>
            </w:r>
          </w:p>
        </w:tc>
      </w:tr>
      <w:tr>
        <w:tc>
          <w:tcPr>
            <w:tcW w:type="dxa" w:w="5112"/>
            <w:vAlign w:val="top"/>
          </w:tcPr>
          <w:p>
            <w:r/>
            <w:r>
              <w:rPr>
                <w:rFonts w:ascii="Aptos" w:hAnsi="Aptos"/>
                <w:b w:val="0"/>
                <w:sz w:val="16"/>
              </w:rPr>
              <w:t>AI System Name</w:t>
            </w:r>
          </w:p>
        </w:tc>
        <w:tc>
          <w:tcPr>
            <w:tcW w:type="dxa" w:w="5112"/>
            <w:vAlign w:val="top"/>
          </w:tcPr>
          <w:p>
            <w:r/>
            <w:r>
              <w:rPr>
                <w:rFonts w:ascii="Aptos" w:hAnsi="Aptos"/>
                <w:b w:val="0"/>
                <w:sz w:val="16"/>
              </w:rPr>
              <w:t>Adaptive Triage</w:t>
            </w:r>
          </w:p>
        </w:tc>
      </w:tr>
      <w:tr>
        <w:tc>
          <w:tcPr>
            <w:tcW w:type="dxa" w:w="5112"/>
            <w:vAlign w:val="top"/>
          </w:tcPr>
          <w:p>
            <w:r/>
            <w:r>
              <w:rPr>
                <w:rFonts w:ascii="Aptos" w:hAnsi="Aptos"/>
                <w:b w:val="0"/>
                <w:sz w:val="16"/>
              </w:rPr>
              <w:t>OneTrust Assessment</w:t>
            </w:r>
          </w:p>
        </w:tc>
        <w:tc>
          <w:tcPr>
            <w:tcW w:type="dxa" w:w="5112"/>
            <w:vAlign w:val="top"/>
          </w:tcPr>
          <w:p>
            <w:r/>
            <w:r>
              <w:rPr>
                <w:rFonts w:ascii="Aptos" w:hAnsi="Aptos"/>
                <w:b w:val="0"/>
                <w:sz w:val="16"/>
              </w:rPr>
              <w:t>[TBC - insert OneTrust Assessment ID once created/confirmed.]</w:t>
            </w:r>
          </w:p>
        </w:tc>
      </w:tr>
      <w:tr>
        <w:tc>
          <w:tcPr>
            <w:tcW w:type="dxa" w:w="5112"/>
            <w:vAlign w:val="top"/>
          </w:tcPr>
          <w:p>
            <w:r/>
            <w:r>
              <w:rPr>
                <w:rFonts w:ascii="Aptos" w:hAnsi="Aptos"/>
                <w:b w:val="0"/>
                <w:sz w:val="16"/>
              </w:rPr>
              <w:t>Risk Tier</w:t>
            </w:r>
          </w:p>
        </w:tc>
        <w:tc>
          <w:tcPr>
            <w:tcW w:type="dxa" w:w="5112"/>
            <w:vAlign w:val="top"/>
          </w:tcPr>
          <w:p>
            <w:r/>
            <w:r>
              <w:rPr>
                <w:rFonts w:ascii="Aptos" w:hAnsi="Aptos"/>
                <w:b w:val="0"/>
                <w:sz w:val="16"/>
              </w:rPr>
              <w:t>Tier 3 - High (working assumption pending formal AI Intake Assessment / AI Governance Forum classification).</w:t>
            </w:r>
          </w:p>
        </w:tc>
      </w:tr>
      <w:tr>
        <w:tc>
          <w:tcPr>
            <w:tcW w:type="dxa" w:w="5112"/>
            <w:vAlign w:val="top"/>
          </w:tcPr>
          <w:p>
            <w:r/>
            <w:r>
              <w:rPr>
                <w:rFonts w:ascii="Aptos" w:hAnsi="Aptos"/>
                <w:b w:val="0"/>
                <w:sz w:val="16"/>
              </w:rPr>
              <w:t>Customer (if applicable)</w:t>
            </w:r>
          </w:p>
        </w:tc>
        <w:tc>
          <w:tcPr>
            <w:tcW w:type="dxa" w:w="5112"/>
            <w:vAlign w:val="top"/>
          </w:tcPr>
          <w:p>
            <w:r/>
            <w:r>
              <w:rPr>
                <w:rFonts w:ascii="Aptos" w:hAnsi="Aptos"/>
                <w:b w:val="0"/>
                <w:sz w:val="16"/>
              </w:rPr>
              <w:t>NHS England</w:t>
            </w:r>
          </w:p>
        </w:tc>
      </w:tr>
      <w:tr>
        <w:tc>
          <w:tcPr>
            <w:tcW w:type="dxa" w:w="5112"/>
            <w:vAlign w:val="top"/>
          </w:tcPr>
          <w:p>
            <w:r/>
            <w:r>
              <w:rPr>
                <w:rFonts w:ascii="Aptos" w:hAnsi="Aptos"/>
                <w:b w:val="0"/>
                <w:sz w:val="16"/>
              </w:rPr>
              <w:t>Data Governance Role</w:t>
            </w:r>
          </w:p>
        </w:tc>
        <w:tc>
          <w:tcPr>
            <w:tcW w:type="dxa" w:w="5112"/>
            <w:vAlign w:val="top"/>
          </w:tcPr>
          <w:p>
            <w:r/>
            <w:r>
              <w:rPr>
                <w:rFonts w:ascii="Aptos" w:hAnsi="Aptos"/>
                <w:b w:val="0"/>
                <w:sz w:val="16"/>
              </w:rPr>
              <w:t>Processor - proposed working position for Kainos delivery on behalf of NHS England. [TBC - confirm through IG/contractual governance.]</w:t>
            </w:r>
          </w:p>
        </w:tc>
      </w:tr>
      <w:tr>
        <w:tc>
          <w:tcPr>
            <w:tcW w:type="dxa" w:w="5112"/>
            <w:vAlign w:val="top"/>
          </w:tcPr>
          <w:p>
            <w:r/>
            <w:r>
              <w:rPr>
                <w:rFonts w:ascii="Aptos" w:hAnsi="Aptos"/>
                <w:b w:val="0"/>
                <w:sz w:val="16"/>
              </w:rPr>
              <w:t>Data Controller</w:t>
            </w:r>
          </w:p>
        </w:tc>
        <w:tc>
          <w:tcPr>
            <w:tcW w:type="dxa" w:w="5112"/>
            <w:vAlign w:val="top"/>
          </w:tcPr>
          <w:p>
            <w:r/>
            <w:r>
              <w:rPr>
                <w:rFonts w:ascii="Aptos" w:hAnsi="Aptos"/>
                <w:b w:val="0"/>
                <w:sz w:val="16"/>
              </w:rPr>
              <w:t>NHS England, subject to confirmation through the DPIA/Data Management Record and contractual arrangements.</w:t>
            </w:r>
          </w:p>
        </w:tc>
      </w:tr>
      <w:tr>
        <w:tc>
          <w:tcPr>
            <w:tcW w:type="dxa" w:w="5112"/>
            <w:vAlign w:val="top"/>
          </w:tcPr>
          <w:p>
            <w:r/>
            <w:r>
              <w:rPr>
                <w:rFonts w:ascii="Aptos" w:hAnsi="Aptos"/>
                <w:b w:val="0"/>
                <w:sz w:val="16"/>
              </w:rPr>
              <w:t>Monitoring Owner</w:t>
            </w:r>
          </w:p>
        </w:tc>
        <w:tc>
          <w:tcPr>
            <w:tcW w:type="dxa" w:w="5112"/>
            <w:vAlign w:val="top"/>
          </w:tcPr>
          <w:p>
            <w:r/>
            <w:r>
              <w:rPr>
                <w:rFonts w:ascii="Aptos" w:hAnsi="Aptos"/>
                <w:b w:val="0"/>
                <w:sz w:val="16"/>
              </w:rPr>
              <w:t>Shared - Kainos is expected to implement/operate technical and model monitoring within the delivered service, with NHS England retaining customer and clinical governance accountability. [TBC - confirm final operating model.]</w:t>
            </w:r>
          </w:p>
        </w:tc>
      </w:tr>
      <w:tr>
        <w:tc>
          <w:tcPr>
            <w:tcW w:type="dxa" w:w="5112"/>
            <w:vAlign w:val="top"/>
          </w:tcPr>
          <w:p>
            <w:r/>
            <w:r>
              <w:rPr>
                <w:rFonts w:ascii="Aptos" w:hAnsi="Aptos"/>
                <w:b w:val="0"/>
                <w:sz w:val="16"/>
              </w:rPr>
              <w:t>Accountable Owner</w:t>
            </w:r>
          </w:p>
        </w:tc>
        <w:tc>
          <w:tcPr>
            <w:tcW w:type="dxa" w:w="5112"/>
            <w:vAlign w:val="top"/>
          </w:tcPr>
          <w:p>
            <w:r/>
            <w:r>
              <w:rPr>
                <w:rFonts w:ascii="Aptos" w:hAnsi="Aptos"/>
                <w:b w:val="0"/>
                <w:sz w:val="16"/>
              </w:rPr>
              <w:t>[TBC - insert named Accountable Owner and role.]</w:t>
            </w:r>
          </w:p>
        </w:tc>
      </w:tr>
      <w:tr>
        <w:tc>
          <w:tcPr>
            <w:tcW w:type="dxa" w:w="5112"/>
            <w:vAlign w:val="top"/>
          </w:tcPr>
          <w:p>
            <w:r/>
            <w:r>
              <w:rPr>
                <w:rFonts w:ascii="Aptos" w:hAnsi="Aptos"/>
                <w:b w:val="0"/>
                <w:sz w:val="16"/>
              </w:rPr>
              <w:t>Approver</w:t>
            </w:r>
          </w:p>
        </w:tc>
        <w:tc>
          <w:tcPr>
            <w:tcW w:type="dxa" w:w="5112"/>
            <w:vAlign w:val="top"/>
          </w:tcPr>
          <w:p>
            <w:r/>
            <w:r>
              <w:rPr>
                <w:rFonts w:ascii="Aptos" w:hAnsi="Aptos"/>
                <w:b w:val="0"/>
                <w:sz w:val="16"/>
              </w:rPr>
              <w:t>[TBC - insert named Approver and role. For Tier 3, this must not be the Accountable Owner.]</w:t>
            </w:r>
          </w:p>
        </w:tc>
      </w:tr>
      <w:tr>
        <w:tc>
          <w:tcPr>
            <w:tcW w:type="dxa" w:w="5112"/>
            <w:vAlign w:val="top"/>
          </w:tcPr>
          <w:p>
            <w:r/>
            <w:r>
              <w:rPr>
                <w:rFonts w:ascii="Aptos" w:hAnsi="Aptos"/>
                <w:b w:val="0"/>
                <w:sz w:val="16"/>
              </w:rPr>
              <w:t>Reviewer(s)</w:t>
            </w:r>
          </w:p>
        </w:tc>
        <w:tc>
          <w:tcPr>
            <w:tcW w:type="dxa" w:w="5112"/>
            <w:vAlign w:val="top"/>
          </w:tcPr>
          <w:p>
            <w:r/>
            <w:r>
              <w:rPr>
                <w:rFonts w:ascii="Aptos" w:hAnsi="Aptos"/>
                <w:b w:val="0"/>
                <w:sz w:val="16"/>
              </w:rPr>
              <w:t>Security; Data/AI Ethics; Quality Assurance; Clinical Safety; Information Governance/Data Protection; Legal/Compliance; relevant clinical reviewers.</w:t>
            </w:r>
          </w:p>
        </w:tc>
      </w:tr>
      <w:tr>
        <w:tc>
          <w:tcPr>
            <w:tcW w:type="dxa" w:w="5112"/>
            <w:vAlign w:val="top"/>
          </w:tcPr>
          <w:p>
            <w:r/>
            <w:r>
              <w:rPr>
                <w:rFonts w:ascii="Aptos" w:hAnsi="Aptos"/>
                <w:b w:val="0"/>
                <w:sz w:val="16"/>
              </w:rPr>
              <w:t>Lifecycle Stage</w:t>
            </w:r>
          </w:p>
        </w:tc>
        <w:tc>
          <w:tcPr>
            <w:tcW w:type="dxa" w:w="5112"/>
            <w:vAlign w:val="top"/>
          </w:tcPr>
          <w:p>
            <w:r/>
            <w:r>
              <w:rPr>
                <w:rFonts w:ascii="Aptos" w:hAnsi="Aptos"/>
                <w:b w:val="0"/>
                <w:sz w:val="16"/>
              </w:rPr>
              <w:t>Develop - Alpha progressing towards Beta, with design, implementation, evaluation and assurance activities underway.</w:t>
            </w:r>
          </w:p>
        </w:tc>
      </w:tr>
      <w:tr>
        <w:tc>
          <w:tcPr>
            <w:tcW w:type="dxa" w:w="5112"/>
            <w:vAlign w:val="top"/>
          </w:tcPr>
          <w:p>
            <w:r/>
            <w:r>
              <w:rPr>
                <w:rFonts w:ascii="Aptos" w:hAnsi="Aptos"/>
                <w:b w:val="0"/>
                <w:sz w:val="16"/>
              </w:rPr>
              <w:t>Version</w:t>
            </w:r>
          </w:p>
        </w:tc>
        <w:tc>
          <w:tcPr>
            <w:tcW w:type="dxa" w:w="5112"/>
            <w:vAlign w:val="top"/>
          </w:tcPr>
          <w:p>
            <w:r/>
            <w:r>
              <w:rPr>
                <w:rFonts w:ascii="Aptos" w:hAnsi="Aptos"/>
                <w:b w:val="0"/>
                <w:sz w:val="16"/>
              </w:rPr>
              <w:t>0.1</w:t>
            </w:r>
          </w:p>
        </w:tc>
      </w:tr>
      <w:tr>
        <w:tc>
          <w:tcPr>
            <w:tcW w:type="dxa" w:w="5112"/>
            <w:vAlign w:val="top"/>
          </w:tcPr>
          <w:p>
            <w:r/>
            <w:r>
              <w:rPr>
                <w:rFonts w:ascii="Aptos" w:hAnsi="Aptos"/>
                <w:b w:val="0"/>
                <w:sz w:val="16"/>
              </w:rPr>
              <w:t>Date</w:t>
            </w:r>
          </w:p>
        </w:tc>
        <w:tc>
          <w:tcPr>
            <w:tcW w:type="dxa" w:w="5112"/>
            <w:vAlign w:val="top"/>
          </w:tcPr>
          <w:p>
            <w:r/>
            <w:r>
              <w:rPr>
                <w:rFonts w:ascii="Aptos" w:hAnsi="Aptos"/>
                <w:b w:val="0"/>
                <w:sz w:val="16"/>
              </w:rPr>
              <w:t>06.09.2026</w:t>
            </w:r>
          </w:p>
        </w:tc>
      </w:tr>
      <w:tr>
        <w:tc>
          <w:tcPr>
            <w:tcW w:type="dxa" w:w="5112"/>
            <w:vAlign w:val="top"/>
          </w:tcPr>
          <w:p>
            <w:r/>
            <w:r>
              <w:rPr>
                <w:rFonts w:ascii="Aptos" w:hAnsi="Aptos"/>
                <w:b w:val="0"/>
                <w:sz w:val="16"/>
              </w:rPr>
              <w:t>Status</w:t>
            </w:r>
          </w:p>
        </w:tc>
        <w:tc>
          <w:tcPr>
            <w:tcW w:type="dxa" w:w="5112"/>
            <w:vAlign w:val="top"/>
          </w:tcPr>
          <w:p>
            <w:r/>
            <w:r>
              <w:rPr>
                <w:rFonts w:ascii="Aptos" w:hAnsi="Aptos"/>
                <w:b w:val="0"/>
                <w:sz w:val="16"/>
              </w:rPr>
              <w:t>Draft</w:t>
            </w:r>
          </w:p>
        </w:tc>
      </w:tr>
    </w:tbl>
    <w:p/>
    <w:p>
      <w:pPr>
        <w:pStyle w:val="Heading2"/>
      </w:pPr>
      <w:r>
        <w:t>1.2 Summary</w:t>
      </w:r>
    </w:p>
    <w:p>
      <w:pPr>
        <w:pStyle w:val="Question"/>
        <w:spacing w:before="100" w:after="40"/>
      </w:pPr>
      <w:r>
        <w:t>The problem the system addresses and why AI is appropriate.</w:t>
      </w:r>
    </w:p>
    <w:p>
      <w:pPr>
        <w:pStyle w:val="Answer"/>
        <w:spacing w:after="120"/>
      </w:pPr>
      <w:r>
        <w:t>Adaptive Triage addresses the limitations of relying only on fixed deterministic question flows when people present with multiple symptoms, interacting risk factors or evidence that should change the relevance and ordering of subsequent questions. A probabilistic AI approach is appropriate because the problem requires reasoning under uncertainty and updating the assessment as new evidence is supplied. The selected runtime approach uses clinically governed Bayesian Networks rather than a general-purpose generative model, enabling transparent probability updates, adaptive question selection, reproducible behaviour and clinical inspection of model structure and conditional probabilities.</w:t>
      </w:r>
    </w:p>
    <w:p>
      <w:pPr>
        <w:pStyle w:val="Question"/>
        <w:spacing w:before="100" w:after="40"/>
      </w:pPr>
      <w:r>
        <w:t>The people and groups it could affect, including vulnerable groups.</w:t>
      </w:r>
    </w:p>
    <w:p>
      <w:pPr>
        <w:pStyle w:val="Answer"/>
        <w:spacing w:after="120"/>
      </w:pPr>
      <w:r>
        <w:t>The system could directly or indirectly affect patients and members of the public using NHS digital urgent and emergency care, including children, older people, people with disabilities, people with limited health or digital literacy, people whose first language is not English, and people presenting with urgent or high-risk conditions. It also affects clinicians, clinical authors, service operators, call/contact-centre or digital-channel teams, downstream care services, and NHS England as the accountable service organisation. Because the system contributes to triage decisions for patients, vulnerable groups are explicitly in scope.</w:t>
      </w:r>
    </w:p>
    <w:p>
      <w:pPr>
        <w:pStyle w:val="Question"/>
        <w:spacing w:before="100" w:after="40"/>
      </w:pPr>
      <w:r>
        <w:t>The agreed risk tier and how it was determined.</w:t>
      </w:r>
    </w:p>
    <w:p>
      <w:pPr>
        <w:pStyle w:val="Answer"/>
        <w:spacing w:after="120"/>
      </w:pPr>
      <w:r>
        <w:t>The current working classification is Tier 3 - High. This is based on the system being a regulated/high-stakes clinical decision-support/triage capability, operating in a healthcare context, affecting patients including vulnerable users, and producing outputs that can influence onward care pathways. Formal classification must still be confirmed through the Kainos AI Intake Assessment and AI Governance Forum.</w:t>
      </w:r>
    </w:p>
    <w:p>
      <w:pPr>
        <w:pStyle w:val="Question"/>
        <w:spacing w:before="100" w:after="40"/>
      </w:pPr>
      <w:r>
        <w:t>The AI-specific risks, their treatments, and accepted residual risk.</w:t>
      </w:r>
    </w:p>
    <w:p>
      <w:pPr>
        <w:pStyle w:val="Answer"/>
        <w:spacing w:after="120"/>
      </w:pPr>
      <w:r>
        <w:t>The principal AI-specific risks are bias or unequal performance, incorrect probabilistic inference or unsafe model content, privacy/data leakage, malicious or malformed input, drift, third-party AI/platform dependency, use outside intended scope, automation bias/over-trust, incorrect Bayesian Network structure or CPTs, unsafe threshold/guardrail configuration, federated-model orchestration errors, and inaccurate build-time LLM outputs. Treatments include controlled data and model provenance, clinician-in-the-loop review, formal V&amp;V, subgroup/fairness testing, access controls/encryption, input validation, adversarial testing, drift monitoring, version-controlled safety configuration, centralised governance, immutable release artefacts, auditability and rollback. Residual risk is not yet formally accepted and must be approved before deployment.</w:t>
      </w:r>
    </w:p>
    <w:p>
      <w:pPr>
        <w:pStyle w:val="Question"/>
        <w:spacing w:before="100" w:after="40"/>
      </w:pPr>
      <w:r>
        <w:t>The approver(s) and the basis for residual risk acceptance.</w:t>
      </w:r>
    </w:p>
    <w:p>
      <w:pPr>
        <w:pStyle w:val="Answer"/>
        <w:spacing w:after="120"/>
      </w:pPr>
      <w:r>
        <w:t>The formal Approver is TBC and, for Tier 3, must be independent from the Accountable Owner. Acceptance should only occur after the agreed clinical-safety, model-performance, fairness, robustness, security and operational acceptance criteria have been met; the independent review has been completed; material hazards have suitable controls; residual risks are documented; and monitoring, incident response and rollback arrangements are in place.</w:t>
      </w:r>
    </w:p>
    <w:p>
      <w:pPr>
        <w:pStyle w:val="Question"/>
        <w:spacing w:before="100" w:after="40"/>
      </w:pPr>
      <w:r>
        <w:t>The review schedule and triggers for reassessment.</w:t>
      </w:r>
    </w:p>
    <w:p>
      <w:pPr>
        <w:pStyle w:val="Answer"/>
        <w:spacing w:after="120"/>
      </w:pPr>
      <w:r>
        <w:t>The assessment should be reviewed at least annually and more frequently for a Tier 3 clinical system where appropriate. It must also be reassessed before any material change to the model, data, intended use, safety thresholds/guardrails, federated topology, underlying third-party AI/model service, supplier or deployment context; after any AI/clinical safety incident or near-miss; and when relevant regulation, clinical guidance or material evidence changes.</w:t>
      </w:r>
    </w:p>
    <w:p>
      <w:pPr>
        <w:pStyle w:val="Heading1"/>
      </w:pPr>
      <w:r>
        <w:t>2. Stakeholders and Impact Groups (C1)</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D3"/>
          </w:tcPr>
          <w:p>
            <w:r/>
            <w:r>
              <w:rPr>
                <w:rFonts w:ascii="Aptos" w:hAnsi="Aptos"/>
                <w:b/>
                <w:sz w:val="13"/>
              </w:rPr>
              <w:t>Stakeholder / group</w:t>
            </w:r>
          </w:p>
        </w:tc>
        <w:tc>
          <w:tcPr>
            <w:tcW w:type="dxa" w:w="2556"/>
            <w:vAlign w:val="top"/>
            <w:shd w:fill="D9EAD3"/>
          </w:tcPr>
          <w:p>
            <w:r/>
            <w:r>
              <w:rPr>
                <w:rFonts w:ascii="Aptos" w:hAnsi="Aptos"/>
                <w:b/>
                <w:sz w:val="13"/>
              </w:rPr>
              <w:t>Relationship to system</w:t>
            </w:r>
          </w:p>
        </w:tc>
        <w:tc>
          <w:tcPr>
            <w:tcW w:type="dxa" w:w="2556"/>
            <w:vAlign w:val="top"/>
            <w:shd w:fill="D9EAD3"/>
          </w:tcPr>
          <w:p>
            <w:r/>
            <w:r>
              <w:rPr>
                <w:rFonts w:ascii="Aptos" w:hAnsi="Aptos"/>
                <w:b/>
                <w:sz w:val="13"/>
              </w:rPr>
              <w:t>Potential impact</w:t>
            </w:r>
          </w:p>
        </w:tc>
        <w:tc>
          <w:tcPr>
            <w:tcW w:type="dxa" w:w="2556"/>
            <w:vAlign w:val="top"/>
            <w:shd w:fill="D9EAD3"/>
          </w:tcPr>
          <w:p>
            <w:r/>
            <w:r>
              <w:rPr>
                <w:rFonts w:ascii="Aptos" w:hAnsi="Aptos"/>
                <w:b/>
                <w:sz w:val="13"/>
              </w:rPr>
              <w:t>Vulnerable group?</w:t>
            </w:r>
          </w:p>
        </w:tc>
      </w:tr>
      <w:tr>
        <w:tc>
          <w:tcPr>
            <w:tcW w:type="dxa" w:w="2556"/>
            <w:vAlign w:val="top"/>
          </w:tcPr>
          <w:p>
            <w:r/>
            <w:r>
              <w:rPr>
                <w:rFonts w:ascii="Aptos" w:hAnsi="Aptos"/>
                <w:b w:val="0"/>
                <w:sz w:val="13"/>
              </w:rPr>
              <w:t>Patients / members of the public using approved NHS digital triage channels</w:t>
            </w:r>
          </w:p>
        </w:tc>
        <w:tc>
          <w:tcPr>
            <w:tcW w:type="dxa" w:w="2556"/>
            <w:vAlign w:val="top"/>
          </w:tcPr>
          <w:p>
            <w:r/>
            <w:r>
              <w:rPr>
                <w:rFonts w:ascii="Aptos" w:hAnsi="Aptos"/>
                <w:b w:val="0"/>
                <w:sz w:val="13"/>
              </w:rPr>
              <w:t>Directly affected by assessment and triage output</w:t>
            </w:r>
          </w:p>
        </w:tc>
        <w:tc>
          <w:tcPr>
            <w:tcW w:type="dxa" w:w="2556"/>
            <w:vAlign w:val="top"/>
          </w:tcPr>
          <w:p>
            <w:r/>
            <w:r>
              <w:rPr>
                <w:rFonts w:ascii="Aptos" w:hAnsi="Aptos"/>
                <w:b w:val="0"/>
                <w:sz w:val="13"/>
              </w:rPr>
              <w:t>Potential benefit: more adaptive questioning, reduced unnecessary assessment burden and improved service matching. Potential harm: incorrect or delayed triage, inappropriate reassurance/escalation, reduced confidence or unequal performance across groups.</w:t>
            </w:r>
          </w:p>
        </w:tc>
        <w:tc>
          <w:tcPr>
            <w:tcW w:type="dxa" w:w="2556"/>
            <w:vAlign w:val="top"/>
          </w:tcPr>
          <w:p>
            <w:r/>
            <w:r>
              <w:rPr>
                <w:rFonts w:ascii="Aptos" w:hAnsi="Aptos"/>
                <w:b w:val="0"/>
                <w:sz w:val="13"/>
              </w:rPr>
              <w:t>Yes</w:t>
            </w:r>
          </w:p>
        </w:tc>
      </w:tr>
      <w:tr>
        <w:tc>
          <w:tcPr>
            <w:tcW w:type="dxa" w:w="2556"/>
            <w:vAlign w:val="top"/>
          </w:tcPr>
          <w:p>
            <w:r/>
            <w:r>
              <w:rPr>
                <w:rFonts w:ascii="Aptos" w:hAnsi="Aptos"/>
                <w:b w:val="0"/>
                <w:sz w:val="13"/>
              </w:rPr>
              <w:t>Children and young people</w:t>
            </w:r>
          </w:p>
        </w:tc>
        <w:tc>
          <w:tcPr>
            <w:tcW w:type="dxa" w:w="2556"/>
            <w:vAlign w:val="top"/>
          </w:tcPr>
          <w:p>
            <w:r/>
            <w:r>
              <w:rPr>
                <w:rFonts w:ascii="Aptos" w:hAnsi="Aptos"/>
                <w:b w:val="0"/>
                <w:sz w:val="13"/>
              </w:rPr>
              <w:t>Direct or proxy-assisted use depending on channel</w:t>
            </w:r>
          </w:p>
        </w:tc>
        <w:tc>
          <w:tcPr>
            <w:tcW w:type="dxa" w:w="2556"/>
            <w:vAlign w:val="top"/>
          </w:tcPr>
          <w:p>
            <w:r/>
            <w:r>
              <w:rPr>
                <w:rFonts w:ascii="Aptos" w:hAnsi="Aptos"/>
                <w:b w:val="0"/>
                <w:sz w:val="13"/>
              </w:rPr>
              <w:t>Potential benefit/harm as above, with increased sensitivity because of age-specific presentation, safeguarding and reliance on a parent/carer to provide evidence.</w:t>
            </w:r>
          </w:p>
        </w:tc>
        <w:tc>
          <w:tcPr>
            <w:tcW w:type="dxa" w:w="2556"/>
            <w:vAlign w:val="top"/>
          </w:tcPr>
          <w:p>
            <w:r/>
            <w:r>
              <w:rPr>
                <w:rFonts w:ascii="Aptos" w:hAnsi="Aptos"/>
                <w:b w:val="0"/>
                <w:sz w:val="13"/>
              </w:rPr>
              <w:t>Yes</w:t>
            </w:r>
          </w:p>
        </w:tc>
      </w:tr>
      <w:tr>
        <w:tc>
          <w:tcPr>
            <w:tcW w:type="dxa" w:w="2556"/>
            <w:vAlign w:val="top"/>
          </w:tcPr>
          <w:p>
            <w:r/>
            <w:r>
              <w:rPr>
                <w:rFonts w:ascii="Aptos" w:hAnsi="Aptos"/>
                <w:b w:val="0"/>
                <w:sz w:val="13"/>
              </w:rPr>
              <w:t>Older people and people with frailty/comorbidities</w:t>
            </w:r>
          </w:p>
        </w:tc>
        <w:tc>
          <w:tcPr>
            <w:tcW w:type="dxa" w:w="2556"/>
            <w:vAlign w:val="top"/>
          </w:tcPr>
          <w:p>
            <w:r/>
            <w:r>
              <w:rPr>
                <w:rFonts w:ascii="Aptos" w:hAnsi="Aptos"/>
                <w:b w:val="0"/>
                <w:sz w:val="13"/>
              </w:rPr>
              <w:t>Direct use / affected by outputs</w:t>
            </w:r>
          </w:p>
        </w:tc>
        <w:tc>
          <w:tcPr>
            <w:tcW w:type="dxa" w:w="2556"/>
            <w:vAlign w:val="top"/>
          </w:tcPr>
          <w:p>
            <w:r/>
            <w:r>
              <w:rPr>
                <w:rFonts w:ascii="Aptos" w:hAnsi="Aptos"/>
                <w:b w:val="0"/>
                <w:sz w:val="13"/>
              </w:rPr>
              <w:t>Potential benefit from reasoning across multiple risk factors; potential harm if complex presentations or atypical symptoms are under-represented.</w:t>
            </w:r>
          </w:p>
        </w:tc>
        <w:tc>
          <w:tcPr>
            <w:tcW w:type="dxa" w:w="2556"/>
            <w:vAlign w:val="top"/>
          </w:tcPr>
          <w:p>
            <w:r/>
            <w:r>
              <w:rPr>
                <w:rFonts w:ascii="Aptos" w:hAnsi="Aptos"/>
                <w:b w:val="0"/>
                <w:sz w:val="13"/>
              </w:rPr>
              <w:t>Yes</w:t>
            </w:r>
          </w:p>
        </w:tc>
      </w:tr>
      <w:tr>
        <w:tc>
          <w:tcPr>
            <w:tcW w:type="dxa" w:w="2556"/>
            <w:vAlign w:val="top"/>
          </w:tcPr>
          <w:p>
            <w:r/>
            <w:r>
              <w:rPr>
                <w:rFonts w:ascii="Aptos" w:hAnsi="Aptos"/>
                <w:b w:val="0"/>
                <w:sz w:val="13"/>
              </w:rPr>
              <w:t>People with disabilities, accessibility needs or neurodivergence</w:t>
            </w:r>
          </w:p>
        </w:tc>
        <w:tc>
          <w:tcPr>
            <w:tcW w:type="dxa" w:w="2556"/>
            <w:vAlign w:val="top"/>
          </w:tcPr>
          <w:p>
            <w:r/>
            <w:r>
              <w:rPr>
                <w:rFonts w:ascii="Aptos" w:hAnsi="Aptos"/>
                <w:b w:val="0"/>
                <w:sz w:val="13"/>
              </w:rPr>
              <w:t>Direct use / interaction with consuming channel</w:t>
            </w:r>
          </w:p>
        </w:tc>
        <w:tc>
          <w:tcPr>
            <w:tcW w:type="dxa" w:w="2556"/>
            <w:vAlign w:val="top"/>
          </w:tcPr>
          <w:p>
            <w:r/>
            <w:r>
              <w:rPr>
                <w:rFonts w:ascii="Aptos" w:hAnsi="Aptos"/>
                <w:b w:val="0"/>
                <w:sz w:val="13"/>
              </w:rPr>
              <w:t>Potential benefit if question burden is reduced; potential harm through inaccessible channel design, misunderstood questions or unequal model performance.</w:t>
            </w:r>
          </w:p>
        </w:tc>
        <w:tc>
          <w:tcPr>
            <w:tcW w:type="dxa" w:w="2556"/>
            <w:vAlign w:val="top"/>
          </w:tcPr>
          <w:p>
            <w:r/>
            <w:r>
              <w:rPr>
                <w:rFonts w:ascii="Aptos" w:hAnsi="Aptos"/>
                <w:b w:val="0"/>
                <w:sz w:val="13"/>
              </w:rPr>
              <w:t>Yes</w:t>
            </w:r>
          </w:p>
        </w:tc>
      </w:tr>
      <w:tr>
        <w:tc>
          <w:tcPr>
            <w:tcW w:type="dxa" w:w="2556"/>
            <w:vAlign w:val="top"/>
          </w:tcPr>
          <w:p>
            <w:r/>
            <w:r>
              <w:rPr>
                <w:rFonts w:ascii="Aptos" w:hAnsi="Aptos"/>
                <w:b w:val="0"/>
                <w:sz w:val="13"/>
              </w:rPr>
              <w:t>People with limited English proficiency, low literacy or low digital/health literacy</w:t>
            </w:r>
          </w:p>
        </w:tc>
        <w:tc>
          <w:tcPr>
            <w:tcW w:type="dxa" w:w="2556"/>
            <w:vAlign w:val="top"/>
          </w:tcPr>
          <w:p>
            <w:r/>
            <w:r>
              <w:rPr>
                <w:rFonts w:ascii="Aptos" w:hAnsi="Aptos"/>
                <w:b w:val="0"/>
                <w:sz w:val="13"/>
              </w:rPr>
              <w:t>Direct use / interaction via channel</w:t>
            </w:r>
          </w:p>
        </w:tc>
        <w:tc>
          <w:tcPr>
            <w:tcW w:type="dxa" w:w="2556"/>
            <w:vAlign w:val="top"/>
          </w:tcPr>
          <w:p>
            <w:r/>
            <w:r>
              <w:rPr>
                <w:rFonts w:ascii="Aptos" w:hAnsi="Aptos"/>
                <w:b w:val="0"/>
                <w:sz w:val="13"/>
              </w:rPr>
              <w:t>Potential risk of misunderstanding evidence questions or outputs, producing poorer input quality or unequal access to benefit.</w:t>
            </w:r>
          </w:p>
        </w:tc>
        <w:tc>
          <w:tcPr>
            <w:tcW w:type="dxa" w:w="2556"/>
            <w:vAlign w:val="top"/>
          </w:tcPr>
          <w:p>
            <w:r/>
            <w:r>
              <w:rPr>
                <w:rFonts w:ascii="Aptos" w:hAnsi="Aptos"/>
                <w:b w:val="0"/>
                <w:sz w:val="13"/>
              </w:rPr>
              <w:t>Yes</w:t>
            </w:r>
          </w:p>
        </w:tc>
      </w:tr>
      <w:tr>
        <w:tc>
          <w:tcPr>
            <w:tcW w:type="dxa" w:w="2556"/>
            <w:vAlign w:val="top"/>
          </w:tcPr>
          <w:p>
            <w:r/>
            <w:r>
              <w:rPr>
                <w:rFonts w:ascii="Aptos" w:hAnsi="Aptos"/>
                <w:b w:val="0"/>
                <w:sz w:val="13"/>
              </w:rPr>
              <w:t>People with urgent/high-risk clinical presentations</w:t>
            </w:r>
          </w:p>
        </w:tc>
        <w:tc>
          <w:tcPr>
            <w:tcW w:type="dxa" w:w="2556"/>
            <w:vAlign w:val="top"/>
          </w:tcPr>
          <w:p>
            <w:r/>
            <w:r>
              <w:rPr>
                <w:rFonts w:ascii="Aptos" w:hAnsi="Aptos"/>
                <w:b w:val="0"/>
                <w:sz w:val="13"/>
              </w:rPr>
              <w:t>Direct use / affected by triage decision</w:t>
            </w:r>
          </w:p>
        </w:tc>
        <w:tc>
          <w:tcPr>
            <w:tcW w:type="dxa" w:w="2556"/>
            <w:vAlign w:val="top"/>
          </w:tcPr>
          <w:p>
            <w:r/>
            <w:r>
              <w:rPr>
                <w:rFonts w:ascii="Aptos" w:hAnsi="Aptos"/>
                <w:b w:val="0"/>
                <w:sz w:val="13"/>
              </w:rPr>
              <w:t>Potentially high consequence if the system fails to recognise or escalate a time-critical presentation; benefit if high-risk evidence is identified earlier.</w:t>
            </w:r>
          </w:p>
        </w:tc>
        <w:tc>
          <w:tcPr>
            <w:tcW w:type="dxa" w:w="2556"/>
            <w:vAlign w:val="top"/>
          </w:tcPr>
          <w:p>
            <w:r/>
            <w:r>
              <w:rPr>
                <w:rFonts w:ascii="Aptos" w:hAnsi="Aptos"/>
                <w:b w:val="0"/>
                <w:sz w:val="13"/>
              </w:rPr>
              <w:t>Yes</w:t>
            </w:r>
          </w:p>
        </w:tc>
      </w:tr>
      <w:tr>
        <w:tc>
          <w:tcPr>
            <w:tcW w:type="dxa" w:w="2556"/>
            <w:vAlign w:val="top"/>
          </w:tcPr>
          <w:p>
            <w:r/>
            <w:r>
              <w:rPr>
                <w:rFonts w:ascii="Aptos" w:hAnsi="Aptos"/>
                <w:b w:val="0"/>
                <w:sz w:val="13"/>
              </w:rPr>
              <w:t>Data subjects represented in model-development/evaluation datasets</w:t>
            </w:r>
          </w:p>
        </w:tc>
        <w:tc>
          <w:tcPr>
            <w:tcW w:type="dxa" w:w="2556"/>
            <w:vAlign w:val="top"/>
          </w:tcPr>
          <w:p>
            <w:r/>
            <w:r>
              <w:rPr>
                <w:rFonts w:ascii="Aptos" w:hAnsi="Aptos"/>
                <w:b w:val="0"/>
                <w:sz w:val="13"/>
              </w:rPr>
              <w:t>Indirect via governed data use</w:t>
            </w:r>
          </w:p>
        </w:tc>
        <w:tc>
          <w:tcPr>
            <w:tcW w:type="dxa" w:w="2556"/>
            <w:vAlign w:val="top"/>
          </w:tcPr>
          <w:p>
            <w:r/>
            <w:r>
              <w:rPr>
                <w:rFonts w:ascii="Aptos" w:hAnsi="Aptos"/>
                <w:b w:val="0"/>
                <w:sz w:val="13"/>
              </w:rPr>
              <w:t>Potential privacy/re-identification or representativeness risk; potential benefit through improved calibration and safer model performance.</w:t>
            </w:r>
          </w:p>
        </w:tc>
        <w:tc>
          <w:tcPr>
            <w:tcW w:type="dxa" w:w="2556"/>
            <w:vAlign w:val="top"/>
          </w:tcPr>
          <w:p>
            <w:r/>
            <w:r>
              <w:rPr>
                <w:rFonts w:ascii="Aptos" w:hAnsi="Aptos"/>
                <w:b w:val="0"/>
                <w:sz w:val="13"/>
              </w:rPr>
              <w:t>Yes</w:t>
            </w:r>
          </w:p>
        </w:tc>
      </w:tr>
      <w:tr>
        <w:tc>
          <w:tcPr>
            <w:tcW w:type="dxa" w:w="2556"/>
            <w:vAlign w:val="top"/>
          </w:tcPr>
          <w:p>
            <w:r/>
            <w:r>
              <w:rPr>
                <w:rFonts w:ascii="Aptos" w:hAnsi="Aptos"/>
                <w:b w:val="0"/>
                <w:sz w:val="13"/>
              </w:rPr>
              <w:t>Clinicians / clinical reviewers / Clinical Safety Officer</w:t>
            </w:r>
          </w:p>
        </w:tc>
        <w:tc>
          <w:tcPr>
            <w:tcW w:type="dxa" w:w="2556"/>
            <w:vAlign w:val="top"/>
          </w:tcPr>
          <w:p>
            <w:r/>
            <w:r>
              <w:rPr>
                <w:rFonts w:ascii="Aptos" w:hAnsi="Aptos"/>
                <w:b w:val="0"/>
                <w:sz w:val="13"/>
              </w:rPr>
              <w:t>Oversight and approval</w:t>
            </w:r>
          </w:p>
        </w:tc>
        <w:tc>
          <w:tcPr>
            <w:tcW w:type="dxa" w:w="2556"/>
            <w:vAlign w:val="top"/>
          </w:tcPr>
          <w:p>
            <w:r/>
            <w:r>
              <w:rPr>
                <w:rFonts w:ascii="Aptos" w:hAnsi="Aptos"/>
                <w:b w:val="0"/>
                <w:sz w:val="13"/>
              </w:rPr>
              <w:t>Potential benefit through inspectable model evidence and structured assurance; potential workload/accountability burden and risk of over-trust if evidence is poorly presented.</w:t>
            </w:r>
          </w:p>
        </w:tc>
        <w:tc>
          <w:tcPr>
            <w:tcW w:type="dxa" w:w="2556"/>
            <w:vAlign w:val="top"/>
          </w:tcPr>
          <w:p>
            <w:r/>
            <w:r>
              <w:rPr>
                <w:rFonts w:ascii="Aptos" w:hAnsi="Aptos"/>
                <w:b w:val="0"/>
                <w:sz w:val="13"/>
              </w:rPr>
              <w:t>No</w:t>
            </w:r>
          </w:p>
        </w:tc>
      </w:tr>
      <w:tr>
        <w:tc>
          <w:tcPr>
            <w:tcW w:type="dxa" w:w="2556"/>
            <w:vAlign w:val="top"/>
          </w:tcPr>
          <w:p>
            <w:r/>
            <w:r>
              <w:rPr>
                <w:rFonts w:ascii="Aptos" w:hAnsi="Aptos"/>
                <w:b w:val="0"/>
                <w:sz w:val="13"/>
              </w:rPr>
              <w:t>Clinical authors / model governance users</w:t>
            </w:r>
          </w:p>
        </w:tc>
        <w:tc>
          <w:tcPr>
            <w:tcW w:type="dxa" w:w="2556"/>
            <w:vAlign w:val="top"/>
          </w:tcPr>
          <w:p>
            <w:r/>
            <w:r>
              <w:rPr>
                <w:rFonts w:ascii="Aptos" w:hAnsi="Aptos"/>
                <w:b w:val="0"/>
                <w:sz w:val="13"/>
              </w:rPr>
              <w:t>Model review, authoring and configuration</w:t>
            </w:r>
          </w:p>
        </w:tc>
        <w:tc>
          <w:tcPr>
            <w:tcW w:type="dxa" w:w="2556"/>
            <w:vAlign w:val="top"/>
          </w:tcPr>
          <w:p>
            <w:r/>
            <w:r>
              <w:rPr>
                <w:rFonts w:ascii="Aptos" w:hAnsi="Aptos"/>
                <w:b w:val="0"/>
                <w:sz w:val="13"/>
              </w:rPr>
              <w:t>Potential benefit from controlled tooling and evidence; potential harm from configuration error or unclear accountability for material model/safety changes.</w:t>
            </w:r>
          </w:p>
        </w:tc>
        <w:tc>
          <w:tcPr>
            <w:tcW w:type="dxa" w:w="2556"/>
            <w:vAlign w:val="top"/>
          </w:tcPr>
          <w:p>
            <w:r/>
            <w:r>
              <w:rPr>
                <w:rFonts w:ascii="Aptos" w:hAnsi="Aptos"/>
                <w:b w:val="0"/>
                <w:sz w:val="13"/>
              </w:rPr>
              <w:t>No</w:t>
            </w:r>
          </w:p>
        </w:tc>
      </w:tr>
      <w:tr>
        <w:tc>
          <w:tcPr>
            <w:tcW w:type="dxa" w:w="2556"/>
            <w:vAlign w:val="top"/>
          </w:tcPr>
          <w:p>
            <w:r/>
            <w:r>
              <w:rPr>
                <w:rFonts w:ascii="Aptos" w:hAnsi="Aptos"/>
                <w:b w:val="0"/>
                <w:sz w:val="13"/>
              </w:rPr>
              <w:t>NHS operational/support teams</w:t>
            </w:r>
          </w:p>
        </w:tc>
        <w:tc>
          <w:tcPr>
            <w:tcW w:type="dxa" w:w="2556"/>
            <w:vAlign w:val="top"/>
          </w:tcPr>
          <w:p>
            <w:r/>
            <w:r>
              <w:rPr>
                <w:rFonts w:ascii="Aptos" w:hAnsi="Aptos"/>
                <w:b w:val="0"/>
                <w:sz w:val="13"/>
              </w:rPr>
              <w:t>Operate, monitor and respond to incidents</w:t>
            </w:r>
          </w:p>
        </w:tc>
        <w:tc>
          <w:tcPr>
            <w:tcW w:type="dxa" w:w="2556"/>
            <w:vAlign w:val="top"/>
          </w:tcPr>
          <w:p>
            <w:r/>
            <w:r>
              <w:rPr>
                <w:rFonts w:ascii="Aptos" w:hAnsi="Aptos"/>
                <w:b w:val="0"/>
                <w:sz w:val="13"/>
              </w:rPr>
              <w:t>Increased monitoring/incident responsibilities; potential cognitive load and accountability if alerts or explanations are unclear.</w:t>
            </w:r>
          </w:p>
        </w:tc>
        <w:tc>
          <w:tcPr>
            <w:tcW w:type="dxa" w:w="2556"/>
            <w:vAlign w:val="top"/>
          </w:tcPr>
          <w:p>
            <w:r/>
            <w:r>
              <w:rPr>
                <w:rFonts w:ascii="Aptos" w:hAnsi="Aptos"/>
                <w:b w:val="0"/>
                <w:sz w:val="13"/>
              </w:rPr>
              <w:t>No</w:t>
            </w:r>
          </w:p>
        </w:tc>
      </w:tr>
      <w:tr>
        <w:tc>
          <w:tcPr>
            <w:tcW w:type="dxa" w:w="2556"/>
            <w:vAlign w:val="top"/>
          </w:tcPr>
          <w:p>
            <w:r/>
            <w:r>
              <w:rPr>
                <w:rFonts w:ascii="Aptos" w:hAnsi="Aptos"/>
                <w:b w:val="0"/>
                <w:sz w:val="13"/>
              </w:rPr>
              <w:t>Consuming digital channels / integrating services</w:t>
            </w:r>
          </w:p>
        </w:tc>
        <w:tc>
          <w:tcPr>
            <w:tcW w:type="dxa" w:w="2556"/>
            <w:vAlign w:val="top"/>
          </w:tcPr>
          <w:p>
            <w:r/>
            <w:r>
              <w:rPr>
                <w:rFonts w:ascii="Aptos" w:hAnsi="Aptos"/>
                <w:b w:val="0"/>
                <w:sz w:val="13"/>
              </w:rPr>
              <w:t>Provide inputs and act on outputs</w:t>
            </w:r>
          </w:p>
        </w:tc>
        <w:tc>
          <w:tcPr>
            <w:tcW w:type="dxa" w:w="2556"/>
            <w:vAlign w:val="top"/>
          </w:tcPr>
          <w:p>
            <w:r/>
            <w:r>
              <w:rPr>
                <w:rFonts w:ascii="Aptos" w:hAnsi="Aptos"/>
                <w:b w:val="0"/>
                <w:sz w:val="13"/>
              </w:rPr>
              <w:t>Benefit from a centralised consistent probabilistic capability; harm if API responses are misinterpreted or incompatible versions/configurations are used.</w:t>
            </w:r>
          </w:p>
        </w:tc>
        <w:tc>
          <w:tcPr>
            <w:tcW w:type="dxa" w:w="2556"/>
            <w:vAlign w:val="top"/>
          </w:tcPr>
          <w:p>
            <w:r/>
            <w:r>
              <w:rPr>
                <w:rFonts w:ascii="Aptos" w:hAnsi="Aptos"/>
                <w:b w:val="0"/>
                <w:sz w:val="13"/>
              </w:rPr>
              <w:t>No</w:t>
            </w:r>
          </w:p>
        </w:tc>
      </w:tr>
      <w:tr>
        <w:tc>
          <w:tcPr>
            <w:tcW w:type="dxa" w:w="2556"/>
            <w:vAlign w:val="top"/>
          </w:tcPr>
          <w:p>
            <w:r/>
            <w:r>
              <w:rPr>
                <w:rFonts w:ascii="Aptos" w:hAnsi="Aptos"/>
                <w:b w:val="0"/>
                <w:sz w:val="13"/>
              </w:rPr>
              <w:t>Downstream healthcare services</w:t>
            </w:r>
          </w:p>
        </w:tc>
        <w:tc>
          <w:tcPr>
            <w:tcW w:type="dxa" w:w="2556"/>
            <w:vAlign w:val="top"/>
          </w:tcPr>
          <w:p>
            <w:r/>
            <w:r>
              <w:rPr>
                <w:rFonts w:ascii="Aptos" w:hAnsi="Aptos"/>
                <w:b w:val="0"/>
                <w:sz w:val="13"/>
              </w:rPr>
              <w:t>Affected by onward triage/service-selection outcomes</w:t>
            </w:r>
          </w:p>
        </w:tc>
        <w:tc>
          <w:tcPr>
            <w:tcW w:type="dxa" w:w="2556"/>
            <w:vAlign w:val="top"/>
          </w:tcPr>
          <w:p>
            <w:r/>
            <w:r>
              <w:rPr>
                <w:rFonts w:ascii="Aptos" w:hAnsi="Aptos"/>
                <w:b w:val="0"/>
                <w:sz w:val="13"/>
              </w:rPr>
              <w:t>Potential benefit through more appropriate referrals; potential harm through inappropriate demand shifting, under-referral or over-referral.</w:t>
            </w:r>
          </w:p>
        </w:tc>
        <w:tc>
          <w:tcPr>
            <w:tcW w:type="dxa" w:w="2556"/>
            <w:vAlign w:val="top"/>
          </w:tcPr>
          <w:p>
            <w:r/>
            <w:r>
              <w:rPr>
                <w:rFonts w:ascii="Aptos" w:hAnsi="Aptos"/>
                <w:b w:val="0"/>
                <w:sz w:val="13"/>
              </w:rPr>
              <w:t>Yes - because downstream effects ultimately concern patients</w:t>
            </w:r>
          </w:p>
        </w:tc>
      </w:tr>
      <w:tr>
        <w:tc>
          <w:tcPr>
            <w:tcW w:type="dxa" w:w="2556"/>
            <w:vAlign w:val="top"/>
          </w:tcPr>
          <w:p>
            <w:r/>
            <w:r>
              <w:rPr>
                <w:rFonts w:ascii="Aptos" w:hAnsi="Aptos"/>
                <w:b w:val="0"/>
                <w:sz w:val="13"/>
              </w:rPr>
              <w:t>NHS England / service owner</w:t>
            </w:r>
          </w:p>
        </w:tc>
        <w:tc>
          <w:tcPr>
            <w:tcW w:type="dxa" w:w="2556"/>
            <w:vAlign w:val="top"/>
          </w:tcPr>
          <w:p>
            <w:r/>
            <w:r>
              <w:rPr>
                <w:rFonts w:ascii="Aptos" w:hAnsi="Aptos"/>
                <w:b w:val="0"/>
                <w:sz w:val="13"/>
              </w:rPr>
              <w:t>Accountability, governance and public trust</w:t>
            </w:r>
          </w:p>
        </w:tc>
        <w:tc>
          <w:tcPr>
            <w:tcW w:type="dxa" w:w="2556"/>
            <w:vAlign w:val="top"/>
          </w:tcPr>
          <w:p>
            <w:r/>
            <w:r>
              <w:rPr>
                <w:rFonts w:ascii="Aptos" w:hAnsi="Aptos"/>
                <w:b w:val="0"/>
                <w:sz w:val="13"/>
              </w:rPr>
              <w:t>Potential benefit from improved triage capability and efficiency; risk to clinical safety, regulatory compliance, reputation and public trust if the service performs poorly or is not transparently governed.</w:t>
            </w:r>
          </w:p>
        </w:tc>
        <w:tc>
          <w:tcPr>
            <w:tcW w:type="dxa" w:w="2556"/>
            <w:vAlign w:val="top"/>
          </w:tcPr>
          <w:p>
            <w:r/>
            <w:r>
              <w:rPr>
                <w:rFonts w:ascii="Aptos" w:hAnsi="Aptos"/>
                <w:b w:val="0"/>
                <w:sz w:val="13"/>
              </w:rPr>
              <w:t>No</w:t>
            </w:r>
          </w:p>
        </w:tc>
      </w:tr>
    </w:tbl>
    <w:p/>
    <w:p>
      <w:pPr>
        <w:pStyle w:val="Heading1"/>
      </w:pPr>
      <w:r>
        <w:t>3. Risk Tier Classification (C1)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6"/>
              </w:rPr>
              <w:t>Tier</w:t>
            </w:r>
          </w:p>
        </w:tc>
        <w:tc>
          <w:tcPr>
            <w:tcW w:type="dxa" w:w="5112"/>
            <w:vAlign w:val="top"/>
            <w:shd w:fill="D9EAD3"/>
          </w:tcPr>
          <w:p>
            <w:r/>
            <w:r>
              <w:rPr>
                <w:rFonts w:ascii="Aptos" w:hAnsi="Aptos"/>
                <w:b/>
                <w:sz w:val="16"/>
              </w:rPr>
              <w:t>Selected?</w:t>
            </w:r>
          </w:p>
        </w:tc>
      </w:tr>
      <w:tr>
        <w:tc>
          <w:tcPr>
            <w:tcW w:type="dxa" w:w="5112"/>
            <w:vAlign w:val="top"/>
          </w:tcPr>
          <w:p>
            <w:r/>
            <w:r>
              <w:rPr>
                <w:rFonts w:ascii="Aptos" w:hAnsi="Aptos"/>
                <w:b w:val="0"/>
                <w:sz w:val="16"/>
              </w:rPr>
              <w:t>Tier 1 - Low</w:t>
            </w:r>
          </w:p>
        </w:tc>
        <w:tc>
          <w:tcPr>
            <w:tcW w:type="dxa" w:w="5112"/>
            <w:vAlign w:val="top"/>
          </w:tcPr>
          <w:p>
            <w:r/>
            <w:r>
              <w:rPr>
                <w:rFonts w:ascii="Aptos" w:hAnsi="Aptos"/>
                <w:b w:val="0"/>
                <w:sz w:val="16"/>
              </w:rPr>
              <w:t>No</w:t>
            </w:r>
          </w:p>
        </w:tc>
      </w:tr>
      <w:tr>
        <w:tc>
          <w:tcPr>
            <w:tcW w:type="dxa" w:w="5112"/>
            <w:vAlign w:val="top"/>
          </w:tcPr>
          <w:p>
            <w:r/>
            <w:r>
              <w:rPr>
                <w:rFonts w:ascii="Aptos" w:hAnsi="Aptos"/>
                <w:b w:val="0"/>
                <w:sz w:val="16"/>
              </w:rPr>
              <w:t>Tier 2 - Medium</w:t>
            </w:r>
          </w:p>
        </w:tc>
        <w:tc>
          <w:tcPr>
            <w:tcW w:type="dxa" w:w="5112"/>
            <w:vAlign w:val="top"/>
          </w:tcPr>
          <w:p>
            <w:r/>
            <w:r>
              <w:rPr>
                <w:rFonts w:ascii="Aptos" w:hAnsi="Aptos"/>
                <w:b w:val="0"/>
                <w:sz w:val="16"/>
              </w:rPr>
              <w:t>No - the system exceeds Tier 2 characteristics because it operates in a high-stakes regulated clinical context and affects vulnerable users.</w:t>
            </w:r>
          </w:p>
        </w:tc>
      </w:tr>
      <w:tr>
        <w:tc>
          <w:tcPr>
            <w:tcW w:type="dxa" w:w="5112"/>
            <w:vAlign w:val="top"/>
          </w:tcPr>
          <w:p>
            <w:r/>
            <w:r>
              <w:rPr>
                <w:rFonts w:ascii="Aptos" w:hAnsi="Aptos"/>
                <w:b w:val="0"/>
                <w:sz w:val="16"/>
              </w:rPr>
              <w:t>Tier 3 - High</w:t>
            </w:r>
          </w:p>
        </w:tc>
        <w:tc>
          <w:tcPr>
            <w:tcW w:type="dxa" w:w="5112"/>
            <w:vAlign w:val="top"/>
          </w:tcPr>
          <w:p>
            <w:r/>
            <w:r>
              <w:rPr>
                <w:rFonts w:ascii="Aptos" w:hAnsi="Aptos"/>
                <w:b w:val="0"/>
                <w:sz w:val="16"/>
              </w:rPr>
              <w:t>Yes - working selection pending formal AI Intake Assessment / AI Governance Forum decision.</w:t>
            </w:r>
          </w:p>
        </w:tc>
      </w:tr>
    </w:tbl>
    <w:p/>
    <w:p>
      <w:pPr>
        <w:pStyle w:val="Heading2"/>
      </w:pPr>
      <w:r>
        <w:t>3.1 Tier Rationale</w:t>
      </w:r>
    </w:p>
    <w:p>
      <w:pPr>
        <w:pStyle w:val="Question"/>
        <w:spacing w:before="100" w:after="40"/>
      </w:pPr>
      <w:r>
        <w:t>Record the reasoning for the selected tier, including any specific criteria that triggered Tier 2 or Tier 3.</w:t>
      </w:r>
    </w:p>
    <w:p>
      <w:pPr>
        <w:pStyle w:val="Answer"/>
        <w:spacing w:after="120"/>
      </w:pPr>
      <w:r>
        <w:t>Tier 3 - High is the appropriate working classification because Adaptive Triage is a high-stakes clinical decision-support capability used in urgent and emergency care. Its outputs can influence the urgency and type of onward care offered to patients, including children, older people and other vulnerable groups. The system therefore has the potential for significant harm if it produces an unsafe result, is used outside its intended scope, or performs unequally across population groups. The Kainos AI Lifecycle Policy also explicitly gives medical triage support as an indicative Tier 3 example. Formal tier assignment remains subject to the AI Intake Assessment and AI Governance Forum.</w:t>
      </w:r>
    </w:p>
    <w:p>
      <w:pPr>
        <w:pStyle w:val="Heading2"/>
      </w:pPr>
      <w:r>
        <w:t>3.2 Regulatory Flags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D9EAD3"/>
          </w:tcPr>
          <w:p>
            <w:r/>
            <w:r>
              <w:rPr>
                <w:rFonts w:ascii="Aptos" w:hAnsi="Aptos"/>
                <w:b/>
                <w:sz w:val="14"/>
              </w:rPr>
              <w:t>Flag</w:t>
            </w:r>
          </w:p>
        </w:tc>
        <w:tc>
          <w:tcPr>
            <w:tcW w:type="dxa" w:w="3408"/>
            <w:vAlign w:val="top"/>
            <w:shd w:fill="D9EAD3"/>
          </w:tcPr>
          <w:p>
            <w:r/>
            <w:r>
              <w:rPr>
                <w:rFonts w:ascii="Aptos" w:hAnsi="Aptos"/>
                <w:b/>
                <w:sz w:val="14"/>
              </w:rPr>
              <w:t>Applies?</w:t>
            </w:r>
          </w:p>
        </w:tc>
        <w:tc>
          <w:tcPr>
            <w:tcW w:type="dxa" w:w="3408"/>
            <w:vAlign w:val="top"/>
            <w:shd w:fill="D9EAD3"/>
          </w:tcPr>
          <w:p>
            <w:r/>
            <w:r>
              <w:rPr>
                <w:rFonts w:ascii="Aptos" w:hAnsi="Aptos"/>
                <w:b/>
                <w:sz w:val="14"/>
              </w:rPr>
              <w:t>Notes / reference</w:t>
            </w:r>
          </w:p>
        </w:tc>
      </w:tr>
      <w:tr>
        <w:tc>
          <w:tcPr>
            <w:tcW w:type="dxa" w:w="3408"/>
            <w:vAlign w:val="top"/>
          </w:tcPr>
          <w:p>
            <w:r/>
            <w:r>
              <w:rPr>
                <w:rFonts w:ascii="Aptos" w:hAnsi="Aptos"/>
                <w:b w:val="0"/>
                <w:sz w:val="14"/>
              </w:rPr>
              <w:t>EU AI Act - High risk (Annex III)</w:t>
            </w:r>
          </w:p>
        </w:tc>
        <w:tc>
          <w:tcPr>
            <w:tcW w:type="dxa" w:w="3408"/>
            <w:vAlign w:val="top"/>
          </w:tcPr>
          <w:p>
            <w:r/>
            <w:r>
              <w:rPr>
                <w:rFonts w:ascii="Aptos" w:hAnsi="Aptos"/>
                <w:b w:val="0"/>
                <w:sz w:val="14"/>
              </w:rPr>
              <w:t>TBC</w:t>
            </w:r>
          </w:p>
        </w:tc>
        <w:tc>
          <w:tcPr>
            <w:tcW w:type="dxa" w:w="3408"/>
            <w:vAlign w:val="top"/>
          </w:tcPr>
          <w:p>
            <w:r/>
            <w:r>
              <w:rPr>
                <w:rFonts w:ascii="Aptos" w:hAnsi="Aptos"/>
                <w:b w:val="0"/>
                <w:sz w:val="14"/>
              </w:rPr>
              <w:t>The service has characteristics of high-risk clinical decision support, but legal applicability of the EU AI Act depends on deployment/market context and must be confirmed by Legal/Compliance. Do not treat this working assessment as a legal determination.</w:t>
            </w:r>
          </w:p>
        </w:tc>
      </w:tr>
      <w:tr>
        <w:tc>
          <w:tcPr>
            <w:tcW w:type="dxa" w:w="3408"/>
            <w:vAlign w:val="top"/>
          </w:tcPr>
          <w:p>
            <w:r/>
            <w:r>
              <w:rPr>
                <w:rFonts w:ascii="Aptos" w:hAnsi="Aptos"/>
                <w:b w:val="0"/>
                <w:sz w:val="14"/>
              </w:rPr>
              <w:t>EU AI Act - Prohibited practice</w:t>
            </w:r>
          </w:p>
        </w:tc>
        <w:tc>
          <w:tcPr>
            <w:tcW w:type="dxa" w:w="3408"/>
            <w:vAlign w:val="top"/>
          </w:tcPr>
          <w:p>
            <w:r/>
            <w:r>
              <w:rPr>
                <w:rFonts w:ascii="Aptos" w:hAnsi="Aptos"/>
                <w:b w:val="0"/>
                <w:sz w:val="14"/>
              </w:rPr>
              <w:t>No - based on current intended use</w:t>
            </w:r>
          </w:p>
        </w:tc>
        <w:tc>
          <w:tcPr>
            <w:tcW w:type="dxa" w:w="3408"/>
            <w:vAlign w:val="top"/>
          </w:tcPr>
          <w:p>
            <w:r/>
            <w:r>
              <w:rPr>
                <w:rFonts w:ascii="Aptos" w:hAnsi="Aptos"/>
                <w:b w:val="0"/>
                <w:sz w:val="14"/>
              </w:rPr>
              <w:t>The intended use does not involve prohibited manipulative, social-scoring or other prohibited AI practices. Reassess if intended use changes.</w:t>
            </w:r>
          </w:p>
        </w:tc>
      </w:tr>
      <w:tr>
        <w:tc>
          <w:tcPr>
            <w:tcW w:type="dxa" w:w="3408"/>
            <w:vAlign w:val="top"/>
          </w:tcPr>
          <w:p>
            <w:r/>
            <w:r>
              <w:rPr>
                <w:rFonts w:ascii="Aptos" w:hAnsi="Aptos"/>
                <w:b w:val="0"/>
                <w:sz w:val="14"/>
              </w:rPr>
              <w:t>UK GDPR / Data Protection Act 2018</w:t>
            </w:r>
          </w:p>
        </w:tc>
        <w:tc>
          <w:tcPr>
            <w:tcW w:type="dxa" w:w="3408"/>
            <w:vAlign w:val="top"/>
          </w:tcPr>
          <w:p>
            <w:r/>
            <w:r>
              <w:rPr>
                <w:rFonts w:ascii="Aptos" w:hAnsi="Aptos"/>
                <w:b w:val="0"/>
                <w:sz w:val="14"/>
              </w:rPr>
              <w:t>Yes</w:t>
            </w:r>
          </w:p>
        </w:tc>
        <w:tc>
          <w:tcPr>
            <w:tcW w:type="dxa" w:w="3408"/>
            <w:vAlign w:val="top"/>
          </w:tcPr>
          <w:p>
            <w:r/>
            <w:r>
              <w:rPr>
                <w:rFonts w:ascii="Aptos" w:hAnsi="Aptos"/>
                <w:b w:val="0"/>
                <w:sz w:val="14"/>
              </w:rPr>
              <w:t>The service processes health-related triage information in operation. A DPIA is in place/being maintained for the programme; insert the authoritative DPIA reference in the assurance system. Build-time Bedrock use is designed not to send PII.</w:t>
            </w:r>
          </w:p>
        </w:tc>
      </w:tr>
      <w:tr>
        <w:tc>
          <w:tcPr>
            <w:tcW w:type="dxa" w:w="3408"/>
            <w:vAlign w:val="top"/>
          </w:tcPr>
          <w:p>
            <w:r/>
            <w:r>
              <w:rPr>
                <w:rFonts w:ascii="Aptos" w:hAnsi="Aptos"/>
                <w:b w:val="0"/>
                <w:sz w:val="14"/>
              </w:rPr>
              <w:t>Sector-specific - MHRA / medical device</w:t>
            </w:r>
          </w:p>
        </w:tc>
        <w:tc>
          <w:tcPr>
            <w:tcW w:type="dxa" w:w="3408"/>
            <w:vAlign w:val="top"/>
          </w:tcPr>
          <w:p>
            <w:r/>
            <w:r>
              <w:rPr>
                <w:rFonts w:ascii="Aptos" w:hAnsi="Aptos"/>
                <w:b w:val="0"/>
                <w:sz w:val="14"/>
              </w:rPr>
              <w:t>Yes / assessment in progress</w:t>
            </w:r>
          </w:p>
        </w:tc>
        <w:tc>
          <w:tcPr>
            <w:tcW w:type="dxa" w:w="3408"/>
            <w:vAlign w:val="top"/>
          </w:tcPr>
          <w:p>
            <w:r/>
            <w:r>
              <w:rPr>
                <w:rFonts w:ascii="Aptos" w:hAnsi="Aptos"/>
                <w:b w:val="0"/>
                <w:sz w:val="14"/>
              </w:rPr>
              <w:t>Adaptive Triage is being assessed for medical-device regulatory status and intended-use classification. Insert the final MHRA/medical-device assessment reference and applicable obligations when confirmed.</w:t>
            </w:r>
          </w:p>
        </w:tc>
      </w:tr>
      <w:tr>
        <w:tc>
          <w:tcPr>
            <w:tcW w:type="dxa" w:w="3408"/>
            <w:vAlign w:val="top"/>
          </w:tcPr>
          <w:p>
            <w:r/>
            <w:r>
              <w:rPr>
                <w:rFonts w:ascii="Aptos" w:hAnsi="Aptos"/>
                <w:b w:val="0"/>
                <w:sz w:val="14"/>
              </w:rPr>
              <w:t>Sector-specific - NHS Clinical Safety</w:t>
            </w:r>
          </w:p>
        </w:tc>
        <w:tc>
          <w:tcPr>
            <w:tcW w:type="dxa" w:w="3408"/>
            <w:vAlign w:val="top"/>
          </w:tcPr>
          <w:p>
            <w:r/>
            <w:r>
              <w:rPr>
                <w:rFonts w:ascii="Aptos" w:hAnsi="Aptos"/>
                <w:b w:val="0"/>
                <w:sz w:val="14"/>
              </w:rPr>
              <w:t>Yes</w:t>
            </w:r>
          </w:p>
        </w:tc>
        <w:tc>
          <w:tcPr>
            <w:tcW w:type="dxa" w:w="3408"/>
            <w:vAlign w:val="top"/>
          </w:tcPr>
          <w:p>
            <w:r/>
            <w:r>
              <w:rPr>
                <w:rFonts w:ascii="Aptos" w:hAnsi="Aptos"/>
                <w:b w:val="0"/>
                <w:sz w:val="14"/>
              </w:rPr>
              <w:t>DCB0129 clinical risk management obligations apply to manufacture/development of health IT where applicable; DCB0160 responsibilities apply to deploying organisations. Clinical Safety Officer, hazard management, safety case/evidence and clinical sign-off are part of the assurance approach.</w:t>
            </w:r>
          </w:p>
        </w:tc>
      </w:tr>
      <w:tr>
        <w:tc>
          <w:tcPr>
            <w:tcW w:type="dxa" w:w="3408"/>
            <w:vAlign w:val="top"/>
          </w:tcPr>
          <w:p>
            <w:r/>
            <w:r>
              <w:rPr>
                <w:rFonts w:ascii="Aptos" w:hAnsi="Aptos"/>
                <w:b w:val="0"/>
                <w:sz w:val="14"/>
              </w:rPr>
              <w:t>Other - NHS information/security governance</w:t>
            </w:r>
          </w:p>
        </w:tc>
        <w:tc>
          <w:tcPr>
            <w:tcW w:type="dxa" w:w="3408"/>
            <w:vAlign w:val="top"/>
          </w:tcPr>
          <w:p>
            <w:r/>
            <w:r>
              <w:rPr>
                <w:rFonts w:ascii="Aptos" w:hAnsi="Aptos"/>
                <w:b w:val="0"/>
                <w:sz w:val="14"/>
              </w:rPr>
              <w:t>Yes</w:t>
            </w:r>
          </w:p>
        </w:tc>
        <w:tc>
          <w:tcPr>
            <w:tcW w:type="dxa" w:w="3408"/>
            <w:vAlign w:val="top"/>
          </w:tcPr>
          <w:p>
            <w:r/>
            <w:r>
              <w:rPr>
                <w:rFonts w:ascii="Aptos" w:hAnsi="Aptos"/>
                <w:b w:val="0"/>
                <w:sz w:val="14"/>
              </w:rPr>
              <w:t>NHS England security, information-governance, architecture and operational assurance requirements apply in addition to the Kainos AI Lifecycle Policy. Insert relevant governance references as required.</w:t>
            </w:r>
          </w:p>
        </w:tc>
      </w:tr>
    </w:tbl>
    <w:p/>
    <w:p>
      <w:pPr>
        <w:pStyle w:val="Heading1"/>
      </w:pPr>
      <w:r>
        <w:t>4. AI-Specific Risks (C5)</w:t>
      </w:r>
    </w:p>
    <w:p>
      <w:r>
        <w:t>The likelihood/impact ratings below are provisional working values for drafting. They must be validated against the Kainos risk-scoring method and aligned with the Clinical Safety hazard assessment before formal approval.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top"/>
            <w:shd w:fill="D9EAD3"/>
          </w:tcPr>
          <w:p>
            <w:r/>
            <w:r>
              <w:rPr>
                <w:rFonts w:ascii="Aptos" w:hAnsi="Aptos"/>
                <w:b/>
                <w:sz w:val="12"/>
              </w:rPr>
              <w:t>Ref</w:t>
            </w:r>
          </w:p>
        </w:tc>
        <w:tc>
          <w:tcPr>
            <w:tcW w:type="dxa" w:w="1704"/>
            <w:vAlign w:val="top"/>
            <w:shd w:fill="D9EAD3"/>
          </w:tcPr>
          <w:p>
            <w:r/>
            <w:r>
              <w:rPr>
                <w:rFonts w:ascii="Aptos" w:hAnsi="Aptos"/>
                <w:b/>
                <w:sz w:val="12"/>
              </w:rPr>
              <w:t>Risk</w:t>
            </w:r>
          </w:p>
        </w:tc>
        <w:tc>
          <w:tcPr>
            <w:tcW w:type="dxa" w:w="1704"/>
            <w:vAlign w:val="top"/>
            <w:shd w:fill="D9EAD3"/>
          </w:tcPr>
          <w:p>
            <w:r/>
            <w:r>
              <w:rPr>
                <w:rFonts w:ascii="Aptos" w:hAnsi="Aptos"/>
                <w:b/>
                <w:sz w:val="12"/>
              </w:rPr>
              <w:t>Cause / Source</w:t>
            </w:r>
          </w:p>
        </w:tc>
        <w:tc>
          <w:tcPr>
            <w:tcW w:type="dxa" w:w="1704"/>
            <w:vAlign w:val="top"/>
            <w:shd w:fill="D9EAD3"/>
          </w:tcPr>
          <w:p>
            <w:r/>
            <w:r>
              <w:rPr>
                <w:rFonts w:ascii="Aptos" w:hAnsi="Aptos"/>
                <w:b/>
                <w:sz w:val="12"/>
              </w:rPr>
              <w:t>Likelihood</w:t>
            </w:r>
          </w:p>
        </w:tc>
        <w:tc>
          <w:tcPr>
            <w:tcW w:type="dxa" w:w="1704"/>
            <w:vAlign w:val="top"/>
            <w:shd w:fill="D9EAD3"/>
          </w:tcPr>
          <w:p>
            <w:r/>
            <w:r>
              <w:rPr>
                <w:rFonts w:ascii="Aptos" w:hAnsi="Aptos"/>
                <w:b/>
                <w:sz w:val="12"/>
              </w:rPr>
              <w:t>Impact</w:t>
            </w:r>
          </w:p>
        </w:tc>
        <w:tc>
          <w:tcPr>
            <w:tcW w:type="dxa" w:w="1704"/>
            <w:vAlign w:val="top"/>
            <w:shd w:fill="D9EAD3"/>
          </w:tcPr>
          <w:p>
            <w:r/>
            <w:r>
              <w:rPr>
                <w:rFonts w:ascii="Aptos" w:hAnsi="Aptos"/>
                <w:b/>
                <w:sz w:val="12"/>
              </w:rPr>
              <w:t>Inherent rating</w:t>
            </w:r>
          </w:p>
        </w:tc>
      </w:tr>
      <w:tr>
        <w:tc>
          <w:tcPr>
            <w:tcW w:type="dxa" w:w="1704"/>
            <w:vAlign w:val="top"/>
          </w:tcPr>
          <w:p>
            <w:r/>
            <w:r>
              <w:rPr>
                <w:rFonts w:ascii="Aptos" w:hAnsi="Aptos"/>
                <w:b w:val="0"/>
                <w:sz w:val="12"/>
              </w:rPr>
              <w:t>R1</w:t>
            </w:r>
          </w:p>
        </w:tc>
        <w:tc>
          <w:tcPr>
            <w:tcW w:type="dxa" w:w="1704"/>
            <w:vAlign w:val="top"/>
          </w:tcPr>
          <w:p>
            <w:r/>
            <w:r>
              <w:rPr>
                <w:rFonts w:ascii="Aptos" w:hAnsi="Aptos"/>
                <w:b w:val="0"/>
                <w:sz w:val="12"/>
              </w:rPr>
              <w:t>Bias / unfair outcomes</w:t>
            </w:r>
          </w:p>
        </w:tc>
        <w:tc>
          <w:tcPr>
            <w:tcW w:type="dxa" w:w="1704"/>
            <w:vAlign w:val="top"/>
          </w:tcPr>
          <w:p>
            <w:r/>
            <w:r>
              <w:rPr>
                <w:rFonts w:ascii="Aptos" w:hAnsi="Aptos"/>
                <w:b w:val="0"/>
                <w:sz w:val="12"/>
              </w:rPr>
              <w:t>Development/evaluation data may under-represent some demographic, language, disability or clinical subgroups; variables may act as proxies; clinical source material may encode historical variation.</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R2</w:t>
            </w:r>
          </w:p>
        </w:tc>
        <w:tc>
          <w:tcPr>
            <w:tcW w:type="dxa" w:w="1704"/>
            <w:vAlign w:val="top"/>
          </w:tcPr>
          <w:p>
            <w:r/>
            <w:r>
              <w:rPr>
                <w:rFonts w:ascii="Aptos" w:hAnsi="Aptos"/>
                <w:b w:val="0"/>
                <w:sz w:val="12"/>
              </w:rPr>
              <w:t>Incorrect probabilistic inference / unsafe clinical outcome</w:t>
            </w:r>
          </w:p>
        </w:tc>
        <w:tc>
          <w:tcPr>
            <w:tcW w:type="dxa" w:w="1704"/>
            <w:vAlign w:val="top"/>
          </w:tcPr>
          <w:p>
            <w:r/>
            <w:r>
              <w:rPr>
                <w:rFonts w:ascii="Aptos" w:hAnsi="Aptos"/>
                <w:b w:val="0"/>
                <w:sz w:val="12"/>
              </w:rPr>
              <w:t>Model limitations, incorrect CPTs, incomplete evidence, calibration error, unsupported presentation or inference defect could produce an unsafe probability state or triage result.</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R3</w:t>
            </w:r>
          </w:p>
        </w:tc>
        <w:tc>
          <w:tcPr>
            <w:tcW w:type="dxa" w:w="1704"/>
            <w:vAlign w:val="top"/>
          </w:tcPr>
          <w:p>
            <w:r/>
            <w:r>
              <w:rPr>
                <w:rFonts w:ascii="Aptos" w:hAnsi="Aptos"/>
                <w:b w:val="0"/>
                <w:sz w:val="12"/>
              </w:rPr>
              <w:t>Privacy / data leakage</w:t>
            </w:r>
          </w:p>
        </w:tc>
        <w:tc>
          <w:tcPr>
            <w:tcW w:type="dxa" w:w="1704"/>
            <w:vAlign w:val="top"/>
          </w:tcPr>
          <w:p>
            <w:r/>
            <w:r>
              <w:rPr>
                <w:rFonts w:ascii="Aptos" w:hAnsi="Aptos"/>
                <w:b w:val="0"/>
                <w:sz w:val="12"/>
              </w:rPr>
              <w:t>Sensitive health data may be exposed through runtime logs, overly broad access, misconfiguration, or accidental use in build-time AI tooling.</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R4</w:t>
            </w:r>
          </w:p>
        </w:tc>
        <w:tc>
          <w:tcPr>
            <w:tcW w:type="dxa" w:w="1704"/>
            <w:vAlign w:val="top"/>
          </w:tcPr>
          <w:p>
            <w:r/>
            <w:r>
              <w:rPr>
                <w:rFonts w:ascii="Aptos" w:hAnsi="Aptos"/>
                <w:b w:val="0"/>
                <w:sz w:val="12"/>
              </w:rPr>
              <w:t>Malicious / malformed / adversarial input</w:t>
            </w:r>
          </w:p>
        </w:tc>
        <w:tc>
          <w:tcPr>
            <w:tcW w:type="dxa" w:w="1704"/>
            <w:vAlign w:val="top"/>
          </w:tcPr>
          <w:p>
            <w:r/>
            <w:r>
              <w:rPr>
                <w:rFonts w:ascii="Aptos" w:hAnsi="Aptos"/>
                <w:b w:val="0"/>
                <w:sz w:val="12"/>
              </w:rPr>
              <w:t>Untrusted inputs may be crafted to manipulate evidence, exploit APIs, produce inconsistent states or probe system behaviour.</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R5</w:t>
            </w:r>
          </w:p>
        </w:tc>
        <w:tc>
          <w:tcPr>
            <w:tcW w:type="dxa" w:w="1704"/>
            <w:vAlign w:val="top"/>
          </w:tcPr>
          <w:p>
            <w:r/>
            <w:r>
              <w:rPr>
                <w:rFonts w:ascii="Aptos" w:hAnsi="Aptos"/>
                <w:b w:val="0"/>
                <w:sz w:val="12"/>
              </w:rPr>
              <w:t>Model / data drift</w:t>
            </w:r>
          </w:p>
        </w:tc>
        <w:tc>
          <w:tcPr>
            <w:tcW w:type="dxa" w:w="1704"/>
            <w:vAlign w:val="top"/>
          </w:tcPr>
          <w:p>
            <w:r/>
            <w:r>
              <w:rPr>
                <w:rFonts w:ascii="Aptos" w:hAnsi="Aptos"/>
                <w:b w:val="0"/>
                <w:sz w:val="12"/>
              </w:rPr>
              <w:t>Presentation patterns, prevalence, service configuration or source data distributions may change, degrading calibration or subgroup performance over time.</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R6</w:t>
            </w:r>
          </w:p>
        </w:tc>
        <w:tc>
          <w:tcPr>
            <w:tcW w:type="dxa" w:w="1704"/>
            <w:vAlign w:val="top"/>
          </w:tcPr>
          <w:p>
            <w:r/>
            <w:r>
              <w:rPr>
                <w:rFonts w:ascii="Aptos" w:hAnsi="Aptos"/>
                <w:b w:val="0"/>
                <w:sz w:val="12"/>
              </w:rPr>
              <w:t>AI / technology supply-chain dependency</w:t>
            </w:r>
          </w:p>
        </w:tc>
        <w:tc>
          <w:tcPr>
            <w:tcW w:type="dxa" w:w="1704"/>
            <w:vAlign w:val="top"/>
          </w:tcPr>
          <w:p>
            <w:r/>
            <w:r>
              <w:rPr>
                <w:rFonts w:ascii="Aptos" w:hAnsi="Aptos"/>
                <w:b w:val="0"/>
                <w:sz w:val="12"/>
              </w:rPr>
              <w:t>Dependency on AWS platform services and approved third-party foundation models for build-time assistance may introduce service, version, contractual, availability or capability changes.</w:t>
            </w:r>
          </w:p>
        </w:tc>
        <w:tc>
          <w:tcPr>
            <w:tcW w:type="dxa" w:w="1704"/>
            <w:vAlign w:val="top"/>
          </w:tcPr>
          <w:p>
            <w:r/>
            <w:r>
              <w:rPr>
                <w:rFonts w:ascii="Aptos" w:hAnsi="Aptos"/>
                <w:b w:val="0"/>
                <w:sz w:val="12"/>
              </w:rPr>
              <w:t>M</w:t>
            </w:r>
          </w:p>
        </w:tc>
        <w:tc>
          <w:tcPr>
            <w:tcW w:type="dxa" w:w="1704"/>
            <w:vAlign w:val="top"/>
          </w:tcPr>
          <w:p>
            <w:r/>
            <w:r>
              <w:rPr>
                <w:rFonts w:ascii="Aptos" w:hAnsi="Aptos"/>
                <w:b w:val="0"/>
                <w:sz w:val="12"/>
              </w:rPr>
              <w:t>M</w:t>
            </w:r>
          </w:p>
        </w:tc>
        <w:tc>
          <w:tcPr>
            <w:tcW w:type="dxa" w:w="1704"/>
            <w:vAlign w:val="top"/>
          </w:tcPr>
          <w:p>
            <w:r/>
            <w:r>
              <w:rPr>
                <w:rFonts w:ascii="Aptos" w:hAnsi="Aptos"/>
                <w:b w:val="0"/>
                <w:sz w:val="12"/>
              </w:rPr>
              <w:t>Medium</w:t>
            </w:r>
          </w:p>
        </w:tc>
      </w:tr>
      <w:tr>
        <w:tc>
          <w:tcPr>
            <w:tcW w:type="dxa" w:w="1704"/>
            <w:vAlign w:val="top"/>
          </w:tcPr>
          <w:p>
            <w:r/>
            <w:r>
              <w:rPr>
                <w:rFonts w:ascii="Aptos" w:hAnsi="Aptos"/>
                <w:b w:val="0"/>
                <w:sz w:val="12"/>
              </w:rPr>
              <w:t>R7</w:t>
            </w:r>
          </w:p>
        </w:tc>
        <w:tc>
          <w:tcPr>
            <w:tcW w:type="dxa" w:w="1704"/>
            <w:vAlign w:val="top"/>
          </w:tcPr>
          <w:p>
            <w:r/>
            <w:r>
              <w:rPr>
                <w:rFonts w:ascii="Aptos" w:hAnsi="Aptos"/>
                <w:b w:val="0"/>
                <w:sz w:val="12"/>
              </w:rPr>
              <w:t>Operational misuse / use beyond intended scope</w:t>
            </w:r>
          </w:p>
        </w:tc>
        <w:tc>
          <w:tcPr>
            <w:tcW w:type="dxa" w:w="1704"/>
            <w:vAlign w:val="top"/>
          </w:tcPr>
          <w:p>
            <w:r/>
            <w:r>
              <w:rPr>
                <w:rFonts w:ascii="Aptos" w:hAnsi="Aptos"/>
                <w:b w:val="0"/>
                <w:sz w:val="12"/>
              </w:rPr>
              <w:t>Consuming services or operators may use outputs outside approved populations, channels, intended use or without required safety context.</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R8</w:t>
            </w:r>
          </w:p>
        </w:tc>
        <w:tc>
          <w:tcPr>
            <w:tcW w:type="dxa" w:w="1704"/>
            <w:vAlign w:val="top"/>
          </w:tcPr>
          <w:p>
            <w:r/>
            <w:r>
              <w:rPr>
                <w:rFonts w:ascii="Aptos" w:hAnsi="Aptos"/>
                <w:b w:val="0"/>
                <w:sz w:val="12"/>
              </w:rPr>
              <w:t>Human factors - automation bias / over-trust / accountability ambiguity</w:t>
            </w:r>
          </w:p>
        </w:tc>
        <w:tc>
          <w:tcPr>
            <w:tcW w:type="dxa" w:w="1704"/>
            <w:vAlign w:val="top"/>
          </w:tcPr>
          <w:p>
            <w:r/>
            <w:r>
              <w:rPr>
                <w:rFonts w:ascii="Aptos" w:hAnsi="Aptos"/>
                <w:b w:val="0"/>
                <w:sz w:val="12"/>
              </w:rPr>
              <w:t>Clinicians, authors, operators or integrating teams may over-rely on probabilities/outputs, misunderstand limitations, or assume responsibility sits elsewhere.</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R9</w:t>
            </w:r>
          </w:p>
        </w:tc>
        <w:tc>
          <w:tcPr>
            <w:tcW w:type="dxa" w:w="1704"/>
            <w:vAlign w:val="top"/>
          </w:tcPr>
          <w:p>
            <w:r/>
            <w:r>
              <w:rPr>
                <w:rFonts w:ascii="Aptos" w:hAnsi="Aptos"/>
                <w:b w:val="0"/>
                <w:sz w:val="12"/>
              </w:rPr>
              <w:t>Incorrect Bayesian Network structure / CPT content</w:t>
            </w:r>
          </w:p>
        </w:tc>
        <w:tc>
          <w:tcPr>
            <w:tcW w:type="dxa" w:w="1704"/>
            <w:vAlign w:val="top"/>
          </w:tcPr>
          <w:p>
            <w:r/>
            <w:r>
              <w:rPr>
                <w:rFonts w:ascii="Aptos" w:hAnsi="Aptos"/>
                <w:b w:val="0"/>
                <w:sz w:val="12"/>
              </w:rPr>
              <w:t>Source extraction error, incorrect ontology mapping, causal/dependency assumptions or expert/data-derived CPT values may introduce hidden model defects.</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R10</w:t>
            </w:r>
          </w:p>
        </w:tc>
        <w:tc>
          <w:tcPr>
            <w:tcW w:type="dxa" w:w="1704"/>
            <w:vAlign w:val="top"/>
          </w:tcPr>
          <w:p>
            <w:r/>
            <w:r>
              <w:rPr>
                <w:rFonts w:ascii="Aptos" w:hAnsi="Aptos"/>
                <w:b w:val="0"/>
                <w:sz w:val="12"/>
              </w:rPr>
              <w:t>Unsafe threshold / guardrail configuration</w:t>
            </w:r>
          </w:p>
        </w:tc>
        <w:tc>
          <w:tcPr>
            <w:tcW w:type="dxa" w:w="1704"/>
            <w:vAlign w:val="top"/>
          </w:tcPr>
          <w:p>
            <w:r/>
            <w:r>
              <w:rPr>
                <w:rFonts w:ascii="Aptos" w:hAnsi="Aptos"/>
                <w:b w:val="0"/>
                <w:sz w:val="12"/>
              </w:rPr>
              <w:t>Risk tolerance, stopping criteria, escalation thresholds or channel-specific policies may be set incorrectly or changed without adequate validation.</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R11</w:t>
            </w:r>
          </w:p>
        </w:tc>
        <w:tc>
          <w:tcPr>
            <w:tcW w:type="dxa" w:w="1704"/>
            <w:vAlign w:val="top"/>
          </w:tcPr>
          <w:p>
            <w:r/>
            <w:r>
              <w:rPr>
                <w:rFonts w:ascii="Aptos" w:hAnsi="Aptos"/>
                <w:b w:val="0"/>
                <w:sz w:val="12"/>
              </w:rPr>
              <w:t>Federated / hierarchical model orchestration failure</w:t>
            </w:r>
          </w:p>
        </w:tc>
        <w:tc>
          <w:tcPr>
            <w:tcW w:type="dxa" w:w="1704"/>
            <w:vAlign w:val="top"/>
          </w:tcPr>
          <w:p>
            <w:r/>
            <w:r>
              <w:rPr>
                <w:rFonts w:ascii="Aptos" w:hAnsi="Aptos"/>
                <w:b w:val="0"/>
                <w:sz w:val="12"/>
              </w:rPr>
              <w:t>The wrong specialised BN may be selected, evidence may be shared incorrectly, or aggregation across models may produce inconsistent/unsafe conclusions.</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R12</w:t>
            </w:r>
          </w:p>
        </w:tc>
        <w:tc>
          <w:tcPr>
            <w:tcW w:type="dxa" w:w="1704"/>
            <w:vAlign w:val="top"/>
          </w:tcPr>
          <w:p>
            <w:r/>
            <w:r>
              <w:rPr>
                <w:rFonts w:ascii="Aptos" w:hAnsi="Aptos"/>
                <w:b w:val="0"/>
                <w:sz w:val="12"/>
              </w:rPr>
              <w:t>Build-time LLM inaccurate or fabricated output</w:t>
            </w:r>
          </w:p>
        </w:tc>
        <w:tc>
          <w:tcPr>
            <w:tcW w:type="dxa" w:w="1704"/>
            <w:vAlign w:val="top"/>
          </w:tcPr>
          <w:p>
            <w:r/>
            <w:r>
              <w:rPr>
                <w:rFonts w:ascii="Aptos" w:hAnsi="Aptos"/>
                <w:b w:val="0"/>
                <w:sz w:val="12"/>
              </w:rPr>
              <w:t>Foundation models used for extraction/structuring may hallucinate, omit, misclassify or distort clinical/source information.</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R13</w:t>
            </w:r>
          </w:p>
        </w:tc>
        <w:tc>
          <w:tcPr>
            <w:tcW w:type="dxa" w:w="1704"/>
            <w:vAlign w:val="top"/>
          </w:tcPr>
          <w:p>
            <w:r/>
            <w:r>
              <w:rPr>
                <w:rFonts w:ascii="Aptos" w:hAnsi="Aptos"/>
                <w:b w:val="0"/>
                <w:sz w:val="12"/>
              </w:rPr>
              <w:t>Insufficient explainability / audit reconstruction</w:t>
            </w:r>
          </w:p>
        </w:tc>
        <w:tc>
          <w:tcPr>
            <w:tcW w:type="dxa" w:w="1704"/>
            <w:vAlign w:val="top"/>
          </w:tcPr>
          <w:p>
            <w:r/>
            <w:r>
              <w:rPr>
                <w:rFonts w:ascii="Aptos" w:hAnsi="Aptos"/>
                <w:b w:val="0"/>
                <w:sz w:val="12"/>
              </w:rPr>
              <w:t>The service may produce an outcome that cannot later be adequately reconstructed or explained for clinical review, incident investigation or regulatory evidence.</w:t>
            </w:r>
          </w:p>
        </w:tc>
        <w:tc>
          <w:tcPr>
            <w:tcW w:type="dxa" w:w="1704"/>
            <w:vAlign w:val="top"/>
          </w:tcPr>
          <w:p>
            <w:r/>
            <w:r>
              <w:rPr>
                <w:rFonts w:ascii="Aptos" w:hAnsi="Aptos"/>
                <w:b w:val="0"/>
                <w:sz w:val="12"/>
              </w:rPr>
              <w:t>L</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R14</w:t>
            </w:r>
          </w:p>
        </w:tc>
        <w:tc>
          <w:tcPr>
            <w:tcW w:type="dxa" w:w="1704"/>
            <w:vAlign w:val="top"/>
          </w:tcPr>
          <w:p>
            <w:r/>
            <w:r>
              <w:rPr>
                <w:rFonts w:ascii="Aptos" w:hAnsi="Aptos"/>
                <w:b w:val="0"/>
                <w:sz w:val="12"/>
              </w:rPr>
              <w:t>Service / dependency failure causing unsafe degradation</w:t>
            </w:r>
          </w:p>
        </w:tc>
        <w:tc>
          <w:tcPr>
            <w:tcW w:type="dxa" w:w="1704"/>
            <w:vAlign w:val="top"/>
          </w:tcPr>
          <w:p>
            <w:r/>
            <w:r>
              <w:rPr>
                <w:rFonts w:ascii="Aptos" w:hAnsi="Aptos"/>
                <w:b w:val="0"/>
                <w:sz w:val="12"/>
              </w:rPr>
              <w:t>Failure of inference, API, model store, identity, logging or downstream dependencies could interrupt assessment or cause incomplete/incorrect handling.</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r>
        <w:tc>
          <w:tcPr>
            <w:tcW w:type="dxa" w:w="1704"/>
            <w:vAlign w:val="top"/>
          </w:tcPr>
          <w:p>
            <w:r/>
            <w:r>
              <w:rPr>
                <w:rFonts w:ascii="Aptos" w:hAnsi="Aptos"/>
                <w:b w:val="0"/>
                <w:sz w:val="12"/>
              </w:rPr>
              <w:t>R15</w:t>
            </w:r>
          </w:p>
        </w:tc>
        <w:tc>
          <w:tcPr>
            <w:tcW w:type="dxa" w:w="1704"/>
            <w:vAlign w:val="top"/>
          </w:tcPr>
          <w:p>
            <w:r/>
            <w:r>
              <w:rPr>
                <w:rFonts w:ascii="Aptos" w:hAnsi="Aptos"/>
                <w:b w:val="0"/>
                <w:sz w:val="12"/>
              </w:rPr>
              <w:t>Clinical knowledge becomes outdated</w:t>
            </w:r>
          </w:p>
        </w:tc>
        <w:tc>
          <w:tcPr>
            <w:tcW w:type="dxa" w:w="1704"/>
            <w:vAlign w:val="top"/>
          </w:tcPr>
          <w:p>
            <w:r/>
            <w:r>
              <w:rPr>
                <w:rFonts w:ascii="Aptos" w:hAnsi="Aptos"/>
                <w:b w:val="0"/>
                <w:sz w:val="12"/>
              </w:rPr>
              <w:t>Clinical guidance, terminology or source pathways may change while an approved BN remains active, creating stale model behaviour.</w:t>
            </w:r>
          </w:p>
        </w:tc>
        <w:tc>
          <w:tcPr>
            <w:tcW w:type="dxa" w:w="1704"/>
            <w:vAlign w:val="top"/>
          </w:tcPr>
          <w:p>
            <w:r/>
            <w:r>
              <w:rPr>
                <w:rFonts w:ascii="Aptos" w:hAnsi="Aptos"/>
                <w:b w:val="0"/>
                <w:sz w:val="12"/>
              </w:rPr>
              <w:t>M</w:t>
            </w:r>
          </w:p>
        </w:tc>
        <w:tc>
          <w:tcPr>
            <w:tcW w:type="dxa" w:w="1704"/>
            <w:vAlign w:val="top"/>
          </w:tcPr>
          <w:p>
            <w:r/>
            <w:r>
              <w:rPr>
                <w:rFonts w:ascii="Aptos" w:hAnsi="Aptos"/>
                <w:b w:val="0"/>
                <w:sz w:val="12"/>
              </w:rPr>
              <w:t>H</w:t>
            </w:r>
          </w:p>
        </w:tc>
        <w:tc>
          <w:tcPr>
            <w:tcW w:type="dxa" w:w="1704"/>
            <w:vAlign w:val="top"/>
          </w:tcPr>
          <w:p>
            <w:r/>
            <w:r>
              <w:rPr>
                <w:rFonts w:ascii="Aptos" w:hAnsi="Aptos"/>
                <w:b w:val="0"/>
                <w:sz w:val="12"/>
              </w:rPr>
              <w:t>High</w:t>
            </w:r>
          </w:p>
        </w:tc>
      </w:tr>
    </w:tbl>
    <w:p/>
    <w:p>
      <w:pPr>
        <w:pStyle w:val="Heading1"/>
      </w:pPr>
      <w:r>
        <w:t>5. Risk Treatment Plan (C5)</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2"/>
              </w:rPr>
              <w:t>Ref</w:t>
            </w:r>
          </w:p>
        </w:tc>
        <w:tc>
          <w:tcPr>
            <w:tcW w:type="dxa" w:w="2045"/>
            <w:vAlign w:val="top"/>
            <w:shd w:fill="D9EAD3"/>
          </w:tcPr>
          <w:p>
            <w:r/>
            <w:r>
              <w:rPr>
                <w:rFonts w:ascii="Aptos" w:hAnsi="Aptos"/>
                <w:b/>
                <w:sz w:val="12"/>
              </w:rPr>
              <w:t>Mitigation / control</w:t>
            </w:r>
          </w:p>
        </w:tc>
        <w:tc>
          <w:tcPr>
            <w:tcW w:type="dxa" w:w="2045"/>
            <w:vAlign w:val="top"/>
            <w:shd w:fill="D9EAD3"/>
          </w:tcPr>
          <w:p>
            <w:r/>
            <w:r>
              <w:rPr>
                <w:rFonts w:ascii="Aptos" w:hAnsi="Aptos"/>
                <w:b/>
                <w:sz w:val="12"/>
              </w:rPr>
              <w:t>Owner</w:t>
            </w:r>
          </w:p>
        </w:tc>
        <w:tc>
          <w:tcPr>
            <w:tcW w:type="dxa" w:w="2045"/>
            <w:vAlign w:val="top"/>
            <w:shd w:fill="D9EAD3"/>
          </w:tcPr>
          <w:p>
            <w:r/>
            <w:r>
              <w:rPr>
                <w:rFonts w:ascii="Aptos" w:hAnsi="Aptos"/>
                <w:b/>
                <w:sz w:val="12"/>
              </w:rPr>
              <w:t>Residual rating</w:t>
            </w:r>
          </w:p>
        </w:tc>
        <w:tc>
          <w:tcPr>
            <w:tcW w:type="dxa" w:w="2045"/>
            <w:vAlign w:val="top"/>
            <w:shd w:fill="D9EAD3"/>
          </w:tcPr>
          <w:p>
            <w:r/>
            <w:r>
              <w:rPr>
                <w:rFonts w:ascii="Aptos" w:hAnsi="Aptos"/>
                <w:b/>
                <w:sz w:val="12"/>
              </w:rPr>
              <w:t>Verification (link)</w:t>
            </w:r>
          </w:p>
        </w:tc>
      </w:tr>
      <w:tr>
        <w:tc>
          <w:tcPr>
            <w:tcW w:type="dxa" w:w="2045"/>
            <w:vAlign w:val="top"/>
          </w:tcPr>
          <w:p>
            <w:r/>
            <w:r>
              <w:rPr>
                <w:rFonts w:ascii="Aptos" w:hAnsi="Aptos"/>
                <w:b w:val="0"/>
                <w:sz w:val="12"/>
              </w:rPr>
              <w:t>R1</w:t>
            </w:r>
          </w:p>
        </w:tc>
        <w:tc>
          <w:tcPr>
            <w:tcW w:type="dxa" w:w="2045"/>
            <w:vAlign w:val="top"/>
          </w:tcPr>
          <w:p>
            <w:r/>
            <w:r>
              <w:rPr>
                <w:rFonts w:ascii="Aptos" w:hAnsi="Aptos"/>
                <w:b w:val="0"/>
                <w:sz w:val="12"/>
              </w:rPr>
              <w:t>Evaluate clinically relevant demographic/subgroup performance; use representative data where available; clinical and Data/AI Ethics review; investigate unacceptable disparities; maintain accessible/human-assisted alternatives and monitor complaints/outcomes.</w:t>
            </w:r>
          </w:p>
        </w:tc>
        <w:tc>
          <w:tcPr>
            <w:tcW w:type="dxa" w:w="2045"/>
            <w:vAlign w:val="top"/>
          </w:tcPr>
          <w:p>
            <w:r/>
            <w:r>
              <w:rPr>
                <w:rFonts w:ascii="Aptos" w:hAnsi="Aptos"/>
                <w:b w:val="0"/>
                <w:sz w:val="12"/>
              </w:rPr>
              <w:t>Data Science + Clinical + Data/AI Ethics</w:t>
            </w:r>
          </w:p>
        </w:tc>
        <w:tc>
          <w:tcPr>
            <w:tcW w:type="dxa" w:w="2045"/>
            <w:vAlign w:val="top"/>
          </w:tcPr>
          <w:p>
            <w:r/>
            <w:r>
              <w:rPr>
                <w:rFonts w:ascii="Aptos" w:hAnsi="Aptos"/>
                <w:b w:val="0"/>
                <w:sz w:val="12"/>
              </w:rPr>
              <w:t>Medium</w:t>
            </w:r>
          </w:p>
        </w:tc>
        <w:tc>
          <w:tcPr>
            <w:tcW w:type="dxa" w:w="2045"/>
            <w:vAlign w:val="top"/>
          </w:tcPr>
          <w:p>
            <w:r/>
            <w:r>
              <w:rPr>
                <w:rFonts w:ascii="Aptos" w:hAnsi="Aptos"/>
                <w:b w:val="0"/>
                <w:sz w:val="12"/>
              </w:rPr>
              <w:t>Monitoring &amp; Review Record - fairness/subgroup evaluation [TBC section]</w:t>
            </w:r>
          </w:p>
        </w:tc>
      </w:tr>
      <w:tr>
        <w:tc>
          <w:tcPr>
            <w:tcW w:type="dxa" w:w="2045"/>
            <w:vAlign w:val="top"/>
          </w:tcPr>
          <w:p>
            <w:r/>
            <w:r>
              <w:rPr>
                <w:rFonts w:ascii="Aptos" w:hAnsi="Aptos"/>
                <w:b w:val="0"/>
                <w:sz w:val="12"/>
              </w:rPr>
              <w:t>R2</w:t>
            </w:r>
          </w:p>
        </w:tc>
        <w:tc>
          <w:tcPr>
            <w:tcW w:type="dxa" w:w="2045"/>
            <w:vAlign w:val="top"/>
          </w:tcPr>
          <w:p>
            <w:r/>
            <w:r>
              <w:rPr>
                <w:rFonts w:ascii="Aptos" w:hAnsi="Aptos"/>
                <w:b w:val="0"/>
                <w:sz w:val="12"/>
              </w:rPr>
              <w:t>Formal V&amp;V against safety-weighted acceptance criteria; clinician-authored vignettes; calibration/discrimination testing; high-risk sensitivity/false-negative testing; safe uncertainty/escalation rules; controlled release and rollback.</w:t>
            </w:r>
          </w:p>
        </w:tc>
        <w:tc>
          <w:tcPr>
            <w:tcW w:type="dxa" w:w="2045"/>
            <w:vAlign w:val="top"/>
          </w:tcPr>
          <w:p>
            <w:r/>
            <w:r>
              <w:rPr>
                <w:rFonts w:ascii="Aptos" w:hAnsi="Aptos"/>
                <w:b w:val="0"/>
                <w:sz w:val="12"/>
              </w:rPr>
              <w:t>Clinical + Data Science + QA</w:t>
            </w:r>
          </w:p>
        </w:tc>
        <w:tc>
          <w:tcPr>
            <w:tcW w:type="dxa" w:w="2045"/>
            <w:vAlign w:val="top"/>
          </w:tcPr>
          <w:p>
            <w:r/>
            <w:r>
              <w:rPr>
                <w:rFonts w:ascii="Aptos" w:hAnsi="Aptos"/>
                <w:b w:val="0"/>
                <w:sz w:val="12"/>
              </w:rPr>
              <w:t>Medium</w:t>
            </w:r>
          </w:p>
        </w:tc>
        <w:tc>
          <w:tcPr>
            <w:tcW w:type="dxa" w:w="2045"/>
            <w:vAlign w:val="top"/>
          </w:tcPr>
          <w:p>
            <w:r/>
            <w:r>
              <w:rPr>
                <w:rFonts w:ascii="Aptos" w:hAnsi="Aptos"/>
                <w:b w:val="0"/>
                <w:sz w:val="12"/>
              </w:rPr>
              <w:t>MRR - clinical/model V&amp;V [TBC]</w:t>
            </w:r>
          </w:p>
        </w:tc>
      </w:tr>
      <w:tr>
        <w:tc>
          <w:tcPr>
            <w:tcW w:type="dxa" w:w="2045"/>
            <w:vAlign w:val="top"/>
          </w:tcPr>
          <w:p>
            <w:r/>
            <w:r>
              <w:rPr>
                <w:rFonts w:ascii="Aptos" w:hAnsi="Aptos"/>
                <w:b w:val="0"/>
                <w:sz w:val="12"/>
              </w:rPr>
              <w:t>R3</w:t>
            </w:r>
          </w:p>
        </w:tc>
        <w:tc>
          <w:tcPr>
            <w:tcW w:type="dxa" w:w="2045"/>
            <w:vAlign w:val="top"/>
          </w:tcPr>
          <w:p>
            <w:r/>
            <w:r>
              <w:rPr>
                <w:rFonts w:ascii="Aptos" w:hAnsi="Aptos"/>
                <w:b w:val="0"/>
                <w:sz w:val="12"/>
              </w:rPr>
              <w:t>Data minimisation; approved DPIA/DMR; encryption in transit/at rest; least-privilege access; logging controls; no PII to Bedrock under current build-time use cases; security monitoring and audit.</w:t>
            </w:r>
          </w:p>
        </w:tc>
        <w:tc>
          <w:tcPr>
            <w:tcW w:type="dxa" w:w="2045"/>
            <w:vAlign w:val="top"/>
          </w:tcPr>
          <w:p>
            <w:r/>
            <w:r>
              <w:rPr>
                <w:rFonts w:ascii="Aptos" w:hAnsi="Aptos"/>
                <w:b w:val="0"/>
                <w:sz w:val="12"/>
              </w:rPr>
              <w:t>IG/Data Protection + Security + Platform</w:t>
            </w:r>
          </w:p>
        </w:tc>
        <w:tc>
          <w:tcPr>
            <w:tcW w:type="dxa" w:w="2045"/>
            <w:vAlign w:val="top"/>
          </w:tcPr>
          <w:p>
            <w:r/>
            <w:r>
              <w:rPr>
                <w:rFonts w:ascii="Aptos" w:hAnsi="Aptos"/>
                <w:b w:val="0"/>
                <w:sz w:val="12"/>
              </w:rPr>
              <w:t>Low/Medium</w:t>
            </w:r>
          </w:p>
        </w:tc>
        <w:tc>
          <w:tcPr>
            <w:tcW w:type="dxa" w:w="2045"/>
            <w:vAlign w:val="top"/>
          </w:tcPr>
          <w:p>
            <w:r/>
            <w:r>
              <w:rPr>
                <w:rFonts w:ascii="Aptos" w:hAnsi="Aptos"/>
                <w:b w:val="0"/>
                <w:sz w:val="12"/>
              </w:rPr>
              <w:t>DMR/DPIA + security control evidence + MRR log review [TBC]</w:t>
            </w:r>
          </w:p>
        </w:tc>
      </w:tr>
      <w:tr>
        <w:tc>
          <w:tcPr>
            <w:tcW w:type="dxa" w:w="2045"/>
            <w:vAlign w:val="top"/>
          </w:tcPr>
          <w:p>
            <w:r/>
            <w:r>
              <w:rPr>
                <w:rFonts w:ascii="Aptos" w:hAnsi="Aptos"/>
                <w:b w:val="0"/>
                <w:sz w:val="12"/>
              </w:rPr>
              <w:t>R4</w:t>
            </w:r>
          </w:p>
        </w:tc>
        <w:tc>
          <w:tcPr>
            <w:tcW w:type="dxa" w:w="2045"/>
            <w:vAlign w:val="top"/>
          </w:tcPr>
          <w:p>
            <w:r/>
            <w:r>
              <w:rPr>
                <w:rFonts w:ascii="Aptos" w:hAnsi="Aptos"/>
                <w:b w:val="0"/>
                <w:sz w:val="12"/>
              </w:rPr>
              <w:t>Strict schema/input validation; WAF/API protections; contradiction handling; rate limiting where appropriate; adversarial/red-team testing; anomaly/error monitoring; no open-ended runtime prompt/tool interface.</w:t>
            </w:r>
          </w:p>
        </w:tc>
        <w:tc>
          <w:tcPr>
            <w:tcW w:type="dxa" w:w="2045"/>
            <w:vAlign w:val="top"/>
          </w:tcPr>
          <w:p>
            <w:r/>
            <w:r>
              <w:rPr>
                <w:rFonts w:ascii="Aptos" w:hAnsi="Aptos"/>
                <w:b w:val="0"/>
                <w:sz w:val="12"/>
              </w:rPr>
              <w:t>Security + Software Engineering + QA</w:t>
            </w:r>
          </w:p>
        </w:tc>
        <w:tc>
          <w:tcPr>
            <w:tcW w:type="dxa" w:w="2045"/>
            <w:vAlign w:val="top"/>
          </w:tcPr>
          <w:p>
            <w:r/>
            <w:r>
              <w:rPr>
                <w:rFonts w:ascii="Aptos" w:hAnsi="Aptos"/>
                <w:b w:val="0"/>
                <w:sz w:val="12"/>
              </w:rPr>
              <w:t>Medium</w:t>
            </w:r>
          </w:p>
        </w:tc>
        <w:tc>
          <w:tcPr>
            <w:tcW w:type="dxa" w:w="2045"/>
            <w:vAlign w:val="top"/>
          </w:tcPr>
          <w:p>
            <w:r/>
            <w:r>
              <w:rPr>
                <w:rFonts w:ascii="Aptos" w:hAnsi="Aptos"/>
                <w:b w:val="0"/>
                <w:sz w:val="12"/>
              </w:rPr>
              <w:t>MRR - C14 adversarial testing [TBC]</w:t>
            </w:r>
          </w:p>
        </w:tc>
      </w:tr>
      <w:tr>
        <w:tc>
          <w:tcPr>
            <w:tcW w:type="dxa" w:w="2045"/>
            <w:vAlign w:val="top"/>
          </w:tcPr>
          <w:p>
            <w:r/>
            <w:r>
              <w:rPr>
                <w:rFonts w:ascii="Aptos" w:hAnsi="Aptos"/>
                <w:b w:val="0"/>
                <w:sz w:val="12"/>
              </w:rPr>
              <w:t>R5</w:t>
            </w:r>
          </w:p>
        </w:tc>
        <w:tc>
          <w:tcPr>
            <w:tcW w:type="dxa" w:w="2045"/>
            <w:vAlign w:val="top"/>
          </w:tcPr>
          <w:p>
            <w:r/>
            <w:r>
              <w:rPr>
                <w:rFonts w:ascii="Aptos" w:hAnsi="Aptos"/>
                <w:b w:val="0"/>
                <w:sz w:val="12"/>
              </w:rPr>
              <w:t>Post-go-live calibration/performance/drift monitoring; agreed thresholds; periodic review; controlled recalibration/retraining/model refresh; reapproval before material release.</w:t>
            </w:r>
          </w:p>
        </w:tc>
        <w:tc>
          <w:tcPr>
            <w:tcW w:type="dxa" w:w="2045"/>
            <w:vAlign w:val="top"/>
          </w:tcPr>
          <w:p>
            <w:r/>
            <w:r>
              <w:rPr>
                <w:rFonts w:ascii="Aptos" w:hAnsi="Aptos"/>
                <w:b w:val="0"/>
                <w:sz w:val="12"/>
              </w:rPr>
              <w:t>Data Science + Clinical + Operations</w:t>
            </w:r>
          </w:p>
        </w:tc>
        <w:tc>
          <w:tcPr>
            <w:tcW w:type="dxa" w:w="2045"/>
            <w:vAlign w:val="top"/>
          </w:tcPr>
          <w:p>
            <w:r/>
            <w:r>
              <w:rPr>
                <w:rFonts w:ascii="Aptos" w:hAnsi="Aptos"/>
                <w:b w:val="0"/>
                <w:sz w:val="12"/>
              </w:rPr>
              <w:t>Medium</w:t>
            </w:r>
          </w:p>
        </w:tc>
        <w:tc>
          <w:tcPr>
            <w:tcW w:type="dxa" w:w="2045"/>
            <w:vAlign w:val="top"/>
          </w:tcPr>
          <w:p>
            <w:r/>
            <w:r>
              <w:rPr>
                <w:rFonts w:ascii="Aptos" w:hAnsi="Aptos"/>
                <w:b w:val="0"/>
                <w:sz w:val="12"/>
              </w:rPr>
              <w:t>MRR - monitoring/drift [TBC]</w:t>
            </w:r>
          </w:p>
        </w:tc>
      </w:tr>
      <w:tr>
        <w:tc>
          <w:tcPr>
            <w:tcW w:type="dxa" w:w="2045"/>
            <w:vAlign w:val="top"/>
          </w:tcPr>
          <w:p>
            <w:r/>
            <w:r>
              <w:rPr>
                <w:rFonts w:ascii="Aptos" w:hAnsi="Aptos"/>
                <w:b w:val="0"/>
                <w:sz w:val="12"/>
              </w:rPr>
              <w:t>R6</w:t>
            </w:r>
          </w:p>
        </w:tc>
        <w:tc>
          <w:tcPr>
            <w:tcW w:type="dxa" w:w="2045"/>
            <w:vAlign w:val="top"/>
          </w:tcPr>
          <w:p>
            <w:r/>
            <w:r>
              <w:rPr>
                <w:rFonts w:ascii="Aptos" w:hAnsi="Aptos"/>
                <w:b w:val="0"/>
                <w:sz w:val="12"/>
              </w:rPr>
              <w:t>Use approved enterprise AWS services; record model/service versions; supplier/contract assessment; avoid runtime dependency on third-party LLMs; abstraction/version controls where practical; documented exit/replacement path.</w:t>
            </w:r>
          </w:p>
        </w:tc>
        <w:tc>
          <w:tcPr>
            <w:tcW w:type="dxa" w:w="2045"/>
            <w:vAlign w:val="top"/>
          </w:tcPr>
          <w:p>
            <w:r/>
            <w:r>
              <w:rPr>
                <w:rFonts w:ascii="Aptos" w:hAnsi="Aptos"/>
                <w:b w:val="0"/>
                <w:sz w:val="12"/>
              </w:rPr>
              <w:t>Architecture + Commercial + Platform</w:t>
            </w:r>
          </w:p>
        </w:tc>
        <w:tc>
          <w:tcPr>
            <w:tcW w:type="dxa" w:w="2045"/>
            <w:vAlign w:val="top"/>
          </w:tcPr>
          <w:p>
            <w:r/>
            <w:r>
              <w:rPr>
                <w:rFonts w:ascii="Aptos" w:hAnsi="Aptos"/>
                <w:b w:val="0"/>
                <w:sz w:val="12"/>
              </w:rPr>
              <w:t>Low/Medium</w:t>
            </w:r>
          </w:p>
        </w:tc>
        <w:tc>
          <w:tcPr>
            <w:tcW w:type="dxa" w:w="2045"/>
            <w:vAlign w:val="top"/>
          </w:tcPr>
          <w:p>
            <w:r/>
            <w:r>
              <w:rPr>
                <w:rFonts w:ascii="Aptos" w:hAnsi="Aptos"/>
                <w:b w:val="0"/>
                <w:sz w:val="12"/>
              </w:rPr>
              <w:t>Supplier/tooling approval + MRR dependency review [TBC]</w:t>
            </w:r>
          </w:p>
        </w:tc>
      </w:tr>
      <w:tr>
        <w:tc>
          <w:tcPr>
            <w:tcW w:type="dxa" w:w="2045"/>
            <w:vAlign w:val="top"/>
          </w:tcPr>
          <w:p>
            <w:r/>
            <w:r>
              <w:rPr>
                <w:rFonts w:ascii="Aptos" w:hAnsi="Aptos"/>
                <w:b w:val="0"/>
                <w:sz w:val="12"/>
              </w:rPr>
              <w:t>R7</w:t>
            </w:r>
          </w:p>
        </w:tc>
        <w:tc>
          <w:tcPr>
            <w:tcW w:type="dxa" w:w="2045"/>
            <w:vAlign w:val="top"/>
          </w:tcPr>
          <w:p>
            <w:r/>
            <w:r>
              <w:rPr>
                <w:rFonts w:ascii="Aptos" w:hAnsi="Aptos"/>
                <w:b w:val="0"/>
                <w:sz w:val="12"/>
              </w:rPr>
              <w:t>Clear intended-use and operator documentation; API contract controls; channel onboarding/assurance; model/channel allow-listing; audit; change governance and redress/escalation route.</w:t>
            </w:r>
          </w:p>
        </w:tc>
        <w:tc>
          <w:tcPr>
            <w:tcW w:type="dxa" w:w="2045"/>
            <w:vAlign w:val="top"/>
          </w:tcPr>
          <w:p>
            <w:r/>
            <w:r>
              <w:rPr>
                <w:rFonts w:ascii="Aptos" w:hAnsi="Aptos"/>
                <w:b w:val="0"/>
                <w:sz w:val="12"/>
              </w:rPr>
              <w:t>Product + Architecture + Clinical</w:t>
            </w:r>
          </w:p>
        </w:tc>
        <w:tc>
          <w:tcPr>
            <w:tcW w:type="dxa" w:w="2045"/>
            <w:vAlign w:val="top"/>
          </w:tcPr>
          <w:p>
            <w:r/>
            <w:r>
              <w:rPr>
                <w:rFonts w:ascii="Aptos" w:hAnsi="Aptos"/>
                <w:b w:val="0"/>
                <w:sz w:val="12"/>
              </w:rPr>
              <w:t>Medium</w:t>
            </w:r>
          </w:p>
        </w:tc>
        <w:tc>
          <w:tcPr>
            <w:tcW w:type="dxa" w:w="2045"/>
            <w:vAlign w:val="top"/>
          </w:tcPr>
          <w:p>
            <w:r/>
            <w:r>
              <w:rPr>
                <w:rFonts w:ascii="Aptos" w:hAnsi="Aptos"/>
                <w:b w:val="0"/>
                <w:sz w:val="12"/>
              </w:rPr>
              <w:t>System Description C9 + onboarding evidence + MRR audit [TBC]</w:t>
            </w:r>
          </w:p>
        </w:tc>
      </w:tr>
      <w:tr>
        <w:tc>
          <w:tcPr>
            <w:tcW w:type="dxa" w:w="2045"/>
            <w:vAlign w:val="top"/>
          </w:tcPr>
          <w:p>
            <w:r/>
            <w:r>
              <w:rPr>
                <w:rFonts w:ascii="Aptos" w:hAnsi="Aptos"/>
                <w:b w:val="0"/>
                <w:sz w:val="12"/>
              </w:rPr>
              <w:t>R8</w:t>
            </w:r>
          </w:p>
        </w:tc>
        <w:tc>
          <w:tcPr>
            <w:tcW w:type="dxa" w:w="2045"/>
            <w:vAlign w:val="top"/>
          </w:tcPr>
          <w:p>
            <w:r/>
            <w:r>
              <w:rPr>
                <w:rFonts w:ascii="Aptos" w:hAnsi="Aptos"/>
                <w:b w:val="0"/>
                <w:sz w:val="12"/>
              </w:rPr>
              <w:t>Training/guidance; explicit limitations; human/clinical approval for material model changes; explainability views; usability testing; accountability matrix; challenge/escalation mechanisms.</w:t>
            </w:r>
          </w:p>
        </w:tc>
        <w:tc>
          <w:tcPr>
            <w:tcW w:type="dxa" w:w="2045"/>
            <w:vAlign w:val="top"/>
          </w:tcPr>
          <w:p>
            <w:r/>
            <w:r>
              <w:rPr>
                <w:rFonts w:ascii="Aptos" w:hAnsi="Aptos"/>
                <w:b w:val="0"/>
                <w:sz w:val="12"/>
              </w:rPr>
              <w:t>Product + Clinical + UX + QA</w:t>
            </w:r>
          </w:p>
        </w:tc>
        <w:tc>
          <w:tcPr>
            <w:tcW w:type="dxa" w:w="2045"/>
            <w:vAlign w:val="top"/>
          </w:tcPr>
          <w:p>
            <w:r/>
            <w:r>
              <w:rPr>
                <w:rFonts w:ascii="Aptos" w:hAnsi="Aptos"/>
                <w:b w:val="0"/>
                <w:sz w:val="12"/>
              </w:rPr>
              <w:t>Medium</w:t>
            </w:r>
          </w:p>
        </w:tc>
        <w:tc>
          <w:tcPr>
            <w:tcW w:type="dxa" w:w="2045"/>
            <w:vAlign w:val="top"/>
          </w:tcPr>
          <w:p>
            <w:r/>
            <w:r>
              <w:rPr>
                <w:rFonts w:ascii="Aptos" w:hAnsi="Aptos"/>
                <w:b w:val="0"/>
                <w:sz w:val="12"/>
              </w:rPr>
              <w:t>System Description C9 + usability/oversight evidence [TBC]</w:t>
            </w:r>
          </w:p>
        </w:tc>
      </w:tr>
      <w:tr>
        <w:tc>
          <w:tcPr>
            <w:tcW w:type="dxa" w:w="2045"/>
            <w:vAlign w:val="top"/>
          </w:tcPr>
          <w:p>
            <w:r/>
            <w:r>
              <w:rPr>
                <w:rFonts w:ascii="Aptos" w:hAnsi="Aptos"/>
                <w:b w:val="0"/>
                <w:sz w:val="12"/>
              </w:rPr>
              <w:t>R9</w:t>
            </w:r>
          </w:p>
        </w:tc>
        <w:tc>
          <w:tcPr>
            <w:tcW w:type="dxa" w:w="2045"/>
            <w:vAlign w:val="top"/>
          </w:tcPr>
          <w:p>
            <w:r/>
            <w:r>
              <w:rPr>
                <w:rFonts w:ascii="Aptos" w:hAnsi="Aptos"/>
                <w:b w:val="0"/>
                <w:sz w:val="12"/>
              </w:rPr>
              <w:t>Traceable source provenance; automated structural/consistency checks; DAG/CPT review; clinician sign-off; versioned immutable model artefacts; regression/vignette tests.</w:t>
            </w:r>
          </w:p>
        </w:tc>
        <w:tc>
          <w:tcPr>
            <w:tcW w:type="dxa" w:w="2045"/>
            <w:vAlign w:val="top"/>
          </w:tcPr>
          <w:p>
            <w:r/>
            <w:r>
              <w:rPr>
                <w:rFonts w:ascii="Aptos" w:hAnsi="Aptos"/>
                <w:b w:val="0"/>
                <w:sz w:val="12"/>
              </w:rPr>
              <w:t>Clinical + Data Science/AI Engineering</w:t>
            </w:r>
          </w:p>
        </w:tc>
        <w:tc>
          <w:tcPr>
            <w:tcW w:type="dxa" w:w="2045"/>
            <w:vAlign w:val="top"/>
          </w:tcPr>
          <w:p>
            <w:r/>
            <w:r>
              <w:rPr>
                <w:rFonts w:ascii="Aptos" w:hAnsi="Aptos"/>
                <w:b w:val="0"/>
                <w:sz w:val="12"/>
              </w:rPr>
              <w:t>Medium</w:t>
            </w:r>
          </w:p>
        </w:tc>
        <w:tc>
          <w:tcPr>
            <w:tcW w:type="dxa" w:w="2045"/>
            <w:vAlign w:val="top"/>
          </w:tcPr>
          <w:p>
            <w:r/>
            <w:r>
              <w:rPr>
                <w:rFonts w:ascii="Aptos" w:hAnsi="Aptos"/>
                <w:b w:val="0"/>
                <w:sz w:val="12"/>
              </w:rPr>
              <w:t>MRR - model build/validation evidence [TBC]</w:t>
            </w:r>
          </w:p>
        </w:tc>
      </w:tr>
      <w:tr>
        <w:tc>
          <w:tcPr>
            <w:tcW w:type="dxa" w:w="2045"/>
            <w:vAlign w:val="top"/>
          </w:tcPr>
          <w:p>
            <w:r/>
            <w:r>
              <w:rPr>
                <w:rFonts w:ascii="Aptos" w:hAnsi="Aptos"/>
                <w:b w:val="0"/>
                <w:sz w:val="12"/>
              </w:rPr>
              <w:t>R10</w:t>
            </w:r>
          </w:p>
        </w:tc>
        <w:tc>
          <w:tcPr>
            <w:tcW w:type="dxa" w:w="2045"/>
            <w:vAlign w:val="top"/>
          </w:tcPr>
          <w:p>
            <w:r/>
            <w:r>
              <w:rPr>
                <w:rFonts w:ascii="Aptos" w:hAnsi="Aptos"/>
                <w:b w:val="0"/>
                <w:sz w:val="12"/>
              </w:rPr>
              <w:t>Version-controlled safety settings; role-based access; no direct-to-production configuration; draft -&gt; validate -&gt; clinical approve -&gt; release workflow; regression testing and rollback.</w:t>
            </w:r>
          </w:p>
        </w:tc>
        <w:tc>
          <w:tcPr>
            <w:tcW w:type="dxa" w:w="2045"/>
            <w:vAlign w:val="top"/>
          </w:tcPr>
          <w:p>
            <w:r/>
            <w:r>
              <w:rPr>
                <w:rFonts w:ascii="Aptos" w:hAnsi="Aptos"/>
                <w:b w:val="0"/>
                <w:sz w:val="12"/>
              </w:rPr>
              <w:t>Clinical Safety + Product + Engineering</w:t>
            </w:r>
          </w:p>
        </w:tc>
        <w:tc>
          <w:tcPr>
            <w:tcW w:type="dxa" w:w="2045"/>
            <w:vAlign w:val="top"/>
          </w:tcPr>
          <w:p>
            <w:r/>
            <w:r>
              <w:rPr>
                <w:rFonts w:ascii="Aptos" w:hAnsi="Aptos"/>
                <w:b w:val="0"/>
                <w:sz w:val="12"/>
              </w:rPr>
              <w:t>Low/Medium</w:t>
            </w:r>
          </w:p>
        </w:tc>
        <w:tc>
          <w:tcPr>
            <w:tcW w:type="dxa" w:w="2045"/>
            <w:vAlign w:val="top"/>
          </w:tcPr>
          <w:p>
            <w:r/>
            <w:r>
              <w:rPr>
                <w:rFonts w:ascii="Aptos" w:hAnsi="Aptos"/>
                <w:b w:val="0"/>
                <w:sz w:val="12"/>
              </w:rPr>
              <w:t>Approvals log + MRR regression evidence [TBC]</w:t>
            </w:r>
          </w:p>
        </w:tc>
      </w:tr>
      <w:tr>
        <w:tc>
          <w:tcPr>
            <w:tcW w:type="dxa" w:w="2045"/>
            <w:vAlign w:val="top"/>
          </w:tcPr>
          <w:p>
            <w:r/>
            <w:r>
              <w:rPr>
                <w:rFonts w:ascii="Aptos" w:hAnsi="Aptos"/>
                <w:b w:val="0"/>
                <w:sz w:val="12"/>
              </w:rPr>
              <w:t>R11</w:t>
            </w:r>
          </w:p>
        </w:tc>
        <w:tc>
          <w:tcPr>
            <w:tcW w:type="dxa" w:w="2045"/>
            <w:vAlign w:val="top"/>
          </w:tcPr>
          <w:p>
            <w:r/>
            <w:r>
              <w:rPr>
                <w:rFonts w:ascii="Aptos" w:hAnsi="Aptos"/>
                <w:b w:val="0"/>
                <w:sz w:val="12"/>
              </w:rPr>
              <w:t>Explicit orchestration/aggregation design; unit/integration/cross-model tests; deterministic routing where possible; audit of selected model(s); safe fallback for ambiguous routing.</w:t>
            </w:r>
          </w:p>
        </w:tc>
        <w:tc>
          <w:tcPr>
            <w:tcW w:type="dxa" w:w="2045"/>
            <w:vAlign w:val="top"/>
          </w:tcPr>
          <w:p>
            <w:r/>
            <w:r>
              <w:rPr>
                <w:rFonts w:ascii="Aptos" w:hAnsi="Aptos"/>
                <w:b w:val="0"/>
                <w:sz w:val="12"/>
              </w:rPr>
              <w:t>Architecture + Data Science + QA + Clinical</w:t>
            </w:r>
          </w:p>
        </w:tc>
        <w:tc>
          <w:tcPr>
            <w:tcW w:type="dxa" w:w="2045"/>
            <w:vAlign w:val="top"/>
          </w:tcPr>
          <w:p>
            <w:r/>
            <w:r>
              <w:rPr>
                <w:rFonts w:ascii="Aptos" w:hAnsi="Aptos"/>
                <w:b w:val="0"/>
                <w:sz w:val="12"/>
              </w:rPr>
              <w:t>Medium</w:t>
            </w:r>
          </w:p>
        </w:tc>
        <w:tc>
          <w:tcPr>
            <w:tcW w:type="dxa" w:w="2045"/>
            <w:vAlign w:val="top"/>
          </w:tcPr>
          <w:p>
            <w:r/>
            <w:r>
              <w:rPr>
                <w:rFonts w:ascii="Aptos" w:hAnsi="Aptos"/>
                <w:b w:val="0"/>
                <w:sz w:val="12"/>
              </w:rPr>
              <w:t>MRR - federated topology tests [TBC]</w:t>
            </w:r>
          </w:p>
        </w:tc>
      </w:tr>
      <w:tr>
        <w:tc>
          <w:tcPr>
            <w:tcW w:type="dxa" w:w="2045"/>
            <w:vAlign w:val="top"/>
          </w:tcPr>
          <w:p>
            <w:r/>
            <w:r>
              <w:rPr>
                <w:rFonts w:ascii="Aptos" w:hAnsi="Aptos"/>
                <w:b w:val="0"/>
                <w:sz w:val="12"/>
              </w:rPr>
              <w:t>R12</w:t>
            </w:r>
          </w:p>
        </w:tc>
        <w:tc>
          <w:tcPr>
            <w:tcW w:type="dxa" w:w="2045"/>
            <w:vAlign w:val="top"/>
          </w:tcPr>
          <w:p>
            <w:r/>
            <w:r>
              <w:rPr>
                <w:rFonts w:ascii="Aptos" w:hAnsi="Aptos"/>
                <w:b w:val="0"/>
                <w:sz w:val="12"/>
              </w:rPr>
              <w:t>Restrict LLMs to build-time assistance; approved Bedrock models only; source-grounded prompts/processes; human review of every output entering the model; named clinician approval for clinically material content; retain provenance.</w:t>
            </w:r>
          </w:p>
        </w:tc>
        <w:tc>
          <w:tcPr>
            <w:tcW w:type="dxa" w:w="2045"/>
            <w:vAlign w:val="top"/>
          </w:tcPr>
          <w:p>
            <w:r/>
            <w:r>
              <w:rPr>
                <w:rFonts w:ascii="Aptos" w:hAnsi="Aptos"/>
                <w:b w:val="0"/>
                <w:sz w:val="12"/>
              </w:rPr>
              <w:t>AI Engineering + Clinical</w:t>
            </w:r>
          </w:p>
        </w:tc>
        <w:tc>
          <w:tcPr>
            <w:tcW w:type="dxa" w:w="2045"/>
            <w:vAlign w:val="top"/>
          </w:tcPr>
          <w:p>
            <w:r/>
            <w:r>
              <w:rPr>
                <w:rFonts w:ascii="Aptos" w:hAnsi="Aptos"/>
                <w:b w:val="0"/>
                <w:sz w:val="12"/>
              </w:rPr>
              <w:t>Low/Medium</w:t>
            </w:r>
          </w:p>
        </w:tc>
        <w:tc>
          <w:tcPr>
            <w:tcW w:type="dxa" w:w="2045"/>
            <w:vAlign w:val="top"/>
          </w:tcPr>
          <w:p>
            <w:r/>
            <w:r>
              <w:rPr>
                <w:rFonts w:ascii="Aptos" w:hAnsi="Aptos"/>
                <w:b w:val="0"/>
                <w:sz w:val="12"/>
              </w:rPr>
              <w:t>Build pipeline review/audit + MRR quality checks [TBC]</w:t>
            </w:r>
          </w:p>
        </w:tc>
      </w:tr>
      <w:tr>
        <w:tc>
          <w:tcPr>
            <w:tcW w:type="dxa" w:w="2045"/>
            <w:vAlign w:val="top"/>
          </w:tcPr>
          <w:p>
            <w:r/>
            <w:r>
              <w:rPr>
                <w:rFonts w:ascii="Aptos" w:hAnsi="Aptos"/>
                <w:b w:val="0"/>
                <w:sz w:val="12"/>
              </w:rPr>
              <w:t>R13</w:t>
            </w:r>
          </w:p>
        </w:tc>
        <w:tc>
          <w:tcPr>
            <w:tcW w:type="dxa" w:w="2045"/>
            <w:vAlign w:val="top"/>
          </w:tcPr>
          <w:p>
            <w:r/>
            <w:r>
              <w:rPr>
                <w:rFonts w:ascii="Aptos" w:hAnsi="Aptos"/>
                <w:b w:val="0"/>
                <w:sz w:val="12"/>
              </w:rPr>
              <w:t>Log model/configuration version, evidence state, material probability/decision changes and thresholds; protect logs from alteration; test audit reconstruction; retain approved artefacts/evaluation evidence.</w:t>
            </w:r>
          </w:p>
        </w:tc>
        <w:tc>
          <w:tcPr>
            <w:tcW w:type="dxa" w:w="2045"/>
            <w:vAlign w:val="top"/>
          </w:tcPr>
          <w:p>
            <w:r/>
            <w:r>
              <w:rPr>
                <w:rFonts w:ascii="Aptos" w:hAnsi="Aptos"/>
                <w:b w:val="0"/>
                <w:sz w:val="12"/>
              </w:rPr>
              <w:t>Architecture + Platform + Clinical Safety</w:t>
            </w:r>
          </w:p>
        </w:tc>
        <w:tc>
          <w:tcPr>
            <w:tcW w:type="dxa" w:w="2045"/>
            <w:vAlign w:val="top"/>
          </w:tcPr>
          <w:p>
            <w:r/>
            <w:r>
              <w:rPr>
                <w:rFonts w:ascii="Aptos" w:hAnsi="Aptos"/>
                <w:b w:val="0"/>
                <w:sz w:val="12"/>
              </w:rPr>
              <w:t>Low/Medium</w:t>
            </w:r>
          </w:p>
        </w:tc>
        <w:tc>
          <w:tcPr>
            <w:tcW w:type="dxa" w:w="2045"/>
            <w:vAlign w:val="top"/>
          </w:tcPr>
          <w:p>
            <w:r/>
            <w:r>
              <w:rPr>
                <w:rFonts w:ascii="Aptos" w:hAnsi="Aptos"/>
                <w:b w:val="0"/>
                <w:sz w:val="12"/>
              </w:rPr>
              <w:t>MRR - reconstruction test / logging review [TBC]</w:t>
            </w:r>
          </w:p>
        </w:tc>
      </w:tr>
      <w:tr>
        <w:tc>
          <w:tcPr>
            <w:tcW w:type="dxa" w:w="2045"/>
            <w:vAlign w:val="top"/>
          </w:tcPr>
          <w:p>
            <w:r/>
            <w:r>
              <w:rPr>
                <w:rFonts w:ascii="Aptos" w:hAnsi="Aptos"/>
                <w:b w:val="0"/>
                <w:sz w:val="12"/>
              </w:rPr>
              <w:t>R14</w:t>
            </w:r>
          </w:p>
        </w:tc>
        <w:tc>
          <w:tcPr>
            <w:tcW w:type="dxa" w:w="2045"/>
            <w:vAlign w:val="top"/>
          </w:tcPr>
          <w:p>
            <w:r/>
            <w:r>
              <w:rPr>
                <w:rFonts w:ascii="Aptos" w:hAnsi="Aptos"/>
                <w:b w:val="0"/>
                <w:sz w:val="12"/>
              </w:rPr>
              <w:t>Resilient AWS design; health checks; timeouts/retries only where clinically safe; controlled failure responses; availability monitoring; incident response; safe fallback to approved alternative triage route.</w:t>
            </w:r>
          </w:p>
        </w:tc>
        <w:tc>
          <w:tcPr>
            <w:tcW w:type="dxa" w:w="2045"/>
            <w:vAlign w:val="top"/>
          </w:tcPr>
          <w:p>
            <w:r/>
            <w:r>
              <w:rPr>
                <w:rFonts w:ascii="Aptos" w:hAnsi="Aptos"/>
                <w:b w:val="0"/>
                <w:sz w:val="12"/>
              </w:rPr>
              <w:t>Platform + Software Engineering + Clinical Safety</w:t>
            </w:r>
          </w:p>
        </w:tc>
        <w:tc>
          <w:tcPr>
            <w:tcW w:type="dxa" w:w="2045"/>
            <w:vAlign w:val="top"/>
          </w:tcPr>
          <w:p>
            <w:r/>
            <w:r>
              <w:rPr>
                <w:rFonts w:ascii="Aptos" w:hAnsi="Aptos"/>
                <w:b w:val="0"/>
                <w:sz w:val="12"/>
              </w:rPr>
              <w:t>Medium</w:t>
            </w:r>
          </w:p>
        </w:tc>
        <w:tc>
          <w:tcPr>
            <w:tcW w:type="dxa" w:w="2045"/>
            <w:vAlign w:val="top"/>
          </w:tcPr>
          <w:p>
            <w:r/>
            <w:r>
              <w:rPr>
                <w:rFonts w:ascii="Aptos" w:hAnsi="Aptos"/>
                <w:b w:val="0"/>
                <w:sz w:val="12"/>
              </w:rPr>
              <w:t>Operational NFR tests + MRR incidents/availability [TBC]</w:t>
            </w:r>
          </w:p>
        </w:tc>
      </w:tr>
      <w:tr>
        <w:tc>
          <w:tcPr>
            <w:tcW w:type="dxa" w:w="2045"/>
            <w:vAlign w:val="top"/>
          </w:tcPr>
          <w:p>
            <w:r/>
            <w:r>
              <w:rPr>
                <w:rFonts w:ascii="Aptos" w:hAnsi="Aptos"/>
                <w:b w:val="0"/>
                <w:sz w:val="12"/>
              </w:rPr>
              <w:t>R15</w:t>
            </w:r>
          </w:p>
        </w:tc>
        <w:tc>
          <w:tcPr>
            <w:tcW w:type="dxa" w:w="2045"/>
            <w:vAlign w:val="top"/>
          </w:tcPr>
          <w:p>
            <w:r/>
            <w:r>
              <w:rPr>
                <w:rFonts w:ascii="Aptos" w:hAnsi="Aptos"/>
                <w:b w:val="0"/>
                <w:sz w:val="12"/>
              </w:rPr>
              <w:t>Clinical content/model review cadence; source/version tracking; trigger reassessment on clinical guidance/terminology change; controlled model update/re-release.</w:t>
            </w:r>
          </w:p>
        </w:tc>
        <w:tc>
          <w:tcPr>
            <w:tcW w:type="dxa" w:w="2045"/>
            <w:vAlign w:val="top"/>
          </w:tcPr>
          <w:p>
            <w:r/>
            <w:r>
              <w:rPr>
                <w:rFonts w:ascii="Aptos" w:hAnsi="Aptos"/>
                <w:b w:val="0"/>
                <w:sz w:val="12"/>
              </w:rPr>
              <w:t>Clinical + Product + Model Governance</w:t>
            </w:r>
          </w:p>
        </w:tc>
        <w:tc>
          <w:tcPr>
            <w:tcW w:type="dxa" w:w="2045"/>
            <w:vAlign w:val="top"/>
          </w:tcPr>
          <w:p>
            <w:r/>
            <w:r>
              <w:rPr>
                <w:rFonts w:ascii="Aptos" w:hAnsi="Aptos"/>
                <w:b w:val="0"/>
                <w:sz w:val="12"/>
              </w:rPr>
              <w:t>Low/Medium</w:t>
            </w:r>
          </w:p>
        </w:tc>
        <w:tc>
          <w:tcPr>
            <w:tcW w:type="dxa" w:w="2045"/>
            <w:vAlign w:val="top"/>
          </w:tcPr>
          <w:p>
            <w:r/>
            <w:r>
              <w:rPr>
                <w:rFonts w:ascii="Aptos" w:hAnsi="Aptos"/>
                <w:b w:val="0"/>
                <w:sz w:val="12"/>
              </w:rPr>
              <w:t>MRR periodic review + change history [TBC]</w:t>
            </w:r>
          </w:p>
        </w:tc>
      </w:tr>
    </w:tbl>
    <w:p/>
    <w:p>
      <w:pPr>
        <w:pStyle w:val="Heading1"/>
      </w:pPr>
      <w:r>
        <w:t>6. Residual Risk Acceptance (C5)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5"/>
              </w:rPr>
              <w:t>Aspect</w:t>
            </w:r>
          </w:p>
        </w:tc>
        <w:tc>
          <w:tcPr>
            <w:tcW w:type="dxa" w:w="5112"/>
            <w:vAlign w:val="top"/>
            <w:shd w:fill="D9EAD3"/>
          </w:tcPr>
          <w:p>
            <w:r/>
            <w:r>
              <w:rPr>
                <w:rFonts w:ascii="Aptos" w:hAnsi="Aptos"/>
                <w:b/>
                <w:sz w:val="15"/>
              </w:rPr>
              <w:t>Copy/paste answer</w:t>
            </w:r>
          </w:p>
        </w:tc>
      </w:tr>
      <w:tr>
        <w:tc>
          <w:tcPr>
            <w:tcW w:type="dxa" w:w="5112"/>
            <w:vAlign w:val="top"/>
          </w:tcPr>
          <w:p>
            <w:r/>
            <w:r>
              <w:rPr>
                <w:rFonts w:ascii="Aptos" w:hAnsi="Aptos"/>
                <w:b w:val="0"/>
                <w:sz w:val="15"/>
              </w:rPr>
              <w:t>Overall residual risk rating</w:t>
            </w:r>
          </w:p>
        </w:tc>
        <w:tc>
          <w:tcPr>
            <w:tcW w:type="dxa" w:w="5112"/>
            <w:vAlign w:val="top"/>
          </w:tcPr>
          <w:p>
            <w:r/>
            <w:r>
              <w:rPr>
                <w:rFonts w:ascii="Aptos" w:hAnsi="Aptos"/>
                <w:b w:val="0"/>
                <w:sz w:val="15"/>
              </w:rPr>
              <w:t>Medium - provisional working assessment only. Formal residual rating must be agreed after V&amp;V, Tier 3 independent review and clinical/security assurance.</w:t>
            </w:r>
          </w:p>
        </w:tc>
      </w:tr>
      <w:tr>
        <w:tc>
          <w:tcPr>
            <w:tcW w:type="dxa" w:w="5112"/>
            <w:vAlign w:val="top"/>
          </w:tcPr>
          <w:p>
            <w:r/>
            <w:r>
              <w:rPr>
                <w:rFonts w:ascii="Aptos" w:hAnsi="Aptos"/>
                <w:b w:val="0"/>
                <w:sz w:val="15"/>
              </w:rPr>
              <w:t>Basis for acceptance</w:t>
            </w:r>
          </w:p>
        </w:tc>
        <w:tc>
          <w:tcPr>
            <w:tcW w:type="dxa" w:w="5112"/>
            <w:vAlign w:val="top"/>
          </w:tcPr>
          <w:p>
            <w:r/>
            <w:r>
              <w:rPr>
                <w:rFonts w:ascii="Aptos" w:hAnsi="Aptos"/>
                <w:b w:val="0"/>
                <w:sz w:val="15"/>
              </w:rPr>
              <w:t>Residual risk may be acceptable only if the system remains within its approved intended use; all mandatory Tier 3 controls are implemented; clinical and model V&amp;V demonstrate compliance with approved safety/performance/fairness/robustness thresholds; material hazards have effective controls; model/configuration changes are governed; and operational monitoring, incident response, rollback and safe fallback are proven.</w:t>
            </w:r>
          </w:p>
        </w:tc>
      </w:tr>
      <w:tr>
        <w:tc>
          <w:tcPr>
            <w:tcW w:type="dxa" w:w="5112"/>
            <w:vAlign w:val="top"/>
          </w:tcPr>
          <w:p>
            <w:r/>
            <w:r>
              <w:rPr>
                <w:rFonts w:ascii="Aptos" w:hAnsi="Aptos"/>
                <w:b w:val="0"/>
                <w:sz w:val="15"/>
              </w:rPr>
              <w:t>Conditions of acceptance</w:t>
            </w:r>
          </w:p>
        </w:tc>
        <w:tc>
          <w:tcPr>
            <w:tcW w:type="dxa" w:w="5112"/>
            <w:vAlign w:val="top"/>
          </w:tcPr>
          <w:p>
            <w:r/>
            <w:r>
              <w:rPr>
                <w:rFonts w:ascii="Aptos" w:hAnsi="Aptos"/>
                <w:b w:val="0"/>
                <w:sz w:val="15"/>
              </w:rPr>
              <w:t>No production/clinical deployment until formal Tier classification, C13 independent review, C14 adversarial testing, approved clinical-safety evidence, DPIA/DMR controls, defined acceptance thresholds, named owners/approver, monitoring plan, incident process and rollback/fallback arrangements are complete. Any material model/data/intended-use/supplier change requires reassessment and re-approval.</w:t>
            </w:r>
          </w:p>
        </w:tc>
      </w:tr>
      <w:tr>
        <w:tc>
          <w:tcPr>
            <w:tcW w:type="dxa" w:w="5112"/>
            <w:vAlign w:val="top"/>
          </w:tcPr>
          <w:p>
            <w:r/>
            <w:r>
              <w:rPr>
                <w:rFonts w:ascii="Aptos" w:hAnsi="Aptos"/>
                <w:b w:val="0"/>
                <w:sz w:val="15"/>
              </w:rPr>
              <w:t>Approver name and role</w:t>
            </w:r>
          </w:p>
        </w:tc>
        <w:tc>
          <w:tcPr>
            <w:tcW w:type="dxa" w:w="5112"/>
            <w:vAlign w:val="top"/>
          </w:tcPr>
          <w:p>
            <w:r/>
            <w:r>
              <w:rPr>
                <w:rFonts w:ascii="Aptos" w:hAnsi="Aptos"/>
                <w:b w:val="0"/>
                <w:sz w:val="15"/>
              </w:rPr>
              <w:t>[TBC - must not be the Accountable Owner for Tier 3.]</w:t>
            </w:r>
          </w:p>
        </w:tc>
      </w:tr>
      <w:tr>
        <w:tc>
          <w:tcPr>
            <w:tcW w:type="dxa" w:w="5112"/>
            <w:vAlign w:val="top"/>
          </w:tcPr>
          <w:p>
            <w:r/>
            <w:r>
              <w:rPr>
                <w:rFonts w:ascii="Aptos" w:hAnsi="Aptos"/>
                <w:b w:val="0"/>
                <w:sz w:val="15"/>
              </w:rPr>
              <w:t>Approval date</w:t>
            </w:r>
          </w:p>
        </w:tc>
        <w:tc>
          <w:tcPr>
            <w:tcW w:type="dxa" w:w="5112"/>
            <w:vAlign w:val="top"/>
          </w:tcPr>
          <w:p>
            <w:r/>
            <w:r>
              <w:rPr>
                <w:rFonts w:ascii="Aptos" w:hAnsi="Aptos"/>
                <w:b w:val="0"/>
                <w:sz w:val="15"/>
              </w:rPr>
              <w:t>[TBC - complete at formal approval.]</w:t>
            </w:r>
          </w:p>
        </w:tc>
      </w:tr>
      <w:tr>
        <w:tc>
          <w:tcPr>
            <w:tcW w:type="dxa" w:w="5112"/>
            <w:vAlign w:val="top"/>
          </w:tcPr>
          <w:p>
            <w:r/>
            <w:r>
              <w:rPr>
                <w:rFonts w:ascii="Aptos" w:hAnsi="Aptos"/>
                <w:b w:val="0"/>
                <w:sz w:val="15"/>
              </w:rPr>
              <w:t>Cross-reference</w:t>
            </w:r>
          </w:p>
        </w:tc>
        <w:tc>
          <w:tcPr>
            <w:tcW w:type="dxa" w:w="5112"/>
            <w:vAlign w:val="top"/>
          </w:tcPr>
          <w:p>
            <w:r/>
            <w:r>
              <w:rPr>
                <w:rFonts w:ascii="Aptos" w:hAnsi="Aptos"/>
                <w:b w:val="0"/>
                <w:sz w:val="15"/>
              </w:rPr>
              <w:t>[TBC - Approvals &amp; Exceptions Log entry ID.]</w:t>
            </w:r>
          </w:p>
        </w:tc>
      </w:tr>
    </w:tbl>
    <w:p/>
    <w:p>
      <w:pPr>
        <w:pStyle w:val="Heading1"/>
      </w:pPr>
      <w:r>
        <w:t>7. Independent Review (C13)</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5"/>
              </w:rPr>
              <w:t>Aspect</w:t>
            </w:r>
          </w:p>
        </w:tc>
        <w:tc>
          <w:tcPr>
            <w:tcW w:type="dxa" w:w="5112"/>
            <w:vAlign w:val="top"/>
            <w:shd w:fill="D9EAD3"/>
          </w:tcPr>
          <w:p>
            <w:r/>
            <w:r>
              <w:rPr>
                <w:rFonts w:ascii="Aptos" w:hAnsi="Aptos"/>
                <w:b/>
                <w:sz w:val="15"/>
              </w:rPr>
              <w:t>Copy/paste answer</w:t>
            </w:r>
          </w:p>
        </w:tc>
      </w:tr>
      <w:tr>
        <w:tc>
          <w:tcPr>
            <w:tcW w:type="dxa" w:w="5112"/>
            <w:vAlign w:val="top"/>
          </w:tcPr>
          <w:p>
            <w:r/>
            <w:r>
              <w:rPr>
                <w:rFonts w:ascii="Aptos" w:hAnsi="Aptos"/>
                <w:b w:val="0"/>
                <w:sz w:val="15"/>
              </w:rPr>
              <w:t>Reviewing function</w:t>
            </w:r>
          </w:p>
        </w:tc>
        <w:tc>
          <w:tcPr>
            <w:tcW w:type="dxa" w:w="5112"/>
            <w:vAlign w:val="top"/>
          </w:tcPr>
          <w:p>
            <w:r/>
            <w:r>
              <w:rPr>
                <w:rFonts w:ascii="Aptos" w:hAnsi="Aptos"/>
                <w:b w:val="0"/>
                <w:sz w:val="15"/>
              </w:rPr>
              <w:t>[TBC - Data/AI Ethics, Security or Compliance function outside the Adaptive Triage delivery team.]</w:t>
            </w:r>
          </w:p>
        </w:tc>
      </w:tr>
      <w:tr>
        <w:tc>
          <w:tcPr>
            <w:tcW w:type="dxa" w:w="5112"/>
            <w:vAlign w:val="top"/>
          </w:tcPr>
          <w:p>
            <w:r/>
            <w:r>
              <w:rPr>
                <w:rFonts w:ascii="Aptos" w:hAnsi="Aptos"/>
                <w:b w:val="0"/>
                <w:sz w:val="15"/>
              </w:rPr>
              <w:t>Reviewer name</w:t>
            </w:r>
          </w:p>
        </w:tc>
        <w:tc>
          <w:tcPr>
            <w:tcW w:type="dxa" w:w="5112"/>
            <w:vAlign w:val="top"/>
          </w:tcPr>
          <w:p>
            <w:r/>
            <w:r>
              <w:rPr>
                <w:rFonts w:ascii="Aptos" w:hAnsi="Aptos"/>
                <w:b w:val="0"/>
                <w:sz w:val="15"/>
              </w:rPr>
              <w:t>[TBC - insert independent reviewer.]</w:t>
            </w:r>
          </w:p>
        </w:tc>
      </w:tr>
      <w:tr>
        <w:tc>
          <w:tcPr>
            <w:tcW w:type="dxa" w:w="5112"/>
            <w:vAlign w:val="top"/>
          </w:tcPr>
          <w:p>
            <w:r/>
            <w:r>
              <w:rPr>
                <w:rFonts w:ascii="Aptos" w:hAnsi="Aptos"/>
                <w:b w:val="0"/>
                <w:sz w:val="15"/>
              </w:rPr>
              <w:t>Date of review</w:t>
            </w:r>
          </w:p>
        </w:tc>
        <w:tc>
          <w:tcPr>
            <w:tcW w:type="dxa" w:w="5112"/>
            <w:vAlign w:val="top"/>
          </w:tcPr>
          <w:p>
            <w:r/>
            <w:r>
              <w:rPr>
                <w:rFonts w:ascii="Aptos" w:hAnsi="Aptos"/>
                <w:b w:val="0"/>
                <w:sz w:val="15"/>
              </w:rPr>
              <w:t>[TBC]</w:t>
            </w:r>
          </w:p>
        </w:tc>
      </w:tr>
      <w:tr>
        <w:tc>
          <w:tcPr>
            <w:tcW w:type="dxa" w:w="5112"/>
            <w:vAlign w:val="top"/>
          </w:tcPr>
          <w:p>
            <w:r/>
            <w:r>
              <w:rPr>
                <w:rFonts w:ascii="Aptos" w:hAnsi="Aptos"/>
                <w:b w:val="0"/>
                <w:sz w:val="15"/>
              </w:rPr>
              <w:t>Scope of review</w:t>
            </w:r>
          </w:p>
        </w:tc>
        <w:tc>
          <w:tcPr>
            <w:tcW w:type="dxa" w:w="5112"/>
            <w:vAlign w:val="top"/>
          </w:tcPr>
          <w:p>
            <w:r/>
            <w:r>
              <w:rPr>
                <w:rFonts w:ascii="Aptos" w:hAnsi="Aptos"/>
                <w:b w:val="0"/>
                <w:sz w:val="15"/>
              </w:rPr>
              <w:t>Review the complete Risk and Impact Assessment including stakeholder/vulnerable-group analysis, Tier 3 rationale, regulatory flags, AI-specific risks and ratings, risk treatments, foreseeable misuse, societal impacts, residual-risk basis and review triggers. Confirm that clinical, security, privacy, fairness, human-factors, supplier and operational risks are adequately covered and that claimed controls have traceable evidence.</w:t>
            </w:r>
          </w:p>
        </w:tc>
      </w:tr>
      <w:tr>
        <w:tc>
          <w:tcPr>
            <w:tcW w:type="dxa" w:w="5112"/>
            <w:vAlign w:val="top"/>
          </w:tcPr>
          <w:p>
            <w:r/>
            <w:r>
              <w:rPr>
                <w:rFonts w:ascii="Aptos" w:hAnsi="Aptos"/>
                <w:b w:val="0"/>
                <w:sz w:val="15"/>
              </w:rPr>
              <w:t>Outcome</w:t>
            </w:r>
          </w:p>
        </w:tc>
        <w:tc>
          <w:tcPr>
            <w:tcW w:type="dxa" w:w="5112"/>
            <w:vAlign w:val="top"/>
          </w:tcPr>
          <w:p>
            <w:r/>
            <w:r>
              <w:rPr>
                <w:rFonts w:ascii="Aptos" w:hAnsi="Aptos"/>
                <w:b w:val="0"/>
                <w:sz w:val="15"/>
              </w:rPr>
              <w:t>[TBC - Endorsed / Endorsed with conditions / Not endorsed.]</w:t>
            </w:r>
          </w:p>
        </w:tc>
      </w:tr>
      <w:tr>
        <w:tc>
          <w:tcPr>
            <w:tcW w:type="dxa" w:w="5112"/>
            <w:vAlign w:val="top"/>
          </w:tcPr>
          <w:p>
            <w:r/>
            <w:r>
              <w:rPr>
                <w:rFonts w:ascii="Aptos" w:hAnsi="Aptos"/>
                <w:b w:val="0"/>
                <w:sz w:val="15"/>
              </w:rPr>
              <w:t>Conditions / actions</w:t>
            </w:r>
          </w:p>
        </w:tc>
        <w:tc>
          <w:tcPr>
            <w:tcW w:type="dxa" w:w="5112"/>
            <w:vAlign w:val="top"/>
          </w:tcPr>
          <w:p>
            <w:r/>
            <w:r>
              <w:rPr>
                <w:rFonts w:ascii="Aptos" w:hAnsi="Aptos"/>
                <w:b w:val="0"/>
                <w:sz w:val="15"/>
              </w:rPr>
              <w:t>[TBC - record reviewer conditions/actions. Expected focus areas include completion of formal acceptance thresholds, C14 adversarial testing, subgroup/fairness evidence, monitoring triggers, named ownership and final regulatory/medical-device position.]</w:t>
            </w:r>
          </w:p>
        </w:tc>
      </w:tr>
      <w:tr>
        <w:tc>
          <w:tcPr>
            <w:tcW w:type="dxa" w:w="5112"/>
            <w:vAlign w:val="top"/>
          </w:tcPr>
          <w:p>
            <w:r/>
            <w:r>
              <w:rPr>
                <w:rFonts w:ascii="Aptos" w:hAnsi="Aptos"/>
                <w:b w:val="0"/>
                <w:sz w:val="15"/>
              </w:rPr>
              <w:t>Re-review date</w:t>
            </w:r>
          </w:p>
        </w:tc>
        <w:tc>
          <w:tcPr>
            <w:tcW w:type="dxa" w:w="5112"/>
            <w:vAlign w:val="top"/>
          </w:tcPr>
          <w:p>
            <w:r/>
            <w:r>
              <w:rPr>
                <w:rFonts w:ascii="Aptos" w:hAnsi="Aptos"/>
                <w:b w:val="0"/>
                <w:sz w:val="15"/>
              </w:rPr>
              <w:t>At minimum on material change or if required as a condition of endorsement; otherwise align with the annual assessment review. [TBC exact date after first review.]</w:t>
            </w:r>
          </w:p>
        </w:tc>
      </w:tr>
    </w:tbl>
    <w:p/>
    <w:p>
      <w:pPr>
        <w:pStyle w:val="Heading1"/>
      </w:pPr>
      <w:r>
        <w:t>8. Societal Impact (A.5.5)</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D9EAD3"/>
          </w:tcPr>
          <w:p>
            <w:r/>
            <w:r>
              <w:rPr>
                <w:rFonts w:ascii="Aptos" w:hAnsi="Aptos"/>
                <w:b/>
                <w:sz w:val="13"/>
              </w:rPr>
              <w:t>Dimension</w:t>
            </w:r>
          </w:p>
        </w:tc>
        <w:tc>
          <w:tcPr>
            <w:tcW w:type="dxa" w:w="3408"/>
            <w:vAlign w:val="top"/>
            <w:shd w:fill="D9EAD3"/>
          </w:tcPr>
          <w:p>
            <w:r/>
            <w:r>
              <w:rPr>
                <w:rFonts w:ascii="Aptos" w:hAnsi="Aptos"/>
                <w:b/>
                <w:sz w:val="13"/>
              </w:rPr>
              <w:t>Assessment for this system</w:t>
            </w:r>
          </w:p>
        </w:tc>
        <w:tc>
          <w:tcPr>
            <w:tcW w:type="dxa" w:w="3408"/>
            <w:vAlign w:val="top"/>
            <w:shd w:fill="D9EAD3"/>
          </w:tcPr>
          <w:p>
            <w:r/>
            <w:r>
              <w:rPr>
                <w:rFonts w:ascii="Aptos" w:hAnsi="Aptos"/>
                <w:b/>
                <w:sz w:val="13"/>
              </w:rPr>
              <w:t>Mitigations / monitoring</w:t>
            </w:r>
          </w:p>
        </w:tc>
      </w:tr>
      <w:tr>
        <w:tc>
          <w:tcPr>
            <w:tcW w:type="dxa" w:w="3408"/>
            <w:vAlign w:val="top"/>
          </w:tcPr>
          <w:p>
            <w:r/>
            <w:r>
              <w:rPr>
                <w:rFonts w:ascii="Aptos" w:hAnsi="Aptos"/>
                <w:b w:val="0"/>
                <w:sz w:val="13"/>
              </w:rPr>
              <w:t>Environmental footprint</w:t>
            </w:r>
          </w:p>
        </w:tc>
        <w:tc>
          <w:tcPr>
            <w:tcW w:type="dxa" w:w="3408"/>
            <w:vAlign w:val="top"/>
          </w:tcPr>
          <w:p>
            <w:r/>
            <w:r>
              <w:rPr>
                <w:rFonts w:ascii="Aptos" w:hAnsi="Aptos"/>
                <w:b w:val="0"/>
                <w:sz w:val="13"/>
              </w:rPr>
              <w:t>Moderate but bounded. Runtime Bayesian inference is expected to be materially less compute-intensive than serving a large generative model for each triage interaction. Generative AI is restricted to selected build-time tasks via shared managed services rather than bespoke foundation-model training. AWS infrastructure still consumes energy/water and model-development/evaluation activity has a footprint.</w:t>
            </w:r>
          </w:p>
        </w:tc>
        <w:tc>
          <w:tcPr>
            <w:tcW w:type="dxa" w:w="3408"/>
            <w:vAlign w:val="top"/>
          </w:tcPr>
          <w:p>
            <w:r/>
            <w:r>
              <w:rPr>
                <w:rFonts w:ascii="Aptos" w:hAnsi="Aptos"/>
                <w:b w:val="0"/>
                <w:sz w:val="13"/>
              </w:rPr>
              <w:t>Prefer efficient managed/shared AWS services; avoid unnecessary foundation-model calls; restrict LLM use to build-time tasks where it adds value; monitor major compute changes; include sustainability considerations when choosing model/build approaches.</w:t>
            </w:r>
          </w:p>
        </w:tc>
      </w:tr>
      <w:tr>
        <w:tc>
          <w:tcPr>
            <w:tcW w:type="dxa" w:w="3408"/>
            <w:vAlign w:val="top"/>
          </w:tcPr>
          <w:p>
            <w:r/>
            <w:r>
              <w:rPr>
                <w:rFonts w:ascii="Aptos" w:hAnsi="Aptos"/>
                <w:b w:val="0"/>
                <w:sz w:val="13"/>
              </w:rPr>
              <w:t>Labour-market / workforce</w:t>
            </w:r>
          </w:p>
        </w:tc>
        <w:tc>
          <w:tcPr>
            <w:tcW w:type="dxa" w:w="3408"/>
            <w:vAlign w:val="top"/>
          </w:tcPr>
          <w:p>
            <w:r/>
            <w:r>
              <w:rPr>
                <w:rFonts w:ascii="Aptos" w:hAnsi="Aptos"/>
                <w:b w:val="0"/>
                <w:sz w:val="13"/>
              </w:rPr>
              <w:t>The system augments rather than replaces clinical governance and triage service roles. It may change work for clinical authors, clinicians, support teams and model-governance staff by shifting effort from deterministic pathway authoring toward probabilistic model review, evaluation, monitoring and approval. It may create training/reskilling needs and additional accountability/assurance workload.</w:t>
            </w:r>
          </w:p>
        </w:tc>
        <w:tc>
          <w:tcPr>
            <w:tcW w:type="dxa" w:w="3408"/>
            <w:vAlign w:val="top"/>
          </w:tcPr>
          <w:p>
            <w:r/>
            <w:r>
              <w:rPr>
                <w:rFonts w:ascii="Aptos" w:hAnsi="Aptos"/>
                <w:b w:val="0"/>
                <w:sz w:val="13"/>
              </w:rPr>
              <w:t>Role definitions and RACI; training for clinical authors/operators; phased adoption; human/clinical approval retained; usability research; monitor workload and operating-model impact during Beta.</w:t>
            </w:r>
          </w:p>
        </w:tc>
      </w:tr>
      <w:tr>
        <w:tc>
          <w:tcPr>
            <w:tcW w:type="dxa" w:w="3408"/>
            <w:vAlign w:val="top"/>
          </w:tcPr>
          <w:p>
            <w:r/>
            <w:r>
              <w:rPr>
                <w:rFonts w:ascii="Aptos" w:hAnsi="Aptos"/>
                <w:b w:val="0"/>
                <w:sz w:val="13"/>
              </w:rPr>
              <w:t>Public-interest / vulnerable groups</w:t>
            </w:r>
          </w:p>
        </w:tc>
        <w:tc>
          <w:tcPr>
            <w:tcW w:type="dxa" w:w="3408"/>
            <w:vAlign w:val="top"/>
          </w:tcPr>
          <w:p>
            <w:r/>
            <w:r>
              <w:rPr>
                <w:rFonts w:ascii="Aptos" w:hAnsi="Aptos"/>
                <w:b w:val="0"/>
                <w:sz w:val="13"/>
              </w:rPr>
              <w:t>Material. The capability supports a public NHS service and may influence care pathways for citizens, including children, older people, people with disabilities and people presenting with urgent conditions. Benefits could include faster/more relevant assessment and better service matching; harms could include unsafe triage, unequal performance or loss of trust.</w:t>
            </w:r>
          </w:p>
        </w:tc>
        <w:tc>
          <w:tcPr>
            <w:tcW w:type="dxa" w:w="3408"/>
            <w:vAlign w:val="top"/>
          </w:tcPr>
          <w:p>
            <w:r/>
            <w:r>
              <w:rPr>
                <w:rFonts w:ascii="Aptos" w:hAnsi="Aptos"/>
                <w:b w:val="0"/>
                <w:sz w:val="13"/>
              </w:rPr>
              <w:t>Tier 3 controls; clinical-safety management; independent review; fairness/subgroup evaluation; explainability; safe fallback/escalation; accessibility requirements; incident/redress route; post-go-live safety monitoring.</w:t>
            </w:r>
          </w:p>
        </w:tc>
      </w:tr>
      <w:tr>
        <w:tc>
          <w:tcPr>
            <w:tcW w:type="dxa" w:w="3408"/>
            <w:vAlign w:val="top"/>
          </w:tcPr>
          <w:p>
            <w:r/>
            <w:r>
              <w:rPr>
                <w:rFonts w:ascii="Aptos" w:hAnsi="Aptos"/>
                <w:b w:val="0"/>
                <w:sz w:val="13"/>
              </w:rPr>
              <w:t>Concentration / vendor dependency</w:t>
            </w:r>
          </w:p>
        </w:tc>
        <w:tc>
          <w:tcPr>
            <w:tcW w:type="dxa" w:w="3408"/>
            <w:vAlign w:val="top"/>
          </w:tcPr>
          <w:p>
            <w:r/>
            <w:r>
              <w:rPr>
                <w:rFonts w:ascii="Aptos" w:hAnsi="Aptos"/>
                <w:b w:val="0"/>
                <w:sz w:val="13"/>
              </w:rPr>
              <w:t>Moderate. The service is hosted on AWS and uses AWS services including Bedrock for build-time AI assistance. Runtime clinical reasoning is based on controlled Bayesian artefacts and does not require a third-party general-purpose LLM, reducing model-vendor lock-in. There remains cloud/platform dependency.</w:t>
            </w:r>
          </w:p>
        </w:tc>
        <w:tc>
          <w:tcPr>
            <w:tcW w:type="dxa" w:w="3408"/>
            <w:vAlign w:val="top"/>
          </w:tcPr>
          <w:p>
            <w:r/>
            <w:r>
              <w:rPr>
                <w:rFonts w:ascii="Aptos" w:hAnsi="Aptos"/>
                <w:b w:val="0"/>
                <w:sz w:val="13"/>
              </w:rPr>
              <w:t>Record supplier/service versions; enterprise contractual controls; minimise vendor-specific coupling where practical; retain portable model artefacts and interface contracts; document service replacement/exit options; evaluate alternative Bedrock models for build-time tasks where appropriate.</w:t>
            </w:r>
          </w:p>
        </w:tc>
      </w:tr>
      <w:tr>
        <w:tc>
          <w:tcPr>
            <w:tcW w:type="dxa" w:w="3408"/>
            <w:vAlign w:val="top"/>
          </w:tcPr>
          <w:p>
            <w:r/>
            <w:r>
              <w:rPr>
                <w:rFonts w:ascii="Aptos" w:hAnsi="Aptos"/>
                <w:b w:val="0"/>
                <w:sz w:val="13"/>
              </w:rPr>
              <w:t>Social exclusion</w:t>
            </w:r>
          </w:p>
        </w:tc>
        <w:tc>
          <w:tcPr>
            <w:tcW w:type="dxa" w:w="3408"/>
            <w:vAlign w:val="top"/>
          </w:tcPr>
          <w:p>
            <w:r/>
            <w:r>
              <w:rPr>
                <w:rFonts w:ascii="Aptos" w:hAnsi="Aptos"/>
                <w:b w:val="0"/>
                <w:sz w:val="13"/>
              </w:rPr>
              <w:t>Material. Digital access, accessibility, language, literacy, cultural interpretation and channel design can affect the quality of evidence provided and the ability to benefit from adaptive triage. Some groups may prefer or require non-digital/human-assisted routes.</w:t>
            </w:r>
          </w:p>
        </w:tc>
        <w:tc>
          <w:tcPr>
            <w:tcW w:type="dxa" w:w="3408"/>
            <w:vAlign w:val="top"/>
          </w:tcPr>
          <w:p>
            <w:r/>
            <w:r>
              <w:rPr>
                <w:rFonts w:ascii="Aptos" w:hAnsi="Aptos"/>
                <w:b w:val="0"/>
                <w:sz w:val="13"/>
              </w:rPr>
              <w:t>Ensure consuming channels meet accessibility requirements; maintain appropriate assisted/non-digital alternatives in the wider NHS service; user research across diverse groups; plain-language questions; multilingual/dialect evaluation where supported; subgroup performance monitoring; complaints/redress analysis; reasonable adjustments.</w:t>
            </w:r>
          </w:p>
        </w:tc>
      </w:tr>
    </w:tbl>
    <w:p/>
    <w:p>
      <w:pPr>
        <w:pStyle w:val="Heading1"/>
      </w:pPr>
      <w:r>
        <w:t>9. Foreseeable Misuse Scenarios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2"/>
              </w:rPr>
              <w:t>Ref</w:t>
            </w:r>
          </w:p>
        </w:tc>
        <w:tc>
          <w:tcPr>
            <w:tcW w:type="dxa" w:w="2045"/>
            <w:vAlign w:val="top"/>
            <w:shd w:fill="D9EAD3"/>
          </w:tcPr>
          <w:p>
            <w:r/>
            <w:r>
              <w:rPr>
                <w:rFonts w:ascii="Aptos" w:hAnsi="Aptos"/>
                <w:b/>
                <w:sz w:val="12"/>
              </w:rPr>
              <w:t>Misuse scenario</w:t>
            </w:r>
          </w:p>
        </w:tc>
        <w:tc>
          <w:tcPr>
            <w:tcW w:type="dxa" w:w="2045"/>
            <w:vAlign w:val="top"/>
            <w:shd w:fill="D9EAD3"/>
          </w:tcPr>
          <w:p>
            <w:r/>
            <w:r>
              <w:rPr>
                <w:rFonts w:ascii="Aptos" w:hAnsi="Aptos"/>
                <w:b/>
                <w:sz w:val="12"/>
              </w:rPr>
              <w:t>Likelihood</w:t>
            </w:r>
          </w:p>
        </w:tc>
        <w:tc>
          <w:tcPr>
            <w:tcW w:type="dxa" w:w="2045"/>
            <w:vAlign w:val="top"/>
            <w:shd w:fill="D9EAD3"/>
          </w:tcPr>
          <w:p>
            <w:r/>
            <w:r>
              <w:rPr>
                <w:rFonts w:ascii="Aptos" w:hAnsi="Aptos"/>
                <w:b/>
                <w:sz w:val="12"/>
              </w:rPr>
              <w:t>Harm</w:t>
            </w:r>
          </w:p>
        </w:tc>
        <w:tc>
          <w:tcPr>
            <w:tcW w:type="dxa" w:w="2045"/>
            <w:vAlign w:val="top"/>
            <w:shd w:fill="D9EAD3"/>
          </w:tcPr>
          <w:p>
            <w:r/>
            <w:r>
              <w:rPr>
                <w:rFonts w:ascii="Aptos" w:hAnsi="Aptos"/>
                <w:b/>
                <w:sz w:val="12"/>
              </w:rPr>
              <w:t>Preventive / detective control</w:t>
            </w:r>
          </w:p>
        </w:tc>
      </w:tr>
      <w:tr>
        <w:tc>
          <w:tcPr>
            <w:tcW w:type="dxa" w:w="2045"/>
            <w:vAlign w:val="top"/>
          </w:tcPr>
          <w:p>
            <w:r/>
            <w:r>
              <w:rPr>
                <w:rFonts w:ascii="Aptos" w:hAnsi="Aptos"/>
                <w:b w:val="0"/>
                <w:sz w:val="12"/>
              </w:rPr>
              <w:t>M1</w:t>
            </w:r>
          </w:p>
        </w:tc>
        <w:tc>
          <w:tcPr>
            <w:tcW w:type="dxa" w:w="2045"/>
            <w:vAlign w:val="top"/>
          </w:tcPr>
          <w:p>
            <w:r/>
            <w:r>
              <w:rPr>
                <w:rFonts w:ascii="Aptos" w:hAnsi="Aptos"/>
                <w:b w:val="0"/>
                <w:sz w:val="12"/>
              </w:rPr>
              <w:t>A user deliberately provides false, contradictory or strategically selected answers to obtain a preferred triage result.</w:t>
            </w:r>
          </w:p>
        </w:tc>
        <w:tc>
          <w:tcPr>
            <w:tcW w:type="dxa" w:w="2045"/>
            <w:vAlign w:val="top"/>
          </w:tcPr>
          <w:p>
            <w:r/>
            <w:r>
              <w:rPr>
                <w:rFonts w:ascii="Aptos" w:hAnsi="Aptos"/>
                <w:b w:val="0"/>
                <w:sz w:val="12"/>
              </w:rPr>
              <w:t>M</w:t>
            </w:r>
          </w:p>
        </w:tc>
        <w:tc>
          <w:tcPr>
            <w:tcW w:type="dxa" w:w="2045"/>
            <w:vAlign w:val="top"/>
          </w:tcPr>
          <w:p>
            <w:r/>
            <w:r>
              <w:rPr>
                <w:rFonts w:ascii="Aptos" w:hAnsi="Aptos"/>
                <w:b w:val="0"/>
                <w:sz w:val="12"/>
              </w:rPr>
              <w:t>Potential under-triage, over-triage, delayed care or inappropriate service use.</w:t>
            </w:r>
          </w:p>
        </w:tc>
        <w:tc>
          <w:tcPr>
            <w:tcW w:type="dxa" w:w="2045"/>
            <w:vAlign w:val="top"/>
          </w:tcPr>
          <w:p>
            <w:r/>
            <w:r>
              <w:rPr>
                <w:rFonts w:ascii="Aptos" w:hAnsi="Aptos"/>
                <w:b w:val="0"/>
                <w:sz w:val="12"/>
              </w:rPr>
              <w:t>Contradiction detection; adaptive follow-up; safety-net/escalation rules; adversarial vignette testing; audit of evidence sequence; conservative handling of unresolved uncertainty. Cross-ref R4/R2.</w:t>
            </w:r>
          </w:p>
        </w:tc>
      </w:tr>
      <w:tr>
        <w:tc>
          <w:tcPr>
            <w:tcW w:type="dxa" w:w="2045"/>
            <w:vAlign w:val="top"/>
          </w:tcPr>
          <w:p>
            <w:r/>
            <w:r>
              <w:rPr>
                <w:rFonts w:ascii="Aptos" w:hAnsi="Aptos"/>
                <w:b w:val="0"/>
                <w:sz w:val="12"/>
              </w:rPr>
              <w:t>M2</w:t>
            </w:r>
          </w:p>
        </w:tc>
        <w:tc>
          <w:tcPr>
            <w:tcW w:type="dxa" w:w="2045"/>
            <w:vAlign w:val="top"/>
          </w:tcPr>
          <w:p>
            <w:r/>
            <w:r>
              <w:rPr>
                <w:rFonts w:ascii="Aptos" w:hAnsi="Aptos"/>
                <w:b w:val="0"/>
                <w:sz w:val="12"/>
              </w:rPr>
              <w:t>A consuming service uses Adaptive Triage outside the approved population, channel, geography or intended clinical scope.</w:t>
            </w:r>
          </w:p>
        </w:tc>
        <w:tc>
          <w:tcPr>
            <w:tcW w:type="dxa" w:w="2045"/>
            <w:vAlign w:val="top"/>
          </w:tcPr>
          <w:p>
            <w:r/>
            <w:r>
              <w:rPr>
                <w:rFonts w:ascii="Aptos" w:hAnsi="Aptos"/>
                <w:b w:val="0"/>
                <w:sz w:val="12"/>
              </w:rPr>
              <w:t>M</w:t>
            </w:r>
          </w:p>
        </w:tc>
        <w:tc>
          <w:tcPr>
            <w:tcW w:type="dxa" w:w="2045"/>
            <w:vAlign w:val="top"/>
          </w:tcPr>
          <w:p>
            <w:r/>
            <w:r>
              <w:rPr>
                <w:rFonts w:ascii="Aptos" w:hAnsi="Aptos"/>
                <w:b w:val="0"/>
                <w:sz w:val="12"/>
              </w:rPr>
              <w:t>Incorrect clinical decisions because model assumptions and validation evidence no longer apply.</w:t>
            </w:r>
          </w:p>
        </w:tc>
        <w:tc>
          <w:tcPr>
            <w:tcW w:type="dxa" w:w="2045"/>
            <w:vAlign w:val="top"/>
          </w:tcPr>
          <w:p>
            <w:r/>
            <w:r>
              <w:rPr>
                <w:rFonts w:ascii="Aptos" w:hAnsi="Aptos"/>
                <w:b w:val="0"/>
                <w:sz w:val="12"/>
              </w:rPr>
              <w:t>Contract/onboarding controls; intended-use documentation; API/version/channel controls; governance approval for new use cases; monitoring and audit. Cross-ref R7.</w:t>
            </w:r>
          </w:p>
        </w:tc>
      </w:tr>
      <w:tr>
        <w:tc>
          <w:tcPr>
            <w:tcW w:type="dxa" w:w="2045"/>
            <w:vAlign w:val="top"/>
          </w:tcPr>
          <w:p>
            <w:r/>
            <w:r>
              <w:rPr>
                <w:rFonts w:ascii="Aptos" w:hAnsi="Aptos"/>
                <w:b w:val="0"/>
                <w:sz w:val="12"/>
              </w:rPr>
              <w:t>M3</w:t>
            </w:r>
          </w:p>
        </w:tc>
        <w:tc>
          <w:tcPr>
            <w:tcW w:type="dxa" w:w="2045"/>
            <w:vAlign w:val="top"/>
          </w:tcPr>
          <w:p>
            <w:r/>
            <w:r>
              <w:rPr>
                <w:rFonts w:ascii="Aptos" w:hAnsi="Aptos"/>
                <w:b w:val="0"/>
                <w:sz w:val="12"/>
              </w:rPr>
              <w:t>An operator or clinical author changes thresholds/guardrails and attempts to make the configuration effective without full validation/approval.</w:t>
            </w:r>
          </w:p>
        </w:tc>
        <w:tc>
          <w:tcPr>
            <w:tcW w:type="dxa" w:w="2045"/>
            <w:vAlign w:val="top"/>
          </w:tcPr>
          <w:p>
            <w:r/>
            <w:r>
              <w:rPr>
                <w:rFonts w:ascii="Aptos" w:hAnsi="Aptos"/>
                <w:b w:val="0"/>
                <w:sz w:val="12"/>
              </w:rPr>
              <w:t>L/M</w:t>
            </w:r>
          </w:p>
        </w:tc>
        <w:tc>
          <w:tcPr>
            <w:tcW w:type="dxa" w:w="2045"/>
            <w:vAlign w:val="top"/>
          </w:tcPr>
          <w:p>
            <w:r/>
            <w:r>
              <w:rPr>
                <w:rFonts w:ascii="Aptos" w:hAnsi="Aptos"/>
                <w:b w:val="0"/>
                <w:sz w:val="12"/>
              </w:rPr>
              <w:t>Unsafe stopping/escalation behaviour across many interactions.</w:t>
            </w:r>
          </w:p>
        </w:tc>
        <w:tc>
          <w:tcPr>
            <w:tcW w:type="dxa" w:w="2045"/>
            <w:vAlign w:val="top"/>
          </w:tcPr>
          <w:p>
            <w:r/>
            <w:r>
              <w:rPr>
                <w:rFonts w:ascii="Aptos" w:hAnsi="Aptos"/>
                <w:b w:val="0"/>
                <w:sz w:val="12"/>
              </w:rPr>
              <w:t>RBAC; draft/approve/release workflow; immutable versioning; separation of duties; validation gate; audit trail; rollback. Cross-ref R10.</w:t>
            </w:r>
          </w:p>
        </w:tc>
      </w:tr>
      <w:tr>
        <w:tc>
          <w:tcPr>
            <w:tcW w:type="dxa" w:w="2045"/>
            <w:vAlign w:val="top"/>
          </w:tcPr>
          <w:p>
            <w:r/>
            <w:r>
              <w:rPr>
                <w:rFonts w:ascii="Aptos" w:hAnsi="Aptos"/>
                <w:b w:val="0"/>
                <w:sz w:val="12"/>
              </w:rPr>
              <w:t>M4</w:t>
            </w:r>
          </w:p>
        </w:tc>
        <w:tc>
          <w:tcPr>
            <w:tcW w:type="dxa" w:w="2045"/>
            <w:vAlign w:val="top"/>
          </w:tcPr>
          <w:p>
            <w:r/>
            <w:r>
              <w:rPr>
                <w:rFonts w:ascii="Aptos" w:hAnsi="Aptos"/>
                <w:b w:val="0"/>
                <w:sz w:val="12"/>
              </w:rPr>
              <w:t>A developer or author supplies confidential/PII data to a build-time foundation model despite the approved no-PII use case.</w:t>
            </w:r>
          </w:p>
        </w:tc>
        <w:tc>
          <w:tcPr>
            <w:tcW w:type="dxa" w:w="2045"/>
            <w:vAlign w:val="top"/>
          </w:tcPr>
          <w:p>
            <w:r/>
            <w:r>
              <w:rPr>
                <w:rFonts w:ascii="Aptos" w:hAnsi="Aptos"/>
                <w:b w:val="0"/>
                <w:sz w:val="12"/>
              </w:rPr>
              <w:t>L/M</w:t>
            </w:r>
          </w:p>
        </w:tc>
        <w:tc>
          <w:tcPr>
            <w:tcW w:type="dxa" w:w="2045"/>
            <w:vAlign w:val="top"/>
          </w:tcPr>
          <w:p>
            <w:r/>
            <w:r>
              <w:rPr>
                <w:rFonts w:ascii="Aptos" w:hAnsi="Aptos"/>
                <w:b w:val="0"/>
                <w:sz w:val="12"/>
              </w:rPr>
              <w:t>Privacy breach or inappropriate data processing.</w:t>
            </w:r>
          </w:p>
        </w:tc>
        <w:tc>
          <w:tcPr>
            <w:tcW w:type="dxa" w:w="2045"/>
            <w:vAlign w:val="top"/>
          </w:tcPr>
          <w:p>
            <w:r/>
            <w:r>
              <w:rPr>
                <w:rFonts w:ascii="Aptos" w:hAnsi="Aptos"/>
                <w:b w:val="0"/>
                <w:sz w:val="12"/>
              </w:rPr>
              <w:t>Data handling guidance; approved Bedrock boundary; access controls; minimisation/redaction; logging/review of build-time usage; DPIA/DMR controls; training. Cross-ref R3/R12.</w:t>
            </w:r>
          </w:p>
        </w:tc>
      </w:tr>
      <w:tr>
        <w:tc>
          <w:tcPr>
            <w:tcW w:type="dxa" w:w="2045"/>
            <w:vAlign w:val="top"/>
          </w:tcPr>
          <w:p>
            <w:r/>
            <w:r>
              <w:rPr>
                <w:rFonts w:ascii="Aptos" w:hAnsi="Aptos"/>
                <w:b w:val="0"/>
                <w:sz w:val="12"/>
              </w:rPr>
              <w:t>M5</w:t>
            </w:r>
          </w:p>
        </w:tc>
        <w:tc>
          <w:tcPr>
            <w:tcW w:type="dxa" w:w="2045"/>
            <w:vAlign w:val="top"/>
          </w:tcPr>
          <w:p>
            <w:r/>
            <w:r>
              <w:rPr>
                <w:rFonts w:ascii="Aptos" w:hAnsi="Aptos"/>
                <w:b w:val="0"/>
                <w:sz w:val="12"/>
              </w:rPr>
              <w:t>A build-time LLM output is copied into the clinical model without adequate source checking or clinician approval.</w:t>
            </w:r>
          </w:p>
        </w:tc>
        <w:tc>
          <w:tcPr>
            <w:tcW w:type="dxa" w:w="2045"/>
            <w:vAlign w:val="top"/>
          </w:tcPr>
          <w:p>
            <w:r/>
            <w:r>
              <w:rPr>
                <w:rFonts w:ascii="Aptos" w:hAnsi="Aptos"/>
                <w:b w:val="0"/>
                <w:sz w:val="12"/>
              </w:rPr>
              <w:t>M</w:t>
            </w:r>
          </w:p>
        </w:tc>
        <w:tc>
          <w:tcPr>
            <w:tcW w:type="dxa" w:w="2045"/>
            <w:vAlign w:val="top"/>
          </w:tcPr>
          <w:p>
            <w:r/>
            <w:r>
              <w:rPr>
                <w:rFonts w:ascii="Aptos" w:hAnsi="Aptos"/>
                <w:b w:val="0"/>
                <w:sz w:val="12"/>
              </w:rPr>
              <w:t>Fabricated/incorrect clinical knowledge could become embedded in the BN and influence runtime triage.</w:t>
            </w:r>
          </w:p>
        </w:tc>
        <w:tc>
          <w:tcPr>
            <w:tcW w:type="dxa" w:w="2045"/>
            <w:vAlign w:val="top"/>
          </w:tcPr>
          <w:p>
            <w:r/>
            <w:r>
              <w:rPr>
                <w:rFonts w:ascii="Aptos" w:hAnsi="Aptos"/>
                <w:b w:val="0"/>
                <w:sz w:val="12"/>
              </w:rPr>
              <w:t>Mandatory source provenance and human review; clinician approval for clinically material content; automated consistency tests; no direct LLM-to-production path. Cross-ref R12/R9.</w:t>
            </w:r>
          </w:p>
        </w:tc>
      </w:tr>
      <w:tr>
        <w:tc>
          <w:tcPr>
            <w:tcW w:type="dxa" w:w="2045"/>
            <w:vAlign w:val="top"/>
          </w:tcPr>
          <w:p>
            <w:r/>
            <w:r>
              <w:rPr>
                <w:rFonts w:ascii="Aptos" w:hAnsi="Aptos"/>
                <w:b w:val="0"/>
                <w:sz w:val="12"/>
              </w:rPr>
              <w:t>M6</w:t>
            </w:r>
          </w:p>
        </w:tc>
        <w:tc>
          <w:tcPr>
            <w:tcW w:type="dxa" w:w="2045"/>
            <w:vAlign w:val="top"/>
          </w:tcPr>
          <w:p>
            <w:r/>
            <w:r>
              <w:rPr>
                <w:rFonts w:ascii="Aptos" w:hAnsi="Aptos"/>
                <w:b w:val="0"/>
                <w:sz w:val="12"/>
              </w:rPr>
              <w:t>An integrating service or user treats the triage result as a definitive diagnosis.</w:t>
            </w:r>
          </w:p>
        </w:tc>
        <w:tc>
          <w:tcPr>
            <w:tcW w:type="dxa" w:w="2045"/>
            <w:vAlign w:val="top"/>
          </w:tcPr>
          <w:p>
            <w:r/>
            <w:r>
              <w:rPr>
                <w:rFonts w:ascii="Aptos" w:hAnsi="Aptos"/>
                <w:b w:val="0"/>
                <w:sz w:val="12"/>
              </w:rPr>
              <w:t>M</w:t>
            </w:r>
          </w:p>
        </w:tc>
        <w:tc>
          <w:tcPr>
            <w:tcW w:type="dxa" w:w="2045"/>
            <w:vAlign w:val="top"/>
          </w:tcPr>
          <w:p>
            <w:r/>
            <w:r>
              <w:rPr>
                <w:rFonts w:ascii="Aptos" w:hAnsi="Aptos"/>
                <w:b w:val="0"/>
                <w:sz w:val="12"/>
              </w:rPr>
              <w:t>Over-reliance, inappropriate communication/treatment or failure to seek necessary clinical review.</w:t>
            </w:r>
          </w:p>
        </w:tc>
        <w:tc>
          <w:tcPr>
            <w:tcW w:type="dxa" w:w="2045"/>
            <w:vAlign w:val="top"/>
          </w:tcPr>
          <w:p>
            <w:r/>
            <w:r>
              <w:rPr>
                <w:rFonts w:ascii="Aptos" w:hAnsi="Aptos"/>
                <w:b w:val="0"/>
                <w:sz w:val="12"/>
              </w:rPr>
              <w:t>Output semantics distinguish triage from diagnosis; operator/user information; API documentation; human oversight where required; redress/escalation. Cross-ref R7/R8.</w:t>
            </w:r>
          </w:p>
        </w:tc>
      </w:tr>
      <w:tr>
        <w:tc>
          <w:tcPr>
            <w:tcW w:type="dxa" w:w="2045"/>
            <w:vAlign w:val="top"/>
          </w:tcPr>
          <w:p>
            <w:r/>
            <w:r>
              <w:rPr>
                <w:rFonts w:ascii="Aptos" w:hAnsi="Aptos"/>
                <w:b w:val="0"/>
                <w:sz w:val="12"/>
              </w:rPr>
              <w:t>M7</w:t>
            </w:r>
          </w:p>
        </w:tc>
        <w:tc>
          <w:tcPr>
            <w:tcW w:type="dxa" w:w="2045"/>
            <w:vAlign w:val="top"/>
          </w:tcPr>
          <w:p>
            <w:r/>
            <w:r>
              <w:rPr>
                <w:rFonts w:ascii="Aptos" w:hAnsi="Aptos"/>
                <w:b w:val="0"/>
                <w:sz w:val="12"/>
              </w:rPr>
              <w:t>An attacker submits malformed/high-volume inputs to probe or degrade the service.</w:t>
            </w:r>
          </w:p>
        </w:tc>
        <w:tc>
          <w:tcPr>
            <w:tcW w:type="dxa" w:w="2045"/>
            <w:vAlign w:val="top"/>
          </w:tcPr>
          <w:p>
            <w:r/>
            <w:r>
              <w:rPr>
                <w:rFonts w:ascii="Aptos" w:hAnsi="Aptos"/>
                <w:b w:val="0"/>
                <w:sz w:val="12"/>
              </w:rPr>
              <w:t>M</w:t>
            </w:r>
          </w:p>
        </w:tc>
        <w:tc>
          <w:tcPr>
            <w:tcW w:type="dxa" w:w="2045"/>
            <w:vAlign w:val="top"/>
          </w:tcPr>
          <w:p>
            <w:r/>
            <w:r>
              <w:rPr>
                <w:rFonts w:ascii="Aptos" w:hAnsi="Aptos"/>
                <w:b w:val="0"/>
                <w:sz w:val="12"/>
              </w:rPr>
              <w:t>Availability degradation, denial of service, unexpected state handling, potential data exposure.</w:t>
            </w:r>
          </w:p>
        </w:tc>
        <w:tc>
          <w:tcPr>
            <w:tcW w:type="dxa" w:w="2045"/>
            <w:vAlign w:val="top"/>
          </w:tcPr>
          <w:p>
            <w:r/>
            <w:r>
              <w:rPr>
                <w:rFonts w:ascii="Aptos" w:hAnsi="Aptos"/>
                <w:b w:val="0"/>
                <w:sz w:val="12"/>
              </w:rPr>
              <w:t>WAF/API gateway controls; schema validation; rate limits where appropriate; monitoring; least privilege; resilience testing and incident response. Cross-ref R4/R14.</w:t>
            </w:r>
          </w:p>
        </w:tc>
      </w:tr>
      <w:tr>
        <w:tc>
          <w:tcPr>
            <w:tcW w:type="dxa" w:w="2045"/>
            <w:vAlign w:val="top"/>
          </w:tcPr>
          <w:p>
            <w:r/>
            <w:r>
              <w:rPr>
                <w:rFonts w:ascii="Aptos" w:hAnsi="Aptos"/>
                <w:b w:val="0"/>
                <w:sz w:val="12"/>
              </w:rPr>
              <w:t>M8</w:t>
            </w:r>
          </w:p>
        </w:tc>
        <w:tc>
          <w:tcPr>
            <w:tcW w:type="dxa" w:w="2045"/>
            <w:vAlign w:val="top"/>
          </w:tcPr>
          <w:p>
            <w:r/>
            <w:r>
              <w:rPr>
                <w:rFonts w:ascii="Aptos" w:hAnsi="Aptos"/>
                <w:b w:val="0"/>
                <w:sz w:val="12"/>
              </w:rPr>
              <w:t>An outdated/superseded model version is deliberately or accidentally deployed or invoked.</w:t>
            </w:r>
          </w:p>
        </w:tc>
        <w:tc>
          <w:tcPr>
            <w:tcW w:type="dxa" w:w="2045"/>
            <w:vAlign w:val="top"/>
          </w:tcPr>
          <w:p>
            <w:r/>
            <w:r>
              <w:rPr>
                <w:rFonts w:ascii="Aptos" w:hAnsi="Aptos"/>
                <w:b w:val="0"/>
                <w:sz w:val="12"/>
              </w:rPr>
              <w:t>L/M</w:t>
            </w:r>
          </w:p>
        </w:tc>
        <w:tc>
          <w:tcPr>
            <w:tcW w:type="dxa" w:w="2045"/>
            <w:vAlign w:val="top"/>
          </w:tcPr>
          <w:p>
            <w:r/>
            <w:r>
              <w:rPr>
                <w:rFonts w:ascii="Aptos" w:hAnsi="Aptos"/>
                <w:b w:val="0"/>
                <w:sz w:val="12"/>
              </w:rPr>
              <w:t>Known defects or stale clinical logic may re-enter service, undermining assurance evidence.</w:t>
            </w:r>
          </w:p>
        </w:tc>
        <w:tc>
          <w:tcPr>
            <w:tcW w:type="dxa" w:w="2045"/>
            <w:vAlign w:val="top"/>
          </w:tcPr>
          <w:p>
            <w:r/>
            <w:r>
              <w:rPr>
                <w:rFonts w:ascii="Aptos" w:hAnsi="Aptos"/>
                <w:b w:val="0"/>
                <w:sz w:val="12"/>
              </w:rPr>
              <w:t>Signed/versioned artefacts; deployment allow-list; environment/configuration controls; release approvals; runtime version telemetry; rollback/forward controls. Cross-ref R15/R9.</w:t>
            </w:r>
          </w:p>
        </w:tc>
      </w:tr>
      <w:tr>
        <w:tc>
          <w:tcPr>
            <w:tcW w:type="dxa" w:w="2045"/>
            <w:vAlign w:val="top"/>
          </w:tcPr>
          <w:p>
            <w:r/>
            <w:r>
              <w:rPr>
                <w:rFonts w:ascii="Aptos" w:hAnsi="Aptos"/>
                <w:b w:val="0"/>
                <w:sz w:val="12"/>
              </w:rPr>
              <w:t>M9</w:t>
            </w:r>
          </w:p>
        </w:tc>
        <w:tc>
          <w:tcPr>
            <w:tcW w:type="dxa" w:w="2045"/>
            <w:vAlign w:val="top"/>
          </w:tcPr>
          <w:p>
            <w:r/>
            <w:r>
              <w:rPr>
                <w:rFonts w:ascii="Aptos" w:hAnsi="Aptos"/>
                <w:b w:val="0"/>
                <w:sz w:val="12"/>
              </w:rPr>
              <w:t>Model outputs or probability values are used for unrelated secondary decisions such as eligibility, insurance, employment or performance management.</w:t>
            </w:r>
          </w:p>
        </w:tc>
        <w:tc>
          <w:tcPr>
            <w:tcW w:type="dxa" w:w="2045"/>
            <w:vAlign w:val="top"/>
          </w:tcPr>
          <w:p>
            <w:r/>
            <w:r>
              <w:rPr>
                <w:rFonts w:ascii="Aptos" w:hAnsi="Aptos"/>
                <w:b w:val="0"/>
                <w:sz w:val="12"/>
              </w:rPr>
              <w:t>L</w:t>
            </w:r>
          </w:p>
        </w:tc>
        <w:tc>
          <w:tcPr>
            <w:tcW w:type="dxa" w:w="2045"/>
            <w:vAlign w:val="top"/>
          </w:tcPr>
          <w:p>
            <w:r/>
            <w:r>
              <w:rPr>
                <w:rFonts w:ascii="Aptos" w:hAnsi="Aptos"/>
                <w:b w:val="0"/>
                <w:sz w:val="12"/>
              </w:rPr>
              <w:t>Unfair/unlawful decisions and use outside the validated purpose.</w:t>
            </w:r>
          </w:p>
        </w:tc>
        <w:tc>
          <w:tcPr>
            <w:tcW w:type="dxa" w:w="2045"/>
            <w:vAlign w:val="top"/>
          </w:tcPr>
          <w:p>
            <w:r/>
            <w:r>
              <w:rPr>
                <w:rFonts w:ascii="Aptos" w:hAnsi="Aptos"/>
                <w:b w:val="0"/>
                <w:sz w:val="12"/>
              </w:rPr>
              <w:t>Explicit prohibition in intended-use/user information; data-access controls; contractual/governance controls; audit and incident escalation. Cross-ref R7/R1.</w:t>
            </w:r>
          </w:p>
        </w:tc>
      </w:tr>
      <w:tr>
        <w:tc>
          <w:tcPr>
            <w:tcW w:type="dxa" w:w="2045"/>
            <w:vAlign w:val="top"/>
          </w:tcPr>
          <w:p>
            <w:r/>
            <w:r>
              <w:rPr>
                <w:rFonts w:ascii="Aptos" w:hAnsi="Aptos"/>
                <w:b w:val="0"/>
                <w:sz w:val="12"/>
              </w:rPr>
              <w:t>M10</w:t>
            </w:r>
          </w:p>
        </w:tc>
        <w:tc>
          <w:tcPr>
            <w:tcW w:type="dxa" w:w="2045"/>
            <w:vAlign w:val="top"/>
          </w:tcPr>
          <w:p>
            <w:r/>
            <w:r>
              <w:rPr>
                <w:rFonts w:ascii="Aptos" w:hAnsi="Aptos"/>
                <w:b w:val="0"/>
                <w:sz w:val="12"/>
              </w:rPr>
              <w:t>An operator ignores uncertainty/monitoring alerts because the service has historically performed well.</w:t>
            </w:r>
          </w:p>
        </w:tc>
        <w:tc>
          <w:tcPr>
            <w:tcW w:type="dxa" w:w="2045"/>
            <w:vAlign w:val="top"/>
          </w:tcPr>
          <w:p>
            <w:r/>
            <w:r>
              <w:rPr>
                <w:rFonts w:ascii="Aptos" w:hAnsi="Aptos"/>
                <w:b w:val="0"/>
                <w:sz w:val="12"/>
              </w:rPr>
              <w:t>M</w:t>
            </w:r>
          </w:p>
        </w:tc>
        <w:tc>
          <w:tcPr>
            <w:tcW w:type="dxa" w:w="2045"/>
            <w:vAlign w:val="top"/>
          </w:tcPr>
          <w:p>
            <w:r/>
            <w:r>
              <w:rPr>
                <w:rFonts w:ascii="Aptos" w:hAnsi="Aptos"/>
                <w:b w:val="0"/>
                <w:sz w:val="12"/>
              </w:rPr>
              <w:t>Automation bias could allow emerging drift or safety issues to persist.</w:t>
            </w:r>
          </w:p>
        </w:tc>
        <w:tc>
          <w:tcPr>
            <w:tcW w:type="dxa" w:w="2045"/>
            <w:vAlign w:val="top"/>
          </w:tcPr>
          <w:p>
            <w:r/>
            <w:r>
              <w:rPr>
                <w:rFonts w:ascii="Aptos" w:hAnsi="Aptos"/>
                <w:b w:val="0"/>
                <w:sz w:val="12"/>
              </w:rPr>
              <w:t>Defined monitoring thresholds and mandatory actions; training; escalation; periodic review; accountable monitoring owner; incident/near-miss review. Cross-ref R5/R8.</w:t>
            </w:r>
          </w:p>
        </w:tc>
      </w:tr>
    </w:tbl>
    <w:p/>
    <w:p>
      <w:pPr>
        <w:pStyle w:val="Heading1"/>
      </w:pPr>
      <w:r>
        <w:t>10. Review Schedule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5"/>
              </w:rPr>
              <w:t>Trigger</w:t>
            </w:r>
          </w:p>
        </w:tc>
        <w:tc>
          <w:tcPr>
            <w:tcW w:type="dxa" w:w="5112"/>
            <w:vAlign w:val="top"/>
            <w:shd w:fill="D9EAD3"/>
          </w:tcPr>
          <w:p>
            <w:r/>
            <w:r>
              <w:rPr>
                <w:rFonts w:ascii="Aptos" w:hAnsi="Aptos"/>
                <w:b/>
                <w:sz w:val="15"/>
              </w:rPr>
              <w:t>Cadence / criterion</w:t>
            </w:r>
          </w:p>
        </w:tc>
      </w:tr>
      <w:tr>
        <w:tc>
          <w:tcPr>
            <w:tcW w:type="dxa" w:w="5112"/>
            <w:vAlign w:val="top"/>
          </w:tcPr>
          <w:p>
            <w:r/>
            <w:r>
              <w:rPr>
                <w:rFonts w:ascii="Aptos" w:hAnsi="Aptos"/>
                <w:b w:val="0"/>
                <w:sz w:val="15"/>
              </w:rPr>
              <w:t>Time-based review</w:t>
            </w:r>
          </w:p>
        </w:tc>
        <w:tc>
          <w:tcPr>
            <w:tcW w:type="dxa" w:w="5112"/>
            <w:vAlign w:val="top"/>
          </w:tcPr>
          <w:p>
            <w:r/>
            <w:r>
              <w:rPr>
                <w:rFonts w:ascii="Aptos" w:hAnsi="Aptos"/>
                <w:b w:val="0"/>
                <w:sz w:val="15"/>
              </w:rPr>
              <w:t>At minimum annually. For a Tier 3 clinical system, perform a formal review before each major release/clinical deployment stage and consider a more frequent operational risk review during Beta/early live operation.</w:t>
            </w:r>
          </w:p>
        </w:tc>
      </w:tr>
      <w:tr>
        <w:tc>
          <w:tcPr>
            <w:tcW w:type="dxa" w:w="5112"/>
            <w:vAlign w:val="top"/>
          </w:tcPr>
          <w:p>
            <w:r/>
            <w:r>
              <w:rPr>
                <w:rFonts w:ascii="Aptos" w:hAnsi="Aptos"/>
                <w:b w:val="0"/>
                <w:sz w:val="15"/>
              </w:rPr>
              <w:t>Material change review</w:t>
            </w:r>
          </w:p>
        </w:tc>
        <w:tc>
          <w:tcPr>
            <w:tcW w:type="dxa" w:w="5112"/>
            <w:vAlign w:val="top"/>
          </w:tcPr>
          <w:p>
            <w:r/>
            <w:r>
              <w:rPr>
                <w:rFonts w:ascii="Aptos" w:hAnsi="Aptos"/>
                <w:b w:val="0"/>
                <w:sz w:val="15"/>
              </w:rPr>
              <w:t>Reassess before release when there is a material model/topology/CPT change, new data source or material data-distribution change, change to intended use/population/channel/geography, material safety threshold/guardrail change, change of build-time foundation model/service, supplier/platform dependency change, or significant architecture change.</w:t>
            </w:r>
          </w:p>
        </w:tc>
      </w:tr>
      <w:tr>
        <w:tc>
          <w:tcPr>
            <w:tcW w:type="dxa" w:w="5112"/>
            <w:vAlign w:val="top"/>
          </w:tcPr>
          <w:p>
            <w:r/>
            <w:r>
              <w:rPr>
                <w:rFonts w:ascii="Aptos" w:hAnsi="Aptos"/>
                <w:b w:val="0"/>
                <w:sz w:val="15"/>
              </w:rPr>
              <w:t>Incident-driven review</w:t>
            </w:r>
          </w:p>
        </w:tc>
        <w:tc>
          <w:tcPr>
            <w:tcW w:type="dxa" w:w="5112"/>
            <w:vAlign w:val="top"/>
          </w:tcPr>
          <w:p>
            <w:r/>
            <w:r>
              <w:rPr>
                <w:rFonts w:ascii="Aptos" w:hAnsi="Aptos"/>
                <w:b w:val="0"/>
                <w:sz w:val="15"/>
              </w:rPr>
              <w:t>Review after any AI-related clinical safety incident, serious operational incident, privacy/security incident attributable to AI behaviour, or meaningful near-miss. Reassess affected risk rows and controls before resuming/continuing use where necessary.</w:t>
            </w:r>
          </w:p>
        </w:tc>
      </w:tr>
      <w:tr>
        <w:tc>
          <w:tcPr>
            <w:tcW w:type="dxa" w:w="5112"/>
            <w:vAlign w:val="top"/>
          </w:tcPr>
          <w:p>
            <w:r/>
            <w:r>
              <w:rPr>
                <w:rFonts w:ascii="Aptos" w:hAnsi="Aptos"/>
                <w:b w:val="0"/>
                <w:sz w:val="15"/>
              </w:rPr>
              <w:t>Regulatory change</w:t>
            </w:r>
          </w:p>
        </w:tc>
        <w:tc>
          <w:tcPr>
            <w:tcW w:type="dxa" w:w="5112"/>
            <w:vAlign w:val="top"/>
          </w:tcPr>
          <w:p>
            <w:r/>
            <w:r>
              <w:rPr>
                <w:rFonts w:ascii="Aptos" w:hAnsi="Aptos"/>
                <w:b w:val="0"/>
                <w:sz w:val="15"/>
              </w:rPr>
              <w:t>Review when relevant MHRA/medical-device requirements, UK AI/data-protection law, NHS clinical-safety standards, Kainos AI policy, or other applicable regulatory/clinical guidance changes in a way that could affect intended use, classification, evidence or controls.</w:t>
            </w:r>
          </w:p>
        </w:tc>
      </w:tr>
    </w:tbl>
    <w:p/>
    <w:p>
      <w:pPr>
        <w:pStyle w:val="Heading1"/>
      </w:pPr>
      <w:r>
        <w:t>11. Change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D3"/>
          </w:tcPr>
          <w:p>
            <w:r/>
            <w:r>
              <w:rPr>
                <w:rFonts w:ascii="Aptos" w:hAnsi="Aptos"/>
                <w:b/>
                <w:sz w:val="16"/>
              </w:rPr>
              <w:t>Version</w:t>
            </w:r>
          </w:p>
        </w:tc>
        <w:tc>
          <w:tcPr>
            <w:tcW w:type="dxa" w:w="2556"/>
            <w:vAlign w:val="top"/>
            <w:shd w:fill="D9EAD3"/>
          </w:tcPr>
          <w:p>
            <w:r/>
            <w:r>
              <w:rPr>
                <w:rFonts w:ascii="Aptos" w:hAnsi="Aptos"/>
                <w:b/>
                <w:sz w:val="16"/>
              </w:rPr>
              <w:t>Date</w:t>
            </w:r>
          </w:p>
        </w:tc>
        <w:tc>
          <w:tcPr>
            <w:tcW w:type="dxa" w:w="2556"/>
            <w:vAlign w:val="top"/>
            <w:shd w:fill="D9EAD3"/>
          </w:tcPr>
          <w:p>
            <w:r/>
            <w:r>
              <w:rPr>
                <w:rFonts w:ascii="Aptos" w:hAnsi="Aptos"/>
                <w:b/>
                <w:sz w:val="16"/>
              </w:rPr>
              <w:t>Author</w:t>
            </w:r>
          </w:p>
        </w:tc>
        <w:tc>
          <w:tcPr>
            <w:tcW w:type="dxa" w:w="2556"/>
            <w:vAlign w:val="top"/>
            <w:shd w:fill="D9EAD3"/>
          </w:tcPr>
          <w:p>
            <w:r/>
            <w:r>
              <w:rPr>
                <w:rFonts w:ascii="Aptos" w:hAnsi="Aptos"/>
                <w:b/>
                <w:sz w:val="16"/>
              </w:rPr>
              <w:t>Change</w:t>
            </w:r>
          </w:p>
        </w:tc>
      </w:tr>
      <w:tr>
        <w:tc>
          <w:tcPr>
            <w:tcW w:type="dxa" w:w="2556"/>
            <w:vAlign w:val="top"/>
          </w:tcPr>
          <w:p>
            <w:r/>
            <w:r>
              <w:rPr>
                <w:rFonts w:ascii="Aptos" w:hAnsi="Aptos"/>
                <w:b w:val="0"/>
                <w:sz w:val="16"/>
              </w:rPr>
              <w:t>0.1</w:t>
            </w:r>
          </w:p>
        </w:tc>
        <w:tc>
          <w:tcPr>
            <w:tcW w:type="dxa" w:w="2556"/>
            <w:vAlign w:val="top"/>
          </w:tcPr>
          <w:p>
            <w:r/>
            <w:r>
              <w:rPr>
                <w:rFonts w:ascii="Aptos" w:hAnsi="Aptos"/>
                <w:b w:val="0"/>
                <w:sz w:val="16"/>
              </w:rPr>
              <w:t>06.09.2026</w:t>
            </w:r>
          </w:p>
        </w:tc>
        <w:tc>
          <w:tcPr>
            <w:tcW w:type="dxa" w:w="2556"/>
            <w:vAlign w:val="top"/>
          </w:tcPr>
          <w:p>
            <w:r/>
            <w:r>
              <w:rPr>
                <w:rFonts w:ascii="Aptos" w:hAnsi="Aptos"/>
                <w:b w:val="0"/>
                <w:sz w:val="16"/>
              </w:rPr>
              <w:t>Adaptive Triage architecture / AI governance working draft</w:t>
            </w:r>
          </w:p>
        </w:tc>
        <w:tc>
          <w:tcPr>
            <w:tcW w:type="dxa" w:w="2556"/>
            <w:vAlign w:val="top"/>
          </w:tcPr>
          <w:p>
            <w:r/>
            <w:r>
              <w:rPr>
                <w:rFonts w:ascii="Aptos" w:hAnsi="Aptos"/>
                <w:b w:val="0"/>
                <w:sz w:val="16"/>
              </w:rPr>
              <w:t>Initial question-by-question response pack created from the Kainos AI Risk and Impact Assessment Template and current Adaptive Triage position.</w:t>
            </w:r>
          </w:p>
        </w:tc>
      </w:tr>
    </w:tbl>
    <w:p/>
    <w:p>
      <w:pPr>
        <w:pStyle w:val="Heading1"/>
      </w:pPr>
      <w:r>
        <w:t>Outstanding information to confirm before formal submission</w:t>
      </w:r>
    </w:p>
    <w:p>
      <w:pPr>
        <w:pStyle w:val="ListBullet"/>
        <w:spacing w:after="40"/>
      </w:pPr>
      <w:r>
        <w:t>OneTrust Assessment ID and formal AI Intake Assessment / AI Governance Forum tier decision.</w:t>
      </w:r>
    </w:p>
    <w:p>
      <w:pPr>
        <w:pStyle w:val="ListBullet"/>
        <w:spacing w:after="40"/>
      </w:pPr>
      <w:r>
        <w:t>Confirmed Data Governance Role, Data Controller wording and authoritative DPIA reference.</w:t>
      </w:r>
    </w:p>
    <w:p>
      <w:pPr>
        <w:pStyle w:val="ListBullet"/>
        <w:spacing w:after="40"/>
      </w:pPr>
      <w:r>
        <w:t>Named Accountable Owner, Approver and Reviewers.</w:t>
      </w:r>
    </w:p>
    <w:p>
      <w:pPr>
        <w:pStyle w:val="ListBullet"/>
        <w:spacing w:after="40"/>
      </w:pPr>
      <w:r>
        <w:t>Kainos risk-scoring calibration and formal validation of all likelihood, impact and residual ratings.</w:t>
      </w:r>
    </w:p>
    <w:p>
      <w:pPr>
        <w:pStyle w:val="ListBullet"/>
        <w:spacing w:after="40"/>
      </w:pPr>
      <w:r>
        <w:t>Final regulatory determination for EU AI Act applicability and the medical-device/MHRA position.</w:t>
      </w:r>
    </w:p>
    <w:p>
      <w:pPr>
        <w:pStyle w:val="ListBullet"/>
        <w:spacing w:after="40"/>
      </w:pPr>
      <w:r>
        <w:t>Approved clinical/model acceptance criteria, including high-risk safety, calibration, fairness/subgroup and robustness thresholds.</w:t>
      </w:r>
    </w:p>
    <w:p>
      <w:pPr>
        <w:pStyle w:val="ListBullet"/>
        <w:spacing w:after="40"/>
      </w:pPr>
      <w:r>
        <w:t>Final owners for each risk treatment and Monitoring &amp; Review Record cross-reference/section IDs.</w:t>
      </w:r>
    </w:p>
    <w:p>
      <w:pPr>
        <w:pStyle w:val="ListBullet"/>
        <w:spacing w:after="40"/>
      </w:pPr>
      <w:r>
        <w:t>Formal overall residual-risk decision, conditions, approval date and Approvals &amp; Exceptions Log ID.</w:t>
      </w:r>
    </w:p>
    <w:p>
      <w:pPr>
        <w:pStyle w:val="ListBullet"/>
        <w:spacing w:after="40"/>
      </w:pPr>
      <w:r>
        <w:t>Independent Tier 3 reviewer, outcome and any conditions/actions.</w:t>
      </w:r>
    </w:p>
    <w:p>
      <w:pPr>
        <w:pStyle w:val="ListBullet"/>
        <w:spacing w:after="40"/>
      </w:pPr>
      <w:r>
        <w:t>Final operating/monitoring owner, incident escalation and support model.</w:t>
      </w:r>
    </w:p>
    <w:p>
      <w:pPr>
        <w:pStyle w:val="ListBullet"/>
        <w:spacing w:after="40"/>
      </w:pPr>
      <w:r>
        <w:t>Exact review cadence during Beta/live operation and any additional regulatory review triggers.</w:t>
      </w:r>
    </w:p>
    <w:p>
      <w:pPr>
        <w:pStyle w:val="Heading1"/>
      </w:pPr>
      <w:r>
        <w:t>Source template basis</w:t>
      </w:r>
    </w:p>
    <w:p>
      <w:r>
        <w:t>This report follows the Kainos AI Risk and Impact Assessment Template (Version 1.0, issued 15 May 2026). It covers System Identity, Stakeholders and Impact Groups, Risk Tier Classification, Tier Rationale, Regulatory Flags, AI-Specific Risks, Risk Treatment Plan, Residual Risk Acceptance, Tier 3 Independent Review, Societal Impact, Foreseeable Misuse Scenarios, Review Schedule and Change History.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Artefact 2 - Kainos AI Risk and Impact Assessment - Adaptive Triage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rPr>
      <w:rFonts w:ascii="Aptos" w:hAnsi="Aptos"/>
      <w:b/>
      <w:sz w:val="20"/>
    </w:rPr>
  </w:style>
  <w:style w:type="paragraph" w:customStyle="1" w:styleId="Answer">
    <w:name w:val="Answe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