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2"/>
        </w:rPr>
        <w:t>Artefact 3</w:t>
      </w:r>
    </w:p>
    <w:p>
      <w:pPr>
        <w:jc w:val="center"/>
      </w:pPr>
      <w:r>
        <w:rPr>
          <w:rFonts w:ascii="Aptos Display" w:hAnsi="Aptos Display"/>
          <w:b/>
          <w:sz w:val="48"/>
        </w:rPr>
        <w:t>Kainos AI Data Management Record</w:t>
      </w:r>
    </w:p>
    <w:p>
      <w:pPr>
        <w:jc w:val="center"/>
      </w:pPr>
      <w:r>
        <w:rPr>
          <w:rFonts w:ascii="Aptos Display" w:hAnsi="Aptos Display"/>
          <w:b/>
          <w:sz w:val="40"/>
        </w:rPr>
        <w:t>Adaptive Triage</w:t>
      </w:r>
    </w:p>
    <w:p/>
    <w:p>
      <w:pPr>
        <w:jc w:val="center"/>
      </w:pPr>
      <w:r>
        <w:rPr>
          <w:sz w:val="22"/>
        </w:rPr>
        <w:t>Question-by-question response pack for copy and paste into the Kainos assurance system</w:t>
      </w:r>
    </w:p>
    <w:p/>
    <w:p>
      <w:pPr>
        <w:jc w:val="center"/>
      </w:pPr>
      <w:r>
        <w:rPr>
          <w:b/>
          <w:sz w:val="20"/>
        </w:rPr>
        <w:t>Status: Draft working response</w:t>
      </w:r>
    </w:p>
    <w:p>
      <w:r>
        <w:br w:type="page"/>
      </w:r>
    </w:p>
    <w:p>
      <w:pPr>
        <w:pStyle w:val="Heading1"/>
      </w:pPr>
      <w:r>
        <w:t>How to use this report</w:t>
      </w:r>
    </w:p>
    <w:p>
      <w:r>
        <w:t>This report follows the Kainos AI Data Management Record Template in the same order as the source artefact. Each requested field or table entry is reproduced with a copy-and-paste-ready Adaptive Triage answer. Where the underlying programme evidence does not yet support a definitive answer, the response is marked [TBC] rather than assumed.</w:t>
      </w:r>
    </w:p>
    <w:p>
      <w:r>
        <w:t>The template records every data source used by the AI system, its sensitivity, provenance, quality controls, handling rules, sub-processors, privacy responsibilities and refresh/review triggers. It supports Kainos AI Lifecycle control C2.</w:t>
      </w:r>
    </w:p>
    <w:p>
      <w:pPr>
        <w:pStyle w:val="Heading1"/>
      </w:pPr>
      <w:r>
        <w:t>1.1 System Identity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6"/>
              </w:rPr>
              <w:t>Template field</w:t>
            </w:r>
          </w:p>
        </w:tc>
        <w:tc>
          <w:tcPr>
            <w:tcW w:type="dxa" w:w="5112"/>
            <w:vAlign w:val="top"/>
            <w:shd w:fill="D9EAD3"/>
          </w:tcPr>
          <w:p>
            <w:r/>
            <w:r>
              <w:rPr>
                <w:rFonts w:ascii="Aptos" w:hAnsi="Aptos"/>
                <w:b/>
                <w:sz w:val="16"/>
              </w:rPr>
              <w:t>Copy/paste answer</w:t>
            </w:r>
          </w:p>
        </w:tc>
      </w:tr>
      <w:tr>
        <w:tc>
          <w:tcPr>
            <w:tcW w:type="dxa" w:w="5112"/>
            <w:vAlign w:val="top"/>
          </w:tcPr>
          <w:p>
            <w:r/>
            <w:r>
              <w:rPr>
                <w:rFonts w:ascii="Aptos" w:hAnsi="Aptos"/>
                <w:b w:val="0"/>
                <w:sz w:val="16"/>
              </w:rPr>
              <w:t>AI System Name</w:t>
            </w:r>
          </w:p>
        </w:tc>
        <w:tc>
          <w:tcPr>
            <w:tcW w:type="dxa" w:w="5112"/>
            <w:vAlign w:val="top"/>
          </w:tcPr>
          <w:p>
            <w:r/>
            <w:r>
              <w:rPr>
                <w:rFonts w:ascii="Aptos" w:hAnsi="Aptos"/>
                <w:b w:val="0"/>
                <w:sz w:val="16"/>
              </w:rPr>
              <w:t>Adaptive Triage</w:t>
            </w:r>
          </w:p>
        </w:tc>
      </w:tr>
      <w:tr>
        <w:tc>
          <w:tcPr>
            <w:tcW w:type="dxa" w:w="5112"/>
            <w:vAlign w:val="top"/>
          </w:tcPr>
          <w:p>
            <w:r/>
            <w:r>
              <w:rPr>
                <w:rFonts w:ascii="Aptos" w:hAnsi="Aptos"/>
                <w:b w:val="0"/>
                <w:sz w:val="16"/>
              </w:rPr>
              <w:t>OneTrust Assessment</w:t>
            </w:r>
          </w:p>
        </w:tc>
        <w:tc>
          <w:tcPr>
            <w:tcW w:type="dxa" w:w="5112"/>
            <w:vAlign w:val="top"/>
          </w:tcPr>
          <w:p>
            <w:r/>
            <w:r>
              <w:rPr>
                <w:rFonts w:ascii="Aptos" w:hAnsi="Aptos"/>
                <w:b w:val="0"/>
                <w:sz w:val="16"/>
              </w:rPr>
              <w:t>[TBC - insert OneTrust Assessment ID once confirmed.]</w:t>
            </w:r>
          </w:p>
        </w:tc>
      </w:tr>
      <w:tr>
        <w:tc>
          <w:tcPr>
            <w:tcW w:type="dxa" w:w="5112"/>
            <w:vAlign w:val="top"/>
          </w:tcPr>
          <w:p>
            <w:r/>
            <w:r>
              <w:rPr>
                <w:rFonts w:ascii="Aptos" w:hAnsi="Aptos"/>
                <w:b w:val="0"/>
                <w:sz w:val="16"/>
              </w:rPr>
              <w:t>Risk Tier</w:t>
            </w:r>
          </w:p>
        </w:tc>
        <w:tc>
          <w:tcPr>
            <w:tcW w:type="dxa" w:w="5112"/>
            <w:vAlign w:val="top"/>
          </w:tcPr>
          <w:p>
            <w:r/>
            <w:r>
              <w:rPr>
                <w:rFonts w:ascii="Aptos" w:hAnsi="Aptos"/>
                <w:b w:val="0"/>
                <w:sz w:val="16"/>
              </w:rPr>
              <w:t>Tier 3 - High (working assumption; formal classification remains subject to the Kainos AI Governance Forum).</w:t>
            </w:r>
          </w:p>
        </w:tc>
      </w:tr>
      <w:tr>
        <w:tc>
          <w:tcPr>
            <w:tcW w:type="dxa" w:w="5112"/>
            <w:vAlign w:val="top"/>
          </w:tcPr>
          <w:p>
            <w:r/>
            <w:r>
              <w:rPr>
                <w:rFonts w:ascii="Aptos" w:hAnsi="Aptos"/>
                <w:b w:val="0"/>
                <w:sz w:val="16"/>
              </w:rPr>
              <w:t>Customer (if applicable)</w:t>
            </w:r>
          </w:p>
        </w:tc>
        <w:tc>
          <w:tcPr>
            <w:tcW w:type="dxa" w:w="5112"/>
            <w:vAlign w:val="top"/>
          </w:tcPr>
          <w:p>
            <w:r/>
            <w:r>
              <w:rPr>
                <w:rFonts w:ascii="Aptos" w:hAnsi="Aptos"/>
                <w:b w:val="0"/>
                <w:sz w:val="16"/>
              </w:rPr>
              <w:t>NHS England</w:t>
            </w:r>
          </w:p>
        </w:tc>
      </w:tr>
      <w:tr>
        <w:tc>
          <w:tcPr>
            <w:tcW w:type="dxa" w:w="5112"/>
            <w:vAlign w:val="top"/>
          </w:tcPr>
          <w:p>
            <w:r/>
            <w:r>
              <w:rPr>
                <w:rFonts w:ascii="Aptos" w:hAnsi="Aptos"/>
                <w:b w:val="0"/>
                <w:sz w:val="16"/>
              </w:rPr>
              <w:t>Data Governance Role</w:t>
            </w:r>
          </w:p>
        </w:tc>
        <w:tc>
          <w:tcPr>
            <w:tcW w:type="dxa" w:w="5112"/>
            <w:vAlign w:val="top"/>
          </w:tcPr>
          <w:p>
            <w:r/>
            <w:r>
              <w:rPr>
                <w:rFonts w:ascii="Aptos" w:hAnsi="Aptos"/>
                <w:b w:val="0"/>
                <w:sz w:val="16"/>
              </w:rPr>
              <w:t>Processor - proposed working position for Kainos delivery on behalf of NHS England. [TBC - confirm through contract/DPIA/IG.]</w:t>
            </w:r>
          </w:p>
        </w:tc>
      </w:tr>
      <w:tr>
        <w:tc>
          <w:tcPr>
            <w:tcW w:type="dxa" w:w="5112"/>
            <w:vAlign w:val="top"/>
          </w:tcPr>
          <w:p>
            <w:r/>
            <w:r>
              <w:rPr>
                <w:rFonts w:ascii="Aptos" w:hAnsi="Aptos"/>
                <w:b w:val="0"/>
                <w:sz w:val="16"/>
              </w:rPr>
              <w:t>Data Controller</w:t>
            </w:r>
          </w:p>
        </w:tc>
        <w:tc>
          <w:tcPr>
            <w:tcW w:type="dxa" w:w="5112"/>
            <w:vAlign w:val="top"/>
          </w:tcPr>
          <w:p>
            <w:r/>
            <w:r>
              <w:rPr>
                <w:rFonts w:ascii="Aptos" w:hAnsi="Aptos"/>
                <w:b w:val="0"/>
                <w:sz w:val="16"/>
              </w:rPr>
              <w:t>NHS England, subject to confirmation in the DPIA and contractual governance.</w:t>
            </w:r>
          </w:p>
        </w:tc>
      </w:tr>
      <w:tr>
        <w:tc>
          <w:tcPr>
            <w:tcW w:type="dxa" w:w="5112"/>
            <w:vAlign w:val="top"/>
          </w:tcPr>
          <w:p>
            <w:r/>
            <w:r>
              <w:rPr>
                <w:rFonts w:ascii="Aptos" w:hAnsi="Aptos"/>
                <w:b w:val="0"/>
                <w:sz w:val="16"/>
              </w:rPr>
              <w:t>Monitoring Owner</w:t>
            </w:r>
          </w:p>
        </w:tc>
        <w:tc>
          <w:tcPr>
            <w:tcW w:type="dxa" w:w="5112"/>
            <w:vAlign w:val="top"/>
          </w:tcPr>
          <w:p>
            <w:r/>
            <w:r>
              <w:rPr>
                <w:rFonts w:ascii="Aptos" w:hAnsi="Aptos"/>
                <w:b w:val="0"/>
                <w:sz w:val="16"/>
              </w:rPr>
              <w:t>Shared - Kainos operates technical/model monitoring within the delivered service; NHS England retains customer/data-controller governance. [TBC final ownership split.]</w:t>
            </w:r>
          </w:p>
        </w:tc>
      </w:tr>
      <w:tr>
        <w:tc>
          <w:tcPr>
            <w:tcW w:type="dxa" w:w="5112"/>
            <w:vAlign w:val="top"/>
          </w:tcPr>
          <w:p>
            <w:r/>
            <w:r>
              <w:rPr>
                <w:rFonts w:ascii="Aptos" w:hAnsi="Aptos"/>
                <w:b w:val="0"/>
                <w:sz w:val="16"/>
              </w:rPr>
              <w:t>Accountable Owner</w:t>
            </w:r>
          </w:p>
        </w:tc>
        <w:tc>
          <w:tcPr>
            <w:tcW w:type="dxa" w:w="5112"/>
            <w:vAlign w:val="top"/>
          </w:tcPr>
          <w:p>
            <w:r/>
            <w:r>
              <w:rPr>
                <w:rFonts w:ascii="Aptos" w:hAnsi="Aptos"/>
                <w:b w:val="0"/>
                <w:sz w:val="16"/>
              </w:rPr>
              <w:t>[TBC - insert named Accountable Owner and role.]</w:t>
            </w:r>
          </w:p>
        </w:tc>
      </w:tr>
      <w:tr>
        <w:tc>
          <w:tcPr>
            <w:tcW w:type="dxa" w:w="5112"/>
            <w:vAlign w:val="top"/>
          </w:tcPr>
          <w:p>
            <w:r/>
            <w:r>
              <w:rPr>
                <w:rFonts w:ascii="Aptos" w:hAnsi="Aptos"/>
                <w:b w:val="0"/>
                <w:sz w:val="16"/>
              </w:rPr>
              <w:t>Approver</w:t>
            </w:r>
          </w:p>
        </w:tc>
        <w:tc>
          <w:tcPr>
            <w:tcW w:type="dxa" w:w="5112"/>
            <w:vAlign w:val="top"/>
          </w:tcPr>
          <w:p>
            <w:r/>
            <w:r>
              <w:rPr>
                <w:rFonts w:ascii="Aptos" w:hAnsi="Aptos"/>
                <w:b w:val="0"/>
                <w:sz w:val="16"/>
              </w:rPr>
              <w:t>[TBC - insert named Approver and role; for Tier 3 this must not be the Accountable Owner.]</w:t>
            </w:r>
          </w:p>
        </w:tc>
      </w:tr>
      <w:tr>
        <w:tc>
          <w:tcPr>
            <w:tcW w:type="dxa" w:w="5112"/>
            <w:vAlign w:val="top"/>
          </w:tcPr>
          <w:p>
            <w:r/>
            <w:r>
              <w:rPr>
                <w:rFonts w:ascii="Aptos" w:hAnsi="Aptos"/>
                <w:b w:val="0"/>
                <w:sz w:val="16"/>
              </w:rPr>
              <w:t>Reviewer(s)</w:t>
            </w:r>
          </w:p>
        </w:tc>
        <w:tc>
          <w:tcPr>
            <w:tcW w:type="dxa" w:w="5112"/>
            <w:vAlign w:val="top"/>
          </w:tcPr>
          <w:p>
            <w:r/>
            <w:r>
              <w:rPr>
                <w:rFonts w:ascii="Aptos" w:hAnsi="Aptos"/>
                <w:b w:val="0"/>
                <w:sz w:val="16"/>
              </w:rPr>
              <w:t>Security; Data/AI Ethics; QA; Information Governance/Data Protection; Legal/Compliance; Clinical Safety; Data Science/AI Engineering as required.</w:t>
            </w:r>
          </w:p>
        </w:tc>
      </w:tr>
      <w:tr>
        <w:tc>
          <w:tcPr>
            <w:tcW w:type="dxa" w:w="5112"/>
            <w:vAlign w:val="top"/>
          </w:tcPr>
          <w:p>
            <w:r/>
            <w:r>
              <w:rPr>
                <w:rFonts w:ascii="Aptos" w:hAnsi="Aptos"/>
                <w:b w:val="0"/>
                <w:sz w:val="16"/>
              </w:rPr>
              <w:t>Lifecycle Stage</w:t>
            </w:r>
          </w:p>
        </w:tc>
        <w:tc>
          <w:tcPr>
            <w:tcW w:type="dxa" w:w="5112"/>
            <w:vAlign w:val="top"/>
          </w:tcPr>
          <w:p>
            <w:r/>
            <w:r>
              <w:rPr>
                <w:rFonts w:ascii="Aptos" w:hAnsi="Aptos"/>
                <w:b w:val="0"/>
                <w:sz w:val="16"/>
              </w:rPr>
              <w:t>Develop - Alpha progressing towards Beta.</w:t>
            </w:r>
          </w:p>
        </w:tc>
      </w:tr>
      <w:tr>
        <w:tc>
          <w:tcPr>
            <w:tcW w:type="dxa" w:w="5112"/>
            <w:vAlign w:val="top"/>
          </w:tcPr>
          <w:p>
            <w:r/>
            <w:r>
              <w:rPr>
                <w:rFonts w:ascii="Aptos" w:hAnsi="Aptos"/>
                <w:b w:val="0"/>
                <w:sz w:val="16"/>
              </w:rPr>
              <w:t>Version</w:t>
            </w:r>
          </w:p>
        </w:tc>
        <w:tc>
          <w:tcPr>
            <w:tcW w:type="dxa" w:w="5112"/>
            <w:vAlign w:val="top"/>
          </w:tcPr>
          <w:p>
            <w:r/>
            <w:r>
              <w:rPr>
                <w:rFonts w:ascii="Aptos" w:hAnsi="Aptos"/>
                <w:b w:val="0"/>
                <w:sz w:val="16"/>
              </w:rPr>
              <w:t>0.1</w:t>
            </w:r>
          </w:p>
        </w:tc>
      </w:tr>
      <w:tr>
        <w:tc>
          <w:tcPr>
            <w:tcW w:type="dxa" w:w="5112"/>
            <w:vAlign w:val="top"/>
          </w:tcPr>
          <w:p>
            <w:r/>
            <w:r>
              <w:rPr>
                <w:rFonts w:ascii="Aptos" w:hAnsi="Aptos"/>
                <w:b w:val="0"/>
                <w:sz w:val="16"/>
              </w:rPr>
              <w:t>Date</w:t>
            </w:r>
          </w:p>
        </w:tc>
        <w:tc>
          <w:tcPr>
            <w:tcW w:type="dxa" w:w="5112"/>
            <w:vAlign w:val="top"/>
          </w:tcPr>
          <w:p>
            <w:r/>
            <w:r>
              <w:rPr>
                <w:rFonts w:ascii="Aptos" w:hAnsi="Aptos"/>
                <w:b w:val="0"/>
                <w:sz w:val="16"/>
              </w:rPr>
              <w:t>06.09.2026</w:t>
            </w:r>
          </w:p>
        </w:tc>
      </w:tr>
      <w:tr>
        <w:tc>
          <w:tcPr>
            <w:tcW w:type="dxa" w:w="5112"/>
            <w:vAlign w:val="top"/>
          </w:tcPr>
          <w:p>
            <w:r/>
            <w:r>
              <w:rPr>
                <w:rFonts w:ascii="Aptos" w:hAnsi="Aptos"/>
                <w:b w:val="0"/>
                <w:sz w:val="16"/>
              </w:rPr>
              <w:t>Status</w:t>
            </w:r>
          </w:p>
        </w:tc>
        <w:tc>
          <w:tcPr>
            <w:tcW w:type="dxa" w:w="5112"/>
            <w:vAlign w:val="top"/>
          </w:tcPr>
          <w:p>
            <w:r/>
            <w:r>
              <w:rPr>
                <w:rFonts w:ascii="Aptos" w:hAnsi="Aptos"/>
                <w:b w:val="0"/>
                <w:sz w:val="16"/>
              </w:rPr>
              <w:t>Draft</w:t>
            </w:r>
          </w:p>
        </w:tc>
      </w:tr>
    </w:tbl>
    <w:p/>
    <w:p>
      <w:pPr>
        <w:pStyle w:val="Heading2"/>
      </w:pPr>
      <w:r>
        <w:t>1.2 Summary</w:t>
      </w:r>
    </w:p>
    <w:p>
      <w:pPr>
        <w:pStyle w:val="Question"/>
        <w:spacing w:before="120" w:after="40"/>
      </w:pPr>
      <w:r>
        <w:t>Every data source the system uses, with role and sensitivity.</w:t>
      </w:r>
    </w:p>
    <w:p>
      <w:pPr>
        <w:spacing w:after="120"/>
      </w:pPr>
      <w:r>
        <w:t>Adaptive Triage uses multiple controlled data classes: approved NHS clinical content and terminology for model construction; de-identified or appropriately governed triage/ECDS-derived data where used for model calibration/evaluation; runtime triage interaction inputs and outputs; clinician-authored and synthetic vignettes/evaluation sets; model artefacts and configuration; and operational/audit logs. Runtime interaction data may contain personal and special-category health data. Build-time LLM use is restricted to approved use cases and is not intended to include PII.</w:t>
      </w:r>
    </w:p>
    <w:p>
      <w:pPr>
        <w:pStyle w:val="Question"/>
        <w:spacing w:before="120" w:after="40"/>
      </w:pPr>
      <w:r>
        <w:t>Provenance and licensing for each data set, including third-party data.</w:t>
      </w:r>
    </w:p>
    <w:p>
      <w:pPr>
        <w:spacing w:after="120"/>
      </w:pPr>
      <w:r>
        <w:t>Each data source should be traceable to its authoritative NHS source, customer-provided dataset, approved terminology source or approved third-party service. The authoritative contract/licence and acceptable-use restriction for each source must be recorded before production use. Where the current programme material does not yet provide a contract or licence reference, this report marks it [TBC] rather than inferring one.</w:t>
      </w:r>
    </w:p>
    <w:p>
      <w:pPr>
        <w:pStyle w:val="Question"/>
        <w:spacing w:before="120" w:after="40"/>
      </w:pPr>
      <w:r>
        <w:t>Quality measures and known data issues.</w:t>
      </w:r>
    </w:p>
    <w:p>
      <w:pPr>
        <w:spacing w:after="120"/>
      </w:pPr>
      <w:r>
        <w:t>Quality controls vary by source but include provenance checks, completeness, schema/format validation, duplicate/null handling where relevant, terminology validation, representativeness/subgroup analysis, clinical review, reproducibility of transformations, and validation against clinical vignettes or reference outcomes. Known concerns include historical/source-content bias, incomplete demographic representation, coding variability, missing/incorrect runtime evidence, and drift over time.</w:t>
      </w:r>
    </w:p>
    <w:p>
      <w:pPr>
        <w:pStyle w:val="Question"/>
        <w:spacing w:before="120" w:after="40"/>
      </w:pPr>
      <w:r>
        <w:t>Handling rules: lawful basis, retention, location, encryption, sub-processors.</w:t>
      </w:r>
    </w:p>
    <w:p>
      <w:pPr>
        <w:spacing w:after="120"/>
      </w:pPr>
      <w:r>
        <w:t>Personal/special-category data is handled under NHS England controller decisions and the approved DPIA/contractual arrangements. Adaptive Triage data is intended to remain within approved NHS England AWS environments and associated approved service boundaries, encrypted in transit and at rest with least-privilege access. Retention periods, exact lawful-basis wording and any cross-border provisions must be taken from the approved DPIA, retention schedule and contract and are therefore marked [TBC] where not yet confirmed.</w:t>
      </w:r>
    </w:p>
    <w:p>
      <w:pPr>
        <w:pStyle w:val="Question"/>
        <w:spacing w:before="120" w:after="40"/>
      </w:pPr>
      <w:r>
        <w:t>Data subject rights and links to any DPIA.</w:t>
      </w:r>
    </w:p>
    <w:p>
      <w:pPr>
        <w:spacing w:after="120"/>
      </w:pPr>
      <w:r>
        <w:t>Personal data is in scope for runtime triage interactions. NHS England is the proposed Data Controller and Kainos the proposed Data Processor. Data subject rights, privacy notices, DSAR handling, erasure obligations and retention decisions therefore remain primarily customer/controller responsibilities, with Kainos supporting processor obligations under the contract. A DPIA is already in place for the programme; the exact reference/link should be inserted before submission.</w:t>
      </w:r>
    </w:p>
    <w:p>
      <w:pPr>
        <w:pStyle w:val="Question"/>
        <w:spacing w:before="120" w:after="40"/>
      </w:pPr>
      <w:r>
        <w:t>Triggers for refresh and review.</w:t>
      </w:r>
    </w:p>
    <w:p>
      <w:pPr>
        <w:spacing w:after="120"/>
      </w:pPr>
      <w:r>
        <w:t>Data/model evidence should be reviewed when source clinical content changes, data quality degrades, a source becomes unavailable, the intended use changes, new validated datasets become available, material drift is detected, a supplier/service changes, a regulatory requirement changes, or an AI/clinical incident or near-miss indicates that the current data assumptions may no longer be safe.</w:t>
      </w:r>
    </w:p>
    <w:p>
      <w:pPr>
        <w:pStyle w:val="Heading1"/>
      </w:pPr>
      <w:r>
        <w:t>2. Data Sources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3"/>
              </w:rPr>
              <w:t>Ref</w:t>
            </w:r>
          </w:p>
        </w:tc>
        <w:tc>
          <w:tcPr>
            <w:tcW w:type="dxa" w:w="2045"/>
            <w:vAlign w:val="top"/>
            <w:shd w:fill="D9EAD3"/>
          </w:tcPr>
          <w:p>
            <w:r/>
            <w:r>
              <w:rPr>
                <w:rFonts w:ascii="Aptos" w:hAnsi="Aptos"/>
                <w:b/>
                <w:sz w:val="13"/>
              </w:rPr>
              <w:t>Data set</w:t>
            </w:r>
          </w:p>
        </w:tc>
        <w:tc>
          <w:tcPr>
            <w:tcW w:type="dxa" w:w="2045"/>
            <w:vAlign w:val="top"/>
            <w:shd w:fill="D9EAD3"/>
          </w:tcPr>
          <w:p>
            <w:r/>
            <w:r>
              <w:rPr>
                <w:rFonts w:ascii="Aptos" w:hAnsi="Aptos"/>
                <w:b/>
                <w:sz w:val="13"/>
              </w:rPr>
              <w:t>Use</w:t>
            </w:r>
          </w:p>
        </w:tc>
        <w:tc>
          <w:tcPr>
            <w:tcW w:type="dxa" w:w="2045"/>
            <w:vAlign w:val="top"/>
            <w:shd w:fill="D9EAD3"/>
          </w:tcPr>
          <w:p>
            <w:r/>
            <w:r>
              <w:rPr>
                <w:rFonts w:ascii="Aptos" w:hAnsi="Aptos"/>
                <w:b/>
                <w:sz w:val="13"/>
              </w:rPr>
              <w:t>Owner</w:t>
            </w:r>
          </w:p>
        </w:tc>
        <w:tc>
          <w:tcPr>
            <w:tcW w:type="dxa" w:w="2045"/>
            <w:vAlign w:val="top"/>
            <w:shd w:fill="D9EAD3"/>
          </w:tcPr>
          <w:p>
            <w:r/>
            <w:r>
              <w:rPr>
                <w:rFonts w:ascii="Aptos" w:hAnsi="Aptos"/>
                <w:b/>
                <w:sz w:val="13"/>
              </w:rPr>
              <w:t>Source / system</w:t>
            </w:r>
          </w:p>
        </w:tc>
      </w:tr>
      <w:tr>
        <w:tc>
          <w:tcPr>
            <w:tcW w:type="dxa" w:w="2045"/>
            <w:vAlign w:val="top"/>
          </w:tcPr>
          <w:p>
            <w:r/>
            <w:r>
              <w:rPr>
                <w:rFonts w:ascii="Aptos" w:hAnsi="Aptos"/>
                <w:b w:val="0"/>
                <w:sz w:val="13"/>
              </w:rPr>
              <w:t>D1</w:t>
            </w:r>
          </w:p>
        </w:tc>
        <w:tc>
          <w:tcPr>
            <w:tcW w:type="dxa" w:w="2045"/>
            <w:vAlign w:val="top"/>
          </w:tcPr>
          <w:p>
            <w:r/>
            <w:r>
              <w:rPr>
                <w:rFonts w:ascii="Aptos" w:hAnsi="Aptos"/>
                <w:b w:val="0"/>
                <w:sz w:val="13"/>
              </w:rPr>
              <w:t>Approved NHS Pathways / deterministic clinical content</w:t>
            </w:r>
          </w:p>
        </w:tc>
        <w:tc>
          <w:tcPr>
            <w:tcW w:type="dxa" w:w="2045"/>
            <w:vAlign w:val="top"/>
          </w:tcPr>
          <w:p>
            <w:r/>
            <w:r>
              <w:rPr>
                <w:rFonts w:ascii="Aptos" w:hAnsi="Aptos"/>
                <w:b w:val="0"/>
                <w:sz w:val="13"/>
              </w:rPr>
              <w:t>Model build / clinical knowledge source</w:t>
            </w:r>
          </w:p>
        </w:tc>
        <w:tc>
          <w:tcPr>
            <w:tcW w:type="dxa" w:w="2045"/>
            <w:vAlign w:val="top"/>
          </w:tcPr>
          <w:p>
            <w:r/>
            <w:r>
              <w:rPr>
                <w:rFonts w:ascii="Aptos" w:hAnsi="Aptos"/>
                <w:b w:val="0"/>
                <w:sz w:val="13"/>
              </w:rPr>
              <w:t>NHS England</w:t>
            </w:r>
          </w:p>
        </w:tc>
        <w:tc>
          <w:tcPr>
            <w:tcW w:type="dxa" w:w="2045"/>
            <w:vAlign w:val="top"/>
          </w:tcPr>
          <w:p>
            <w:r/>
            <w:r>
              <w:rPr>
                <w:rFonts w:ascii="Aptos" w:hAnsi="Aptos"/>
                <w:b w:val="0"/>
                <w:sz w:val="13"/>
              </w:rPr>
              <w:t>NHS England clinical content repositories / authoring sources</w:t>
            </w:r>
          </w:p>
        </w:tc>
      </w:tr>
      <w:tr>
        <w:tc>
          <w:tcPr>
            <w:tcW w:type="dxa" w:w="2045"/>
            <w:vAlign w:val="top"/>
          </w:tcPr>
          <w:p>
            <w:r/>
            <w:r>
              <w:rPr>
                <w:rFonts w:ascii="Aptos" w:hAnsi="Aptos"/>
                <w:b w:val="0"/>
                <w:sz w:val="13"/>
              </w:rPr>
              <w:t>D2</w:t>
            </w:r>
          </w:p>
        </w:tc>
        <w:tc>
          <w:tcPr>
            <w:tcW w:type="dxa" w:w="2045"/>
            <w:vAlign w:val="top"/>
          </w:tcPr>
          <w:p>
            <w:r/>
            <w:r>
              <w:rPr>
                <w:rFonts w:ascii="Aptos" w:hAnsi="Aptos"/>
                <w:b w:val="0"/>
                <w:sz w:val="13"/>
              </w:rPr>
              <w:t>Approved terminology and controlled value sets (including SNOMED CT mappings where used)</w:t>
            </w:r>
          </w:p>
        </w:tc>
        <w:tc>
          <w:tcPr>
            <w:tcW w:type="dxa" w:w="2045"/>
            <w:vAlign w:val="top"/>
          </w:tcPr>
          <w:p>
            <w:r/>
            <w:r>
              <w:rPr>
                <w:rFonts w:ascii="Aptos" w:hAnsi="Aptos"/>
                <w:b w:val="0"/>
                <w:sz w:val="13"/>
              </w:rPr>
              <w:t>Model build / ontology / runtime coding</w:t>
            </w:r>
          </w:p>
        </w:tc>
        <w:tc>
          <w:tcPr>
            <w:tcW w:type="dxa" w:w="2045"/>
            <w:vAlign w:val="top"/>
          </w:tcPr>
          <w:p>
            <w:r/>
            <w:r>
              <w:rPr>
                <w:rFonts w:ascii="Aptos" w:hAnsi="Aptos"/>
                <w:b w:val="0"/>
                <w:sz w:val="13"/>
              </w:rPr>
              <w:t>NHS England / relevant terminology authority</w:t>
            </w:r>
          </w:p>
        </w:tc>
        <w:tc>
          <w:tcPr>
            <w:tcW w:type="dxa" w:w="2045"/>
            <w:vAlign w:val="top"/>
          </w:tcPr>
          <w:p>
            <w:r/>
            <w:r>
              <w:rPr>
                <w:rFonts w:ascii="Aptos" w:hAnsi="Aptos"/>
                <w:b w:val="0"/>
                <w:sz w:val="13"/>
              </w:rPr>
              <w:t>NHS terminology services / approved reference data</w:t>
            </w:r>
          </w:p>
        </w:tc>
      </w:tr>
      <w:tr>
        <w:tc>
          <w:tcPr>
            <w:tcW w:type="dxa" w:w="2045"/>
            <w:vAlign w:val="top"/>
          </w:tcPr>
          <w:p>
            <w:r/>
            <w:r>
              <w:rPr>
                <w:rFonts w:ascii="Aptos" w:hAnsi="Aptos"/>
                <w:b w:val="0"/>
                <w:sz w:val="13"/>
              </w:rPr>
              <w:t>D3</w:t>
            </w:r>
          </w:p>
        </w:tc>
        <w:tc>
          <w:tcPr>
            <w:tcW w:type="dxa" w:w="2045"/>
            <w:vAlign w:val="top"/>
          </w:tcPr>
          <w:p>
            <w:r/>
            <w:r>
              <w:rPr>
                <w:rFonts w:ascii="Aptos" w:hAnsi="Aptos"/>
                <w:b w:val="0"/>
                <w:sz w:val="13"/>
              </w:rPr>
              <w:t>De-identified or appropriately governed triage interaction data</w:t>
            </w:r>
          </w:p>
        </w:tc>
        <w:tc>
          <w:tcPr>
            <w:tcW w:type="dxa" w:w="2045"/>
            <w:vAlign w:val="top"/>
          </w:tcPr>
          <w:p>
            <w:r/>
            <w:r>
              <w:rPr>
                <w:rFonts w:ascii="Aptos" w:hAnsi="Aptos"/>
                <w:b w:val="0"/>
                <w:sz w:val="13"/>
              </w:rPr>
              <w:t>Model calibration / evaluation / analytics</w:t>
            </w:r>
          </w:p>
        </w:tc>
        <w:tc>
          <w:tcPr>
            <w:tcW w:type="dxa" w:w="2045"/>
            <w:vAlign w:val="top"/>
          </w:tcPr>
          <w:p>
            <w:r/>
            <w:r>
              <w:rPr>
                <w:rFonts w:ascii="Aptos" w:hAnsi="Aptos"/>
                <w:b w:val="0"/>
                <w:sz w:val="13"/>
              </w:rPr>
              <w:t>NHS England</w:t>
            </w:r>
          </w:p>
        </w:tc>
        <w:tc>
          <w:tcPr>
            <w:tcW w:type="dxa" w:w="2045"/>
            <w:vAlign w:val="top"/>
          </w:tcPr>
          <w:p>
            <w:r/>
            <w:r>
              <w:rPr>
                <w:rFonts w:ascii="Aptos" w:hAnsi="Aptos"/>
                <w:b w:val="0"/>
                <w:sz w:val="13"/>
              </w:rPr>
              <w:t>Approved NHS triage datasets / TIM-derived sources where authorised</w:t>
            </w:r>
          </w:p>
        </w:tc>
      </w:tr>
      <w:tr>
        <w:tc>
          <w:tcPr>
            <w:tcW w:type="dxa" w:w="2045"/>
            <w:vAlign w:val="top"/>
          </w:tcPr>
          <w:p>
            <w:r/>
            <w:r>
              <w:rPr>
                <w:rFonts w:ascii="Aptos" w:hAnsi="Aptos"/>
                <w:b w:val="0"/>
                <w:sz w:val="13"/>
              </w:rPr>
              <w:t>D4</w:t>
            </w:r>
          </w:p>
        </w:tc>
        <w:tc>
          <w:tcPr>
            <w:tcW w:type="dxa" w:w="2045"/>
            <w:vAlign w:val="top"/>
          </w:tcPr>
          <w:p>
            <w:r/>
            <w:r>
              <w:rPr>
                <w:rFonts w:ascii="Aptos" w:hAnsi="Aptos"/>
                <w:b w:val="0"/>
                <w:sz w:val="13"/>
              </w:rPr>
              <w:t>ECDS-linked / derived analytics data</w:t>
            </w:r>
          </w:p>
        </w:tc>
        <w:tc>
          <w:tcPr>
            <w:tcW w:type="dxa" w:w="2045"/>
            <w:vAlign w:val="top"/>
          </w:tcPr>
          <w:p>
            <w:r/>
            <w:r>
              <w:rPr>
                <w:rFonts w:ascii="Aptos" w:hAnsi="Aptos"/>
                <w:b w:val="0"/>
                <w:sz w:val="13"/>
              </w:rPr>
              <w:t>Model evaluation / probability estimation / outcome analysis where approved</w:t>
            </w:r>
          </w:p>
        </w:tc>
        <w:tc>
          <w:tcPr>
            <w:tcW w:type="dxa" w:w="2045"/>
            <w:vAlign w:val="top"/>
          </w:tcPr>
          <w:p>
            <w:r/>
            <w:r>
              <w:rPr>
                <w:rFonts w:ascii="Aptos" w:hAnsi="Aptos"/>
                <w:b w:val="0"/>
                <w:sz w:val="13"/>
              </w:rPr>
              <w:t>NHS England</w:t>
            </w:r>
          </w:p>
        </w:tc>
        <w:tc>
          <w:tcPr>
            <w:tcW w:type="dxa" w:w="2045"/>
            <w:vAlign w:val="top"/>
          </w:tcPr>
          <w:p>
            <w:r/>
            <w:r>
              <w:rPr>
                <w:rFonts w:ascii="Aptos" w:hAnsi="Aptos"/>
                <w:b w:val="0"/>
                <w:sz w:val="13"/>
              </w:rPr>
              <w:t>Approved ECDS/TIM-linked datasets or derived analytical products</w:t>
            </w:r>
          </w:p>
        </w:tc>
      </w:tr>
      <w:tr>
        <w:tc>
          <w:tcPr>
            <w:tcW w:type="dxa" w:w="2045"/>
            <w:vAlign w:val="top"/>
          </w:tcPr>
          <w:p>
            <w:r/>
            <w:r>
              <w:rPr>
                <w:rFonts w:ascii="Aptos" w:hAnsi="Aptos"/>
                <w:b w:val="0"/>
                <w:sz w:val="13"/>
              </w:rPr>
              <w:t>D5</w:t>
            </w:r>
          </w:p>
        </w:tc>
        <w:tc>
          <w:tcPr>
            <w:tcW w:type="dxa" w:w="2045"/>
            <w:vAlign w:val="top"/>
          </w:tcPr>
          <w:p>
            <w:r/>
            <w:r>
              <w:rPr>
                <w:rFonts w:ascii="Aptos" w:hAnsi="Aptos"/>
                <w:b w:val="0"/>
                <w:sz w:val="13"/>
              </w:rPr>
              <w:t>Clinician-authored clinical vignettes</w:t>
            </w:r>
          </w:p>
        </w:tc>
        <w:tc>
          <w:tcPr>
            <w:tcW w:type="dxa" w:w="2045"/>
            <w:vAlign w:val="top"/>
          </w:tcPr>
          <w:p>
            <w:r/>
            <w:r>
              <w:rPr>
                <w:rFonts w:ascii="Aptos" w:hAnsi="Aptos"/>
                <w:b w:val="0"/>
                <w:sz w:val="13"/>
              </w:rPr>
              <w:t>Evaluation / validation / safety testing</w:t>
            </w:r>
          </w:p>
        </w:tc>
        <w:tc>
          <w:tcPr>
            <w:tcW w:type="dxa" w:w="2045"/>
            <w:vAlign w:val="top"/>
          </w:tcPr>
          <w:p>
            <w:r/>
            <w:r>
              <w:rPr>
                <w:rFonts w:ascii="Aptos" w:hAnsi="Aptos"/>
                <w:b w:val="0"/>
                <w:sz w:val="13"/>
              </w:rPr>
              <w:t>Adaptive Triage Clinical Team / NHS England</w:t>
            </w:r>
          </w:p>
        </w:tc>
        <w:tc>
          <w:tcPr>
            <w:tcW w:type="dxa" w:w="2045"/>
            <w:vAlign w:val="top"/>
          </w:tcPr>
          <w:p>
            <w:r/>
            <w:r>
              <w:rPr>
                <w:rFonts w:ascii="Aptos" w:hAnsi="Aptos"/>
                <w:b w:val="0"/>
                <w:sz w:val="13"/>
              </w:rPr>
              <w:t>Provena / approved evaluation repository</w:t>
            </w:r>
          </w:p>
        </w:tc>
      </w:tr>
      <w:tr>
        <w:tc>
          <w:tcPr>
            <w:tcW w:type="dxa" w:w="2045"/>
            <w:vAlign w:val="top"/>
          </w:tcPr>
          <w:p>
            <w:r/>
            <w:r>
              <w:rPr>
                <w:rFonts w:ascii="Aptos" w:hAnsi="Aptos"/>
                <w:b w:val="0"/>
                <w:sz w:val="13"/>
              </w:rPr>
              <w:t>D6</w:t>
            </w:r>
          </w:p>
        </w:tc>
        <w:tc>
          <w:tcPr>
            <w:tcW w:type="dxa" w:w="2045"/>
            <w:vAlign w:val="top"/>
          </w:tcPr>
          <w:p>
            <w:r/>
            <w:r>
              <w:rPr>
                <w:rFonts w:ascii="Aptos" w:hAnsi="Aptos"/>
                <w:b w:val="0"/>
                <w:sz w:val="13"/>
              </w:rPr>
              <w:t>Synthetic/generated vignettes</w:t>
            </w:r>
          </w:p>
        </w:tc>
        <w:tc>
          <w:tcPr>
            <w:tcW w:type="dxa" w:w="2045"/>
            <w:vAlign w:val="top"/>
          </w:tcPr>
          <w:p>
            <w:r/>
            <w:r>
              <w:rPr>
                <w:rFonts w:ascii="Aptos" w:hAnsi="Aptos"/>
                <w:b w:val="0"/>
                <w:sz w:val="13"/>
              </w:rPr>
              <w:t>Evaluation / adversarial / regression testing</w:t>
            </w:r>
          </w:p>
        </w:tc>
        <w:tc>
          <w:tcPr>
            <w:tcW w:type="dxa" w:w="2045"/>
            <w:vAlign w:val="top"/>
          </w:tcPr>
          <w:p>
            <w:r/>
            <w:r>
              <w:rPr>
                <w:rFonts w:ascii="Aptos" w:hAnsi="Aptos"/>
                <w:b w:val="0"/>
                <w:sz w:val="13"/>
              </w:rPr>
              <w:t>Adaptive Triage Team</w:t>
            </w:r>
          </w:p>
        </w:tc>
        <w:tc>
          <w:tcPr>
            <w:tcW w:type="dxa" w:w="2045"/>
            <w:vAlign w:val="top"/>
          </w:tcPr>
          <w:p>
            <w:r/>
            <w:r>
              <w:rPr>
                <w:rFonts w:ascii="Aptos" w:hAnsi="Aptos"/>
                <w:b w:val="0"/>
                <w:sz w:val="13"/>
              </w:rPr>
              <w:t>Approved vignette-generation process; any LLM-assisted generation subject to clinical review</w:t>
            </w:r>
          </w:p>
        </w:tc>
      </w:tr>
      <w:tr>
        <w:tc>
          <w:tcPr>
            <w:tcW w:type="dxa" w:w="2045"/>
            <w:vAlign w:val="top"/>
          </w:tcPr>
          <w:p>
            <w:r/>
            <w:r>
              <w:rPr>
                <w:rFonts w:ascii="Aptos" w:hAnsi="Aptos"/>
                <w:b w:val="0"/>
                <w:sz w:val="13"/>
              </w:rPr>
              <w:t>D7</w:t>
            </w:r>
          </w:p>
        </w:tc>
        <w:tc>
          <w:tcPr>
            <w:tcW w:type="dxa" w:w="2045"/>
            <w:vAlign w:val="top"/>
          </w:tcPr>
          <w:p>
            <w:r/>
            <w:r>
              <w:rPr>
                <w:rFonts w:ascii="Aptos" w:hAnsi="Aptos"/>
                <w:b w:val="0"/>
                <w:sz w:val="13"/>
              </w:rPr>
              <w:t>Runtime triage inputs</w:t>
            </w:r>
          </w:p>
        </w:tc>
        <w:tc>
          <w:tcPr>
            <w:tcW w:type="dxa" w:w="2045"/>
            <w:vAlign w:val="top"/>
          </w:tcPr>
          <w:p>
            <w:r/>
            <w:r>
              <w:rPr>
                <w:rFonts w:ascii="Aptos" w:hAnsi="Aptos"/>
                <w:b w:val="0"/>
                <w:sz w:val="13"/>
              </w:rPr>
              <w:t>Runtime</w:t>
            </w:r>
          </w:p>
        </w:tc>
        <w:tc>
          <w:tcPr>
            <w:tcW w:type="dxa" w:w="2045"/>
            <w:vAlign w:val="top"/>
          </w:tcPr>
          <w:p>
            <w:r/>
            <w:r>
              <w:rPr>
                <w:rFonts w:ascii="Aptos" w:hAnsi="Aptos"/>
                <w:b w:val="0"/>
                <w:sz w:val="13"/>
              </w:rPr>
              <w:t>NHS England / data subject</w:t>
            </w:r>
          </w:p>
        </w:tc>
        <w:tc>
          <w:tcPr>
            <w:tcW w:type="dxa" w:w="2045"/>
            <w:vAlign w:val="top"/>
          </w:tcPr>
          <w:p>
            <w:r/>
            <w:r>
              <w:rPr>
                <w:rFonts w:ascii="Aptos" w:hAnsi="Aptos"/>
                <w:b w:val="0"/>
                <w:sz w:val="13"/>
              </w:rPr>
              <w:t>Approved consuming channels and services via Adaptive Triage API</w:t>
            </w:r>
          </w:p>
        </w:tc>
      </w:tr>
      <w:tr>
        <w:tc>
          <w:tcPr>
            <w:tcW w:type="dxa" w:w="2045"/>
            <w:vAlign w:val="top"/>
          </w:tcPr>
          <w:p>
            <w:r/>
            <w:r>
              <w:rPr>
                <w:rFonts w:ascii="Aptos" w:hAnsi="Aptos"/>
                <w:b w:val="0"/>
                <w:sz w:val="13"/>
              </w:rPr>
              <w:t>D8</w:t>
            </w:r>
          </w:p>
        </w:tc>
        <w:tc>
          <w:tcPr>
            <w:tcW w:type="dxa" w:w="2045"/>
            <w:vAlign w:val="top"/>
          </w:tcPr>
          <w:p>
            <w:r/>
            <w:r>
              <w:rPr>
                <w:rFonts w:ascii="Aptos" w:hAnsi="Aptos"/>
                <w:b w:val="0"/>
                <w:sz w:val="13"/>
              </w:rPr>
              <w:t>Runtime triage outputs and interaction state</w:t>
            </w:r>
          </w:p>
        </w:tc>
        <w:tc>
          <w:tcPr>
            <w:tcW w:type="dxa" w:w="2045"/>
            <w:vAlign w:val="top"/>
          </w:tcPr>
          <w:p>
            <w:r/>
            <w:r>
              <w:rPr>
                <w:rFonts w:ascii="Aptos" w:hAnsi="Aptos"/>
                <w:b w:val="0"/>
                <w:sz w:val="13"/>
              </w:rPr>
              <w:t>Runtime / audit</w:t>
            </w:r>
          </w:p>
        </w:tc>
        <w:tc>
          <w:tcPr>
            <w:tcW w:type="dxa" w:w="2045"/>
            <w:vAlign w:val="top"/>
          </w:tcPr>
          <w:p>
            <w:r/>
            <w:r>
              <w:rPr>
                <w:rFonts w:ascii="Aptos" w:hAnsi="Aptos"/>
                <w:b w:val="0"/>
                <w:sz w:val="13"/>
              </w:rPr>
              <w:t>NHS England</w:t>
            </w:r>
          </w:p>
        </w:tc>
        <w:tc>
          <w:tcPr>
            <w:tcW w:type="dxa" w:w="2045"/>
            <w:vAlign w:val="top"/>
          </w:tcPr>
          <w:p>
            <w:r/>
            <w:r>
              <w:rPr>
                <w:rFonts w:ascii="Aptos" w:hAnsi="Aptos"/>
                <w:b w:val="0"/>
                <w:sz w:val="13"/>
              </w:rPr>
              <w:t>Adaptive Triage inference engine / API</w:t>
            </w:r>
          </w:p>
        </w:tc>
      </w:tr>
      <w:tr>
        <w:tc>
          <w:tcPr>
            <w:tcW w:type="dxa" w:w="2045"/>
            <w:vAlign w:val="top"/>
          </w:tcPr>
          <w:p>
            <w:r/>
            <w:r>
              <w:rPr>
                <w:rFonts w:ascii="Aptos" w:hAnsi="Aptos"/>
                <w:b w:val="0"/>
                <w:sz w:val="13"/>
              </w:rPr>
              <w:t>D9</w:t>
            </w:r>
          </w:p>
        </w:tc>
        <w:tc>
          <w:tcPr>
            <w:tcW w:type="dxa" w:w="2045"/>
            <w:vAlign w:val="top"/>
          </w:tcPr>
          <w:p>
            <w:r/>
            <w:r>
              <w:rPr>
                <w:rFonts w:ascii="Aptos" w:hAnsi="Aptos"/>
                <w:b w:val="0"/>
                <w:sz w:val="13"/>
              </w:rPr>
              <w:t>Bayesian Network artefacts, CPTs, model metadata and configuration</w:t>
            </w:r>
          </w:p>
        </w:tc>
        <w:tc>
          <w:tcPr>
            <w:tcW w:type="dxa" w:w="2045"/>
            <w:vAlign w:val="top"/>
          </w:tcPr>
          <w:p>
            <w:r/>
            <w:r>
              <w:rPr>
                <w:rFonts w:ascii="Aptos" w:hAnsi="Aptos"/>
                <w:b w:val="0"/>
                <w:sz w:val="13"/>
              </w:rPr>
              <w:t>Runtime / model governance / audit</w:t>
            </w:r>
          </w:p>
        </w:tc>
        <w:tc>
          <w:tcPr>
            <w:tcW w:type="dxa" w:w="2045"/>
            <w:vAlign w:val="top"/>
          </w:tcPr>
          <w:p>
            <w:r/>
            <w:r>
              <w:rPr>
                <w:rFonts w:ascii="Aptos" w:hAnsi="Aptos"/>
                <w:b w:val="0"/>
                <w:sz w:val="13"/>
              </w:rPr>
              <w:t>Adaptive Triage / NHS England</w:t>
            </w:r>
          </w:p>
        </w:tc>
        <w:tc>
          <w:tcPr>
            <w:tcW w:type="dxa" w:w="2045"/>
            <w:vAlign w:val="top"/>
          </w:tcPr>
          <w:p>
            <w:r/>
            <w:r>
              <w:rPr>
                <w:rFonts w:ascii="Aptos" w:hAnsi="Aptos"/>
                <w:b w:val="0"/>
                <w:sz w:val="13"/>
              </w:rPr>
              <w:t>Controlled model build/release pipeline and artefact store</w:t>
            </w:r>
          </w:p>
        </w:tc>
      </w:tr>
      <w:tr>
        <w:tc>
          <w:tcPr>
            <w:tcW w:type="dxa" w:w="2045"/>
            <w:vAlign w:val="top"/>
          </w:tcPr>
          <w:p>
            <w:r/>
            <w:r>
              <w:rPr>
                <w:rFonts w:ascii="Aptos" w:hAnsi="Aptos"/>
                <w:b w:val="0"/>
                <w:sz w:val="13"/>
              </w:rPr>
              <w:t>D10</w:t>
            </w:r>
          </w:p>
        </w:tc>
        <w:tc>
          <w:tcPr>
            <w:tcW w:type="dxa" w:w="2045"/>
            <w:vAlign w:val="top"/>
          </w:tcPr>
          <w:p>
            <w:r/>
            <w:r>
              <w:rPr>
                <w:rFonts w:ascii="Aptos" w:hAnsi="Aptos"/>
                <w:b w:val="0"/>
                <w:sz w:val="13"/>
              </w:rPr>
              <w:t>Build-time LLM inputs/outputs</w:t>
            </w:r>
          </w:p>
        </w:tc>
        <w:tc>
          <w:tcPr>
            <w:tcW w:type="dxa" w:w="2045"/>
            <w:vAlign w:val="top"/>
          </w:tcPr>
          <w:p>
            <w:r/>
            <w:r>
              <w:rPr>
                <w:rFonts w:ascii="Aptos" w:hAnsi="Aptos"/>
                <w:b w:val="0"/>
                <w:sz w:val="13"/>
              </w:rPr>
              <w:t>Build-time assistance only</w:t>
            </w:r>
          </w:p>
        </w:tc>
        <w:tc>
          <w:tcPr>
            <w:tcW w:type="dxa" w:w="2045"/>
            <w:vAlign w:val="top"/>
          </w:tcPr>
          <w:p>
            <w:r/>
            <w:r>
              <w:rPr>
                <w:rFonts w:ascii="Aptos" w:hAnsi="Aptos"/>
                <w:b w:val="0"/>
                <w:sz w:val="13"/>
              </w:rPr>
              <w:t>Adaptive Triage / NHS England</w:t>
            </w:r>
          </w:p>
        </w:tc>
        <w:tc>
          <w:tcPr>
            <w:tcW w:type="dxa" w:w="2045"/>
            <w:vAlign w:val="top"/>
          </w:tcPr>
          <w:p>
            <w:r/>
            <w:r>
              <w:rPr>
                <w:rFonts w:ascii="Aptos" w:hAnsi="Aptos"/>
                <w:b w:val="0"/>
                <w:sz w:val="13"/>
              </w:rPr>
              <w:t>AWS Bedrock approved model access; no PII intended under current use cases</w:t>
            </w:r>
          </w:p>
        </w:tc>
      </w:tr>
      <w:tr>
        <w:tc>
          <w:tcPr>
            <w:tcW w:type="dxa" w:w="2045"/>
            <w:vAlign w:val="top"/>
          </w:tcPr>
          <w:p>
            <w:r/>
            <w:r>
              <w:rPr>
                <w:rFonts w:ascii="Aptos" w:hAnsi="Aptos"/>
                <w:b w:val="0"/>
                <w:sz w:val="13"/>
              </w:rPr>
              <w:t>D11</w:t>
            </w:r>
          </w:p>
        </w:tc>
        <w:tc>
          <w:tcPr>
            <w:tcW w:type="dxa" w:w="2045"/>
            <w:vAlign w:val="top"/>
          </w:tcPr>
          <w:p>
            <w:r/>
            <w:r>
              <w:rPr>
                <w:rFonts w:ascii="Aptos" w:hAnsi="Aptos"/>
                <w:b w:val="0"/>
                <w:sz w:val="13"/>
              </w:rPr>
              <w:t>Evaluation results and model-performance metrics</w:t>
            </w:r>
          </w:p>
        </w:tc>
        <w:tc>
          <w:tcPr>
            <w:tcW w:type="dxa" w:w="2045"/>
            <w:vAlign w:val="top"/>
          </w:tcPr>
          <w:p>
            <w:r/>
            <w:r>
              <w:rPr>
                <w:rFonts w:ascii="Aptos" w:hAnsi="Aptos"/>
                <w:b w:val="0"/>
                <w:sz w:val="13"/>
              </w:rPr>
              <w:t>Evaluation / assurance</w:t>
            </w:r>
          </w:p>
        </w:tc>
        <w:tc>
          <w:tcPr>
            <w:tcW w:type="dxa" w:w="2045"/>
            <w:vAlign w:val="top"/>
          </w:tcPr>
          <w:p>
            <w:r/>
            <w:r>
              <w:rPr>
                <w:rFonts w:ascii="Aptos" w:hAnsi="Aptos"/>
                <w:b w:val="0"/>
                <w:sz w:val="13"/>
              </w:rPr>
              <w:t>Adaptive Triage / NHS England</w:t>
            </w:r>
          </w:p>
        </w:tc>
        <w:tc>
          <w:tcPr>
            <w:tcW w:type="dxa" w:w="2045"/>
            <w:vAlign w:val="top"/>
          </w:tcPr>
          <w:p>
            <w:r/>
            <w:r>
              <w:rPr>
                <w:rFonts w:ascii="Aptos" w:hAnsi="Aptos"/>
                <w:b w:val="0"/>
                <w:sz w:val="13"/>
              </w:rPr>
              <w:t>Provena / test harness / controlled evaluation repositories</w:t>
            </w:r>
          </w:p>
        </w:tc>
      </w:tr>
      <w:tr>
        <w:tc>
          <w:tcPr>
            <w:tcW w:type="dxa" w:w="2045"/>
            <w:vAlign w:val="top"/>
          </w:tcPr>
          <w:p>
            <w:r/>
            <w:r>
              <w:rPr>
                <w:rFonts w:ascii="Aptos" w:hAnsi="Aptos"/>
                <w:b w:val="0"/>
                <w:sz w:val="13"/>
              </w:rPr>
              <w:t>D12</w:t>
            </w:r>
          </w:p>
        </w:tc>
        <w:tc>
          <w:tcPr>
            <w:tcW w:type="dxa" w:w="2045"/>
            <w:vAlign w:val="top"/>
          </w:tcPr>
          <w:p>
            <w:r/>
            <w:r>
              <w:rPr>
                <w:rFonts w:ascii="Aptos" w:hAnsi="Aptos"/>
                <w:b w:val="0"/>
                <w:sz w:val="13"/>
              </w:rPr>
              <w:t>Operational and audit logs</w:t>
            </w:r>
          </w:p>
        </w:tc>
        <w:tc>
          <w:tcPr>
            <w:tcW w:type="dxa" w:w="2045"/>
            <w:vAlign w:val="top"/>
          </w:tcPr>
          <w:p>
            <w:r/>
            <w:r>
              <w:rPr>
                <w:rFonts w:ascii="Aptos" w:hAnsi="Aptos"/>
                <w:b w:val="0"/>
                <w:sz w:val="13"/>
              </w:rPr>
              <w:t>Logs / monitoring / incident investigation</w:t>
            </w:r>
          </w:p>
        </w:tc>
        <w:tc>
          <w:tcPr>
            <w:tcW w:type="dxa" w:w="2045"/>
            <w:vAlign w:val="top"/>
          </w:tcPr>
          <w:p>
            <w:r/>
            <w:r>
              <w:rPr>
                <w:rFonts w:ascii="Aptos" w:hAnsi="Aptos"/>
                <w:b w:val="0"/>
                <w:sz w:val="13"/>
              </w:rPr>
              <w:t>Adaptive Triage / NHS England</w:t>
            </w:r>
          </w:p>
        </w:tc>
        <w:tc>
          <w:tcPr>
            <w:tcW w:type="dxa" w:w="2045"/>
            <w:vAlign w:val="top"/>
          </w:tcPr>
          <w:p>
            <w:r/>
            <w:r>
              <w:rPr>
                <w:rFonts w:ascii="Aptos" w:hAnsi="Aptos"/>
                <w:b w:val="0"/>
                <w:sz w:val="13"/>
              </w:rPr>
              <w:t>Amazon CloudWatch and controlled AWS audit stores</w:t>
            </w:r>
          </w:p>
        </w:tc>
      </w:tr>
    </w:tbl>
    <w:p/>
    <w:p>
      <w:pPr>
        <w:pStyle w:val="Heading1"/>
      </w:pPr>
      <w:r>
        <w:t>3. Data Categories and Sensitivity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3"/>
              </w:rPr>
              <w:t>Ref</w:t>
            </w:r>
          </w:p>
        </w:tc>
        <w:tc>
          <w:tcPr>
            <w:tcW w:type="dxa" w:w="2045"/>
            <w:vAlign w:val="top"/>
            <w:shd w:fill="D9EAD3"/>
          </w:tcPr>
          <w:p>
            <w:r/>
            <w:r>
              <w:rPr>
                <w:rFonts w:ascii="Aptos" w:hAnsi="Aptos"/>
                <w:b/>
                <w:sz w:val="13"/>
              </w:rPr>
              <w:t>Personal data?</w:t>
            </w:r>
          </w:p>
        </w:tc>
        <w:tc>
          <w:tcPr>
            <w:tcW w:type="dxa" w:w="2045"/>
            <w:vAlign w:val="top"/>
            <w:shd w:fill="D9EAD3"/>
          </w:tcPr>
          <w:p>
            <w:r/>
            <w:r>
              <w:rPr>
                <w:rFonts w:ascii="Aptos" w:hAnsi="Aptos"/>
                <w:b/>
                <w:sz w:val="13"/>
              </w:rPr>
              <w:t>Special category?</w:t>
            </w:r>
          </w:p>
        </w:tc>
        <w:tc>
          <w:tcPr>
            <w:tcW w:type="dxa" w:w="2045"/>
            <w:vAlign w:val="top"/>
            <w:shd w:fill="D9EAD3"/>
          </w:tcPr>
          <w:p>
            <w:r/>
            <w:r>
              <w:rPr>
                <w:rFonts w:ascii="Aptos" w:hAnsi="Aptos"/>
                <w:b/>
                <w:sz w:val="13"/>
              </w:rPr>
              <w:t>Confidential / IP?</w:t>
            </w:r>
          </w:p>
        </w:tc>
        <w:tc>
          <w:tcPr>
            <w:tcW w:type="dxa" w:w="2045"/>
            <w:vAlign w:val="top"/>
            <w:shd w:fill="D9EAD3"/>
          </w:tcPr>
          <w:p>
            <w:r/>
            <w:r>
              <w:rPr>
                <w:rFonts w:ascii="Aptos" w:hAnsi="Aptos"/>
                <w:b/>
                <w:sz w:val="13"/>
              </w:rPr>
              <w:t>Other regulated?</w:t>
            </w:r>
          </w:p>
        </w:tc>
      </w:tr>
      <w:tr>
        <w:tc>
          <w:tcPr>
            <w:tcW w:type="dxa" w:w="2045"/>
            <w:vAlign w:val="top"/>
          </w:tcPr>
          <w:p>
            <w:r/>
            <w:r>
              <w:rPr>
                <w:rFonts w:ascii="Aptos" w:hAnsi="Aptos"/>
                <w:b w:val="0"/>
                <w:sz w:val="13"/>
              </w:rPr>
              <w:t>D1</w:t>
            </w:r>
          </w:p>
        </w:tc>
        <w:tc>
          <w:tcPr>
            <w:tcW w:type="dxa" w:w="2045"/>
            <w:vAlign w:val="top"/>
          </w:tcPr>
          <w:p>
            <w:r/>
            <w:r>
              <w:rPr>
                <w:rFonts w:ascii="Aptos" w:hAnsi="Aptos"/>
                <w:b w:val="0"/>
                <w:sz w:val="13"/>
              </w:rPr>
              <w:t>No, unless source material itself contains embedded personal case data (not expected)</w:t>
            </w:r>
          </w:p>
        </w:tc>
        <w:tc>
          <w:tcPr>
            <w:tcW w:type="dxa" w:w="2045"/>
            <w:vAlign w:val="top"/>
          </w:tcPr>
          <w:p>
            <w:r/>
            <w:r>
              <w:rPr>
                <w:rFonts w:ascii="Aptos" w:hAnsi="Aptos"/>
                <w:b w:val="0"/>
                <w:sz w:val="13"/>
              </w:rPr>
              <w:t>No</w:t>
            </w:r>
          </w:p>
        </w:tc>
        <w:tc>
          <w:tcPr>
            <w:tcW w:type="dxa" w:w="2045"/>
            <w:vAlign w:val="top"/>
          </w:tcPr>
          <w:p>
            <w:r/>
            <w:r>
              <w:rPr>
                <w:rFonts w:ascii="Aptos" w:hAnsi="Aptos"/>
                <w:b w:val="0"/>
                <w:sz w:val="13"/>
              </w:rPr>
              <w:t>Yes - NHS clinical content / IP</w:t>
            </w:r>
          </w:p>
        </w:tc>
        <w:tc>
          <w:tcPr>
            <w:tcW w:type="dxa" w:w="2045"/>
            <w:vAlign w:val="top"/>
          </w:tcPr>
          <w:p>
            <w:r/>
            <w:r>
              <w:rPr>
                <w:rFonts w:ascii="Aptos" w:hAnsi="Aptos"/>
                <w:b w:val="0"/>
                <w:sz w:val="13"/>
              </w:rPr>
              <w:t>Potentially clinically regulated content; not export-controlled to current knowledge.</w:t>
            </w:r>
          </w:p>
        </w:tc>
      </w:tr>
      <w:tr>
        <w:tc>
          <w:tcPr>
            <w:tcW w:type="dxa" w:w="2045"/>
            <w:vAlign w:val="top"/>
          </w:tcPr>
          <w:p>
            <w:r/>
            <w:r>
              <w:rPr>
                <w:rFonts w:ascii="Aptos" w:hAnsi="Aptos"/>
                <w:b w:val="0"/>
                <w:sz w:val="13"/>
              </w:rPr>
              <w:t>D2</w:t>
            </w:r>
          </w:p>
        </w:tc>
        <w:tc>
          <w:tcPr>
            <w:tcW w:type="dxa" w:w="2045"/>
            <w:vAlign w:val="top"/>
          </w:tcPr>
          <w:p>
            <w:r/>
            <w:r>
              <w:rPr>
                <w:rFonts w:ascii="Aptos" w:hAnsi="Aptos"/>
                <w:b w:val="0"/>
                <w:sz w:val="13"/>
              </w:rPr>
              <w:t>No</w:t>
            </w:r>
          </w:p>
        </w:tc>
        <w:tc>
          <w:tcPr>
            <w:tcW w:type="dxa" w:w="2045"/>
            <w:vAlign w:val="top"/>
          </w:tcPr>
          <w:p>
            <w:r/>
            <w:r>
              <w:rPr>
                <w:rFonts w:ascii="Aptos" w:hAnsi="Aptos"/>
                <w:b w:val="0"/>
                <w:sz w:val="13"/>
              </w:rPr>
              <w:t>No</w:t>
            </w:r>
          </w:p>
        </w:tc>
        <w:tc>
          <w:tcPr>
            <w:tcW w:type="dxa" w:w="2045"/>
            <w:vAlign w:val="top"/>
          </w:tcPr>
          <w:p>
            <w:r/>
            <w:r>
              <w:rPr>
                <w:rFonts w:ascii="Aptos" w:hAnsi="Aptos"/>
                <w:b w:val="0"/>
                <w:sz w:val="13"/>
              </w:rPr>
              <w:t>Yes - licensed/reference terminology may have usage terms</w:t>
            </w:r>
          </w:p>
        </w:tc>
        <w:tc>
          <w:tcPr>
            <w:tcW w:type="dxa" w:w="2045"/>
            <w:vAlign w:val="top"/>
          </w:tcPr>
          <w:p>
            <w:r/>
            <w:r>
              <w:rPr>
                <w:rFonts w:ascii="Aptos" w:hAnsi="Aptos"/>
                <w:b w:val="0"/>
                <w:sz w:val="13"/>
              </w:rPr>
              <w:t>Yes - terminology licensing/acceptable-use restrictions may apply.</w:t>
            </w:r>
          </w:p>
        </w:tc>
      </w:tr>
      <w:tr>
        <w:tc>
          <w:tcPr>
            <w:tcW w:type="dxa" w:w="2045"/>
            <w:vAlign w:val="top"/>
          </w:tcPr>
          <w:p>
            <w:r/>
            <w:r>
              <w:rPr>
                <w:rFonts w:ascii="Aptos" w:hAnsi="Aptos"/>
                <w:b w:val="0"/>
                <w:sz w:val="13"/>
              </w:rPr>
              <w:t>D3</w:t>
            </w:r>
          </w:p>
        </w:tc>
        <w:tc>
          <w:tcPr>
            <w:tcW w:type="dxa" w:w="2045"/>
            <w:vAlign w:val="top"/>
          </w:tcPr>
          <w:p>
            <w:r/>
            <w:r>
              <w:rPr>
                <w:rFonts w:ascii="Aptos" w:hAnsi="Aptos"/>
                <w:b w:val="0"/>
                <w:sz w:val="13"/>
              </w:rPr>
              <w:t>Potentially, depending on extraction/de-identification stage</w:t>
            </w:r>
          </w:p>
        </w:tc>
        <w:tc>
          <w:tcPr>
            <w:tcW w:type="dxa" w:w="2045"/>
            <w:vAlign w:val="top"/>
          </w:tcPr>
          <w:p>
            <w:r/>
            <w:r>
              <w:rPr>
                <w:rFonts w:ascii="Aptos" w:hAnsi="Aptos"/>
                <w:b w:val="0"/>
                <w:sz w:val="13"/>
              </w:rPr>
              <w:t>Potentially - health data</w:t>
            </w:r>
          </w:p>
        </w:tc>
        <w:tc>
          <w:tcPr>
            <w:tcW w:type="dxa" w:w="2045"/>
            <w:vAlign w:val="top"/>
          </w:tcPr>
          <w:p>
            <w:r/>
            <w:r>
              <w:rPr>
                <w:rFonts w:ascii="Aptos" w:hAnsi="Aptos"/>
                <w:b w:val="0"/>
                <w:sz w:val="13"/>
              </w:rPr>
              <w:t>Yes</w:t>
            </w:r>
          </w:p>
        </w:tc>
        <w:tc>
          <w:tcPr>
            <w:tcW w:type="dxa" w:w="2045"/>
            <w:vAlign w:val="top"/>
          </w:tcPr>
          <w:p>
            <w:r/>
            <w:r>
              <w:rPr>
                <w:rFonts w:ascii="Aptos" w:hAnsi="Aptos"/>
                <w:b w:val="0"/>
                <w:sz w:val="13"/>
              </w:rPr>
              <w:t>Yes - NHS health data; UK GDPR/DPA 2018 applies if identifiable/pseudonymised personal data remains.</w:t>
            </w:r>
          </w:p>
        </w:tc>
      </w:tr>
      <w:tr>
        <w:tc>
          <w:tcPr>
            <w:tcW w:type="dxa" w:w="2045"/>
            <w:vAlign w:val="top"/>
          </w:tcPr>
          <w:p>
            <w:r/>
            <w:r>
              <w:rPr>
                <w:rFonts w:ascii="Aptos" w:hAnsi="Aptos"/>
                <w:b w:val="0"/>
                <w:sz w:val="13"/>
              </w:rPr>
              <w:t>D4</w:t>
            </w:r>
          </w:p>
        </w:tc>
        <w:tc>
          <w:tcPr>
            <w:tcW w:type="dxa" w:w="2045"/>
            <w:vAlign w:val="top"/>
          </w:tcPr>
          <w:p>
            <w:r/>
            <w:r>
              <w:rPr>
                <w:rFonts w:ascii="Aptos" w:hAnsi="Aptos"/>
                <w:b w:val="0"/>
                <w:sz w:val="13"/>
              </w:rPr>
              <w:t>Potentially, depending on dataset granularity</w:t>
            </w:r>
          </w:p>
        </w:tc>
        <w:tc>
          <w:tcPr>
            <w:tcW w:type="dxa" w:w="2045"/>
            <w:vAlign w:val="top"/>
          </w:tcPr>
          <w:p>
            <w:r/>
            <w:r>
              <w:rPr>
                <w:rFonts w:ascii="Aptos" w:hAnsi="Aptos"/>
                <w:b w:val="0"/>
                <w:sz w:val="13"/>
              </w:rPr>
              <w:t>Potentially - health data</w:t>
            </w:r>
          </w:p>
        </w:tc>
        <w:tc>
          <w:tcPr>
            <w:tcW w:type="dxa" w:w="2045"/>
            <w:vAlign w:val="top"/>
          </w:tcPr>
          <w:p>
            <w:r/>
            <w:r>
              <w:rPr>
                <w:rFonts w:ascii="Aptos" w:hAnsi="Aptos"/>
                <w:b w:val="0"/>
                <w:sz w:val="13"/>
              </w:rPr>
              <w:t>Yes</w:t>
            </w:r>
          </w:p>
        </w:tc>
        <w:tc>
          <w:tcPr>
            <w:tcW w:type="dxa" w:w="2045"/>
            <w:vAlign w:val="top"/>
          </w:tcPr>
          <w:p>
            <w:r/>
            <w:r>
              <w:rPr>
                <w:rFonts w:ascii="Aptos" w:hAnsi="Aptos"/>
                <w:b w:val="0"/>
                <w:sz w:val="13"/>
              </w:rPr>
              <w:t>Yes - NHS health data / governed analytics.</w:t>
            </w:r>
          </w:p>
        </w:tc>
      </w:tr>
      <w:tr>
        <w:tc>
          <w:tcPr>
            <w:tcW w:type="dxa" w:w="2045"/>
            <w:vAlign w:val="top"/>
          </w:tcPr>
          <w:p>
            <w:r/>
            <w:r>
              <w:rPr>
                <w:rFonts w:ascii="Aptos" w:hAnsi="Aptos"/>
                <w:b w:val="0"/>
                <w:sz w:val="13"/>
              </w:rPr>
              <w:t>D5</w:t>
            </w:r>
          </w:p>
        </w:tc>
        <w:tc>
          <w:tcPr>
            <w:tcW w:type="dxa" w:w="2045"/>
            <w:vAlign w:val="top"/>
          </w:tcPr>
          <w:p>
            <w:r/>
            <w:r>
              <w:rPr>
                <w:rFonts w:ascii="Aptos" w:hAnsi="Aptos"/>
                <w:b w:val="0"/>
                <w:sz w:val="13"/>
              </w:rPr>
              <w:t>Normally no if synthetic/clinician-authored without real patient identifiers</w:t>
            </w:r>
          </w:p>
        </w:tc>
        <w:tc>
          <w:tcPr>
            <w:tcW w:type="dxa" w:w="2045"/>
            <w:vAlign w:val="top"/>
          </w:tcPr>
          <w:p>
            <w:r/>
            <w:r>
              <w:rPr>
                <w:rFonts w:ascii="Aptos" w:hAnsi="Aptos"/>
                <w:b w:val="0"/>
                <w:sz w:val="13"/>
              </w:rPr>
              <w:t>No</w:t>
            </w:r>
          </w:p>
        </w:tc>
        <w:tc>
          <w:tcPr>
            <w:tcW w:type="dxa" w:w="2045"/>
            <w:vAlign w:val="top"/>
          </w:tcPr>
          <w:p>
            <w:r/>
            <w:r>
              <w:rPr>
                <w:rFonts w:ascii="Aptos" w:hAnsi="Aptos"/>
                <w:b w:val="0"/>
                <w:sz w:val="13"/>
              </w:rPr>
              <w:t>Yes - clinical evaluation IP</w:t>
            </w:r>
          </w:p>
        </w:tc>
        <w:tc>
          <w:tcPr>
            <w:tcW w:type="dxa" w:w="2045"/>
            <w:vAlign w:val="top"/>
          </w:tcPr>
          <w:p>
            <w:r/>
            <w:r>
              <w:rPr>
                <w:rFonts w:ascii="Aptos" w:hAnsi="Aptos"/>
                <w:b w:val="0"/>
                <w:sz w:val="13"/>
              </w:rPr>
              <w:t>Clinically sensitive test content.</w:t>
            </w:r>
          </w:p>
        </w:tc>
      </w:tr>
      <w:tr>
        <w:tc>
          <w:tcPr>
            <w:tcW w:type="dxa" w:w="2045"/>
            <w:vAlign w:val="top"/>
          </w:tcPr>
          <w:p>
            <w:r/>
            <w:r>
              <w:rPr>
                <w:rFonts w:ascii="Aptos" w:hAnsi="Aptos"/>
                <w:b w:val="0"/>
                <w:sz w:val="13"/>
              </w:rPr>
              <w:t>D6</w:t>
            </w:r>
          </w:p>
        </w:tc>
        <w:tc>
          <w:tcPr>
            <w:tcW w:type="dxa" w:w="2045"/>
            <w:vAlign w:val="top"/>
          </w:tcPr>
          <w:p>
            <w:r/>
            <w:r>
              <w:rPr>
                <w:rFonts w:ascii="Aptos" w:hAnsi="Aptos"/>
                <w:b w:val="0"/>
                <w:sz w:val="13"/>
              </w:rPr>
              <w:t>No by design</w:t>
            </w:r>
          </w:p>
        </w:tc>
        <w:tc>
          <w:tcPr>
            <w:tcW w:type="dxa" w:w="2045"/>
            <w:vAlign w:val="top"/>
          </w:tcPr>
          <w:p>
            <w:r/>
            <w:r>
              <w:rPr>
                <w:rFonts w:ascii="Aptos" w:hAnsi="Aptos"/>
                <w:b w:val="0"/>
                <w:sz w:val="13"/>
              </w:rPr>
              <w:t>No</w:t>
            </w:r>
          </w:p>
        </w:tc>
        <w:tc>
          <w:tcPr>
            <w:tcW w:type="dxa" w:w="2045"/>
            <w:vAlign w:val="top"/>
          </w:tcPr>
          <w:p>
            <w:r/>
            <w:r>
              <w:rPr>
                <w:rFonts w:ascii="Aptos" w:hAnsi="Aptos"/>
                <w:b w:val="0"/>
                <w:sz w:val="13"/>
              </w:rPr>
              <w:t>Yes - generated evaluation content</w:t>
            </w:r>
          </w:p>
        </w:tc>
        <w:tc>
          <w:tcPr>
            <w:tcW w:type="dxa" w:w="2045"/>
            <w:vAlign w:val="top"/>
          </w:tcPr>
          <w:p>
            <w:r/>
            <w:r>
              <w:rPr>
                <w:rFonts w:ascii="Aptos" w:hAnsi="Aptos"/>
                <w:b w:val="0"/>
                <w:sz w:val="13"/>
              </w:rPr>
              <w:t>Not expected to be otherwise regulated.</w:t>
            </w:r>
          </w:p>
        </w:tc>
      </w:tr>
      <w:tr>
        <w:tc>
          <w:tcPr>
            <w:tcW w:type="dxa" w:w="2045"/>
            <w:vAlign w:val="top"/>
          </w:tcPr>
          <w:p>
            <w:r/>
            <w:r>
              <w:rPr>
                <w:rFonts w:ascii="Aptos" w:hAnsi="Aptos"/>
                <w:b w:val="0"/>
                <w:sz w:val="13"/>
              </w:rPr>
              <w:t>D7</w:t>
            </w:r>
          </w:p>
        </w:tc>
        <w:tc>
          <w:tcPr>
            <w:tcW w:type="dxa" w:w="2045"/>
            <w:vAlign w:val="top"/>
          </w:tcPr>
          <w:p>
            <w:r/>
            <w:r>
              <w:rPr>
                <w:rFonts w:ascii="Aptos" w:hAnsi="Aptos"/>
                <w:b w:val="0"/>
                <w:sz w:val="13"/>
              </w:rPr>
              <w:t>Yes</w:t>
            </w:r>
          </w:p>
        </w:tc>
        <w:tc>
          <w:tcPr>
            <w:tcW w:type="dxa" w:w="2045"/>
            <w:vAlign w:val="top"/>
          </w:tcPr>
          <w:p>
            <w:r/>
            <w:r>
              <w:rPr>
                <w:rFonts w:ascii="Aptos" w:hAnsi="Aptos"/>
                <w:b w:val="0"/>
                <w:sz w:val="13"/>
              </w:rPr>
              <w:t>Yes - health data</w:t>
            </w:r>
          </w:p>
        </w:tc>
        <w:tc>
          <w:tcPr>
            <w:tcW w:type="dxa" w:w="2045"/>
            <w:vAlign w:val="top"/>
          </w:tcPr>
          <w:p>
            <w:r/>
            <w:r>
              <w:rPr>
                <w:rFonts w:ascii="Aptos" w:hAnsi="Aptos"/>
                <w:b w:val="0"/>
                <w:sz w:val="13"/>
              </w:rPr>
              <w:t>Potentially</w:t>
            </w:r>
          </w:p>
        </w:tc>
        <w:tc>
          <w:tcPr>
            <w:tcW w:type="dxa" w:w="2045"/>
            <w:vAlign w:val="top"/>
          </w:tcPr>
          <w:p>
            <w:r/>
            <w:r>
              <w:rPr>
                <w:rFonts w:ascii="Aptos" w:hAnsi="Aptos"/>
                <w:b w:val="0"/>
                <w:sz w:val="13"/>
              </w:rPr>
              <w:t>Yes - UK GDPR/DPA 2018 and NHS data governance requirements.</w:t>
            </w:r>
          </w:p>
        </w:tc>
      </w:tr>
      <w:tr>
        <w:tc>
          <w:tcPr>
            <w:tcW w:type="dxa" w:w="2045"/>
            <w:vAlign w:val="top"/>
          </w:tcPr>
          <w:p>
            <w:r/>
            <w:r>
              <w:rPr>
                <w:rFonts w:ascii="Aptos" w:hAnsi="Aptos"/>
                <w:b w:val="0"/>
                <w:sz w:val="13"/>
              </w:rPr>
              <w:t>D8</w:t>
            </w:r>
          </w:p>
        </w:tc>
        <w:tc>
          <w:tcPr>
            <w:tcW w:type="dxa" w:w="2045"/>
            <w:vAlign w:val="top"/>
          </w:tcPr>
          <w:p>
            <w:r/>
            <w:r>
              <w:rPr>
                <w:rFonts w:ascii="Aptos" w:hAnsi="Aptos"/>
                <w:b w:val="0"/>
                <w:sz w:val="13"/>
              </w:rPr>
              <w:t>Yes or linkable to a person/interaction depending on implementation</w:t>
            </w:r>
          </w:p>
        </w:tc>
        <w:tc>
          <w:tcPr>
            <w:tcW w:type="dxa" w:w="2045"/>
            <w:vAlign w:val="top"/>
          </w:tcPr>
          <w:p>
            <w:r/>
            <w:r>
              <w:rPr>
                <w:rFonts w:ascii="Aptos" w:hAnsi="Aptos"/>
                <w:b w:val="0"/>
                <w:sz w:val="13"/>
              </w:rPr>
              <w:t>Yes - health data</w:t>
            </w:r>
          </w:p>
        </w:tc>
        <w:tc>
          <w:tcPr>
            <w:tcW w:type="dxa" w:w="2045"/>
            <w:vAlign w:val="top"/>
          </w:tcPr>
          <w:p>
            <w:r/>
            <w:r>
              <w:rPr>
                <w:rFonts w:ascii="Aptos" w:hAnsi="Aptos"/>
                <w:b w:val="0"/>
                <w:sz w:val="13"/>
              </w:rPr>
              <w:t>Potentially</w:t>
            </w:r>
          </w:p>
        </w:tc>
        <w:tc>
          <w:tcPr>
            <w:tcW w:type="dxa" w:w="2045"/>
            <w:vAlign w:val="top"/>
          </w:tcPr>
          <w:p>
            <w:r/>
            <w:r>
              <w:rPr>
                <w:rFonts w:ascii="Aptos" w:hAnsi="Aptos"/>
                <w:b w:val="0"/>
                <w:sz w:val="13"/>
              </w:rPr>
              <w:t>Yes - UK GDPR/DPA 2018 and clinical/audit requirements.</w:t>
            </w:r>
          </w:p>
        </w:tc>
      </w:tr>
      <w:tr>
        <w:tc>
          <w:tcPr>
            <w:tcW w:type="dxa" w:w="2045"/>
            <w:vAlign w:val="top"/>
          </w:tcPr>
          <w:p>
            <w:r/>
            <w:r>
              <w:rPr>
                <w:rFonts w:ascii="Aptos" w:hAnsi="Aptos"/>
                <w:b w:val="0"/>
                <w:sz w:val="13"/>
              </w:rPr>
              <w:t>D9</w:t>
            </w:r>
          </w:p>
        </w:tc>
        <w:tc>
          <w:tcPr>
            <w:tcW w:type="dxa" w:w="2045"/>
            <w:vAlign w:val="top"/>
          </w:tcPr>
          <w:p>
            <w:r/>
            <w:r>
              <w:rPr>
                <w:rFonts w:ascii="Aptos" w:hAnsi="Aptos"/>
                <w:b w:val="0"/>
                <w:sz w:val="13"/>
              </w:rPr>
              <w:t>No personal data expected</w:t>
            </w:r>
          </w:p>
        </w:tc>
        <w:tc>
          <w:tcPr>
            <w:tcW w:type="dxa" w:w="2045"/>
            <w:vAlign w:val="top"/>
          </w:tcPr>
          <w:p>
            <w:r/>
            <w:r>
              <w:rPr>
                <w:rFonts w:ascii="Aptos" w:hAnsi="Aptos"/>
                <w:b w:val="0"/>
                <w:sz w:val="13"/>
              </w:rPr>
              <w:t>No</w:t>
            </w:r>
          </w:p>
        </w:tc>
        <w:tc>
          <w:tcPr>
            <w:tcW w:type="dxa" w:w="2045"/>
            <w:vAlign w:val="top"/>
          </w:tcPr>
          <w:p>
            <w:r/>
            <w:r>
              <w:rPr>
                <w:rFonts w:ascii="Aptos" w:hAnsi="Aptos"/>
                <w:b w:val="0"/>
                <w:sz w:val="13"/>
              </w:rPr>
              <w:t>Yes - model IP / clinically sensitive configuration</w:t>
            </w:r>
          </w:p>
        </w:tc>
        <w:tc>
          <w:tcPr>
            <w:tcW w:type="dxa" w:w="2045"/>
            <w:vAlign w:val="top"/>
          </w:tcPr>
          <w:p>
            <w:r/>
            <w:r>
              <w:rPr>
                <w:rFonts w:ascii="Aptos" w:hAnsi="Aptos"/>
                <w:b w:val="0"/>
                <w:sz w:val="13"/>
              </w:rPr>
              <w:t>Potential medical-device / clinical governance relevance.</w:t>
            </w:r>
          </w:p>
        </w:tc>
      </w:tr>
      <w:tr>
        <w:tc>
          <w:tcPr>
            <w:tcW w:type="dxa" w:w="2045"/>
            <w:vAlign w:val="top"/>
          </w:tcPr>
          <w:p>
            <w:r/>
            <w:r>
              <w:rPr>
                <w:rFonts w:ascii="Aptos" w:hAnsi="Aptos"/>
                <w:b w:val="0"/>
                <w:sz w:val="13"/>
              </w:rPr>
              <w:t>D10</w:t>
            </w:r>
          </w:p>
        </w:tc>
        <w:tc>
          <w:tcPr>
            <w:tcW w:type="dxa" w:w="2045"/>
            <w:vAlign w:val="top"/>
          </w:tcPr>
          <w:p>
            <w:r/>
            <w:r>
              <w:rPr>
                <w:rFonts w:ascii="Aptos" w:hAnsi="Aptos"/>
                <w:b w:val="0"/>
                <w:sz w:val="13"/>
              </w:rPr>
              <w:t>No PII intended under current approved use cases</w:t>
            </w:r>
          </w:p>
        </w:tc>
        <w:tc>
          <w:tcPr>
            <w:tcW w:type="dxa" w:w="2045"/>
            <w:vAlign w:val="top"/>
          </w:tcPr>
          <w:p>
            <w:r/>
            <w:r>
              <w:rPr>
                <w:rFonts w:ascii="Aptos" w:hAnsi="Aptos"/>
                <w:b w:val="0"/>
                <w:sz w:val="13"/>
              </w:rPr>
              <w:t>No</w:t>
            </w:r>
          </w:p>
        </w:tc>
        <w:tc>
          <w:tcPr>
            <w:tcW w:type="dxa" w:w="2045"/>
            <w:vAlign w:val="top"/>
          </w:tcPr>
          <w:p>
            <w:r/>
            <w:r>
              <w:rPr>
                <w:rFonts w:ascii="Aptos" w:hAnsi="Aptos"/>
                <w:b w:val="0"/>
                <w:sz w:val="13"/>
              </w:rPr>
              <w:t>Yes - programme/source IP may be present</w:t>
            </w:r>
          </w:p>
        </w:tc>
        <w:tc>
          <w:tcPr>
            <w:tcW w:type="dxa" w:w="2045"/>
            <w:vAlign w:val="top"/>
          </w:tcPr>
          <w:p>
            <w:r/>
            <w:r>
              <w:rPr>
                <w:rFonts w:ascii="Aptos" w:hAnsi="Aptos"/>
                <w:b w:val="0"/>
                <w:sz w:val="13"/>
              </w:rPr>
              <w:t>Subject to approved Bedrock use restrictions and contractual controls.</w:t>
            </w:r>
          </w:p>
        </w:tc>
      </w:tr>
      <w:tr>
        <w:tc>
          <w:tcPr>
            <w:tcW w:type="dxa" w:w="2045"/>
            <w:vAlign w:val="top"/>
          </w:tcPr>
          <w:p>
            <w:r/>
            <w:r>
              <w:rPr>
                <w:rFonts w:ascii="Aptos" w:hAnsi="Aptos"/>
                <w:b w:val="0"/>
                <w:sz w:val="13"/>
              </w:rPr>
              <w:t>D11</w:t>
            </w:r>
          </w:p>
        </w:tc>
        <w:tc>
          <w:tcPr>
            <w:tcW w:type="dxa" w:w="2045"/>
            <w:vAlign w:val="top"/>
          </w:tcPr>
          <w:p>
            <w:r/>
            <w:r>
              <w:rPr>
                <w:rFonts w:ascii="Aptos" w:hAnsi="Aptos"/>
                <w:b w:val="0"/>
                <w:sz w:val="13"/>
              </w:rPr>
              <w:t>Normally no where results are aggregate/synthetic; may contain pseudonymous case references if linked to governed datasets</w:t>
            </w:r>
          </w:p>
        </w:tc>
        <w:tc>
          <w:tcPr>
            <w:tcW w:type="dxa" w:w="2045"/>
            <w:vAlign w:val="top"/>
          </w:tcPr>
          <w:p>
            <w:r/>
            <w:r>
              <w:rPr>
                <w:rFonts w:ascii="Aptos" w:hAnsi="Aptos"/>
                <w:b w:val="0"/>
                <w:sz w:val="13"/>
              </w:rPr>
              <w:t>Potentially</w:t>
            </w:r>
          </w:p>
        </w:tc>
        <w:tc>
          <w:tcPr>
            <w:tcW w:type="dxa" w:w="2045"/>
            <w:vAlign w:val="top"/>
          </w:tcPr>
          <w:p>
            <w:r/>
            <w:r>
              <w:rPr>
                <w:rFonts w:ascii="Aptos" w:hAnsi="Aptos"/>
                <w:b w:val="0"/>
                <w:sz w:val="13"/>
              </w:rPr>
              <w:t>Yes</w:t>
            </w:r>
          </w:p>
        </w:tc>
        <w:tc>
          <w:tcPr>
            <w:tcW w:type="dxa" w:w="2045"/>
            <w:vAlign w:val="top"/>
          </w:tcPr>
          <w:p>
            <w:r/>
            <w:r>
              <w:rPr>
                <w:rFonts w:ascii="Aptos" w:hAnsi="Aptos"/>
                <w:b w:val="0"/>
                <w:sz w:val="13"/>
              </w:rPr>
              <w:t>Governed evaluation evidence.</w:t>
            </w:r>
          </w:p>
        </w:tc>
      </w:tr>
      <w:tr>
        <w:tc>
          <w:tcPr>
            <w:tcW w:type="dxa" w:w="2045"/>
            <w:vAlign w:val="top"/>
          </w:tcPr>
          <w:p>
            <w:r/>
            <w:r>
              <w:rPr>
                <w:rFonts w:ascii="Aptos" w:hAnsi="Aptos"/>
                <w:b w:val="0"/>
                <w:sz w:val="13"/>
              </w:rPr>
              <w:t>D12</w:t>
            </w:r>
          </w:p>
        </w:tc>
        <w:tc>
          <w:tcPr>
            <w:tcW w:type="dxa" w:w="2045"/>
            <w:vAlign w:val="top"/>
          </w:tcPr>
          <w:p>
            <w:r/>
            <w:r>
              <w:rPr>
                <w:rFonts w:ascii="Aptos" w:hAnsi="Aptos"/>
                <w:b w:val="0"/>
                <w:sz w:val="13"/>
              </w:rPr>
              <w:t>Potentially yes, depending on logged identifiers and payload minimisation</w:t>
            </w:r>
          </w:p>
        </w:tc>
        <w:tc>
          <w:tcPr>
            <w:tcW w:type="dxa" w:w="2045"/>
            <w:vAlign w:val="top"/>
          </w:tcPr>
          <w:p>
            <w:r/>
            <w:r>
              <w:rPr>
                <w:rFonts w:ascii="Aptos" w:hAnsi="Aptos"/>
                <w:b w:val="0"/>
                <w:sz w:val="13"/>
              </w:rPr>
              <w:t>Potentially</w:t>
            </w:r>
          </w:p>
        </w:tc>
        <w:tc>
          <w:tcPr>
            <w:tcW w:type="dxa" w:w="2045"/>
            <w:vAlign w:val="top"/>
          </w:tcPr>
          <w:p>
            <w:r/>
            <w:r>
              <w:rPr>
                <w:rFonts w:ascii="Aptos" w:hAnsi="Aptos"/>
                <w:b w:val="0"/>
                <w:sz w:val="13"/>
              </w:rPr>
              <w:t>Yes</w:t>
            </w:r>
          </w:p>
        </w:tc>
        <w:tc>
          <w:tcPr>
            <w:tcW w:type="dxa" w:w="2045"/>
            <w:vAlign w:val="top"/>
          </w:tcPr>
          <w:p>
            <w:r/>
            <w:r>
              <w:rPr>
                <w:rFonts w:ascii="Aptos" w:hAnsi="Aptos"/>
                <w:b w:val="0"/>
                <w:sz w:val="13"/>
              </w:rPr>
              <w:t>UK GDPR/DPA 2018 and security/audit obligations.</w:t>
            </w:r>
          </w:p>
        </w:tc>
      </w:tr>
    </w:tbl>
    <w:p/>
    <w:p>
      <w:pPr>
        <w:pStyle w:val="Heading1"/>
      </w:pPr>
      <w:r>
        <w:t>4. Provenance and Licensing</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D3"/>
          </w:tcPr>
          <w:p>
            <w:r/>
            <w:r>
              <w:rPr>
                <w:rFonts w:ascii="Aptos" w:hAnsi="Aptos"/>
                <w:b/>
                <w:sz w:val="12"/>
              </w:rPr>
              <w:t>Ref</w:t>
            </w:r>
          </w:p>
        </w:tc>
        <w:tc>
          <w:tcPr>
            <w:tcW w:type="dxa" w:w="2556"/>
            <w:vAlign w:val="top"/>
            <w:shd w:fill="D9EAD3"/>
          </w:tcPr>
          <w:p>
            <w:r/>
            <w:r>
              <w:rPr>
                <w:rFonts w:ascii="Aptos" w:hAnsi="Aptos"/>
                <w:b/>
                <w:sz w:val="12"/>
              </w:rPr>
              <w:t>Provenance</w:t>
            </w:r>
          </w:p>
        </w:tc>
        <w:tc>
          <w:tcPr>
            <w:tcW w:type="dxa" w:w="2556"/>
            <w:vAlign w:val="top"/>
            <w:shd w:fill="D9EAD3"/>
          </w:tcPr>
          <w:p>
            <w:r/>
            <w:r>
              <w:rPr>
                <w:rFonts w:ascii="Aptos" w:hAnsi="Aptos"/>
                <w:b/>
                <w:sz w:val="12"/>
              </w:rPr>
              <w:t>Licence / contract</w:t>
            </w:r>
          </w:p>
        </w:tc>
        <w:tc>
          <w:tcPr>
            <w:tcW w:type="dxa" w:w="2556"/>
            <w:vAlign w:val="top"/>
            <w:shd w:fill="D9EAD3"/>
          </w:tcPr>
          <w:p>
            <w:r/>
            <w:r>
              <w:rPr>
                <w:rFonts w:ascii="Aptos" w:hAnsi="Aptos"/>
                <w:b/>
                <w:sz w:val="12"/>
              </w:rPr>
              <w:t>Restrictions / acceptable use</w:t>
            </w:r>
          </w:p>
        </w:tc>
      </w:tr>
      <w:tr>
        <w:tc>
          <w:tcPr>
            <w:tcW w:type="dxa" w:w="2556"/>
            <w:vAlign w:val="top"/>
          </w:tcPr>
          <w:p>
            <w:r/>
            <w:r>
              <w:rPr>
                <w:rFonts w:ascii="Aptos" w:hAnsi="Aptos"/>
                <w:b w:val="0"/>
                <w:sz w:val="12"/>
              </w:rPr>
              <w:t>D1</w:t>
            </w:r>
          </w:p>
        </w:tc>
        <w:tc>
          <w:tcPr>
            <w:tcW w:type="dxa" w:w="2556"/>
            <w:vAlign w:val="top"/>
          </w:tcPr>
          <w:p>
            <w:r/>
            <w:r>
              <w:rPr>
                <w:rFonts w:ascii="Aptos" w:hAnsi="Aptos"/>
                <w:b w:val="0"/>
                <w:sz w:val="12"/>
              </w:rPr>
              <w:t>NHS England clinical content, extracted from approved deterministic pathway/content sources. Exact source/version/date range recorded per build.</w:t>
            </w:r>
          </w:p>
        </w:tc>
        <w:tc>
          <w:tcPr>
            <w:tcW w:type="dxa" w:w="2556"/>
            <w:vAlign w:val="top"/>
          </w:tcPr>
          <w:p>
            <w:r/>
            <w:r>
              <w:rPr>
                <w:rFonts w:ascii="Aptos" w:hAnsi="Aptos"/>
                <w:b w:val="0"/>
                <w:sz w:val="12"/>
              </w:rPr>
              <w:t>Customer-provided / NHS England-controlled content. [TBC exact licence/contract reference.]</w:t>
            </w:r>
          </w:p>
        </w:tc>
        <w:tc>
          <w:tcPr>
            <w:tcW w:type="dxa" w:w="2556"/>
            <w:vAlign w:val="top"/>
          </w:tcPr>
          <w:p>
            <w:r/>
            <w:r>
              <w:rPr>
                <w:rFonts w:ascii="Aptos" w:hAnsi="Aptos"/>
                <w:b w:val="0"/>
                <w:sz w:val="12"/>
              </w:rPr>
              <w:t>Use only for authorised NHS programme purposes; preserve source provenance and versioning.</w:t>
            </w:r>
          </w:p>
        </w:tc>
      </w:tr>
      <w:tr>
        <w:tc>
          <w:tcPr>
            <w:tcW w:type="dxa" w:w="2556"/>
            <w:vAlign w:val="top"/>
          </w:tcPr>
          <w:p>
            <w:r/>
            <w:r>
              <w:rPr>
                <w:rFonts w:ascii="Aptos" w:hAnsi="Aptos"/>
                <w:b w:val="0"/>
                <w:sz w:val="12"/>
              </w:rPr>
              <w:t>D2</w:t>
            </w:r>
          </w:p>
        </w:tc>
        <w:tc>
          <w:tcPr>
            <w:tcW w:type="dxa" w:w="2556"/>
            <w:vAlign w:val="top"/>
          </w:tcPr>
          <w:p>
            <w:r/>
            <w:r>
              <w:rPr>
                <w:rFonts w:ascii="Aptos" w:hAnsi="Aptos"/>
                <w:b w:val="0"/>
                <w:sz w:val="12"/>
              </w:rPr>
              <w:t>Authoritative terminology/reference-data sources used by NHS England.</w:t>
            </w:r>
          </w:p>
        </w:tc>
        <w:tc>
          <w:tcPr>
            <w:tcW w:type="dxa" w:w="2556"/>
            <w:vAlign w:val="top"/>
          </w:tcPr>
          <w:p>
            <w:r/>
            <w:r>
              <w:rPr>
                <w:rFonts w:ascii="Aptos" w:hAnsi="Aptos"/>
                <w:b w:val="0"/>
                <w:sz w:val="12"/>
              </w:rPr>
              <w:t>Relevant NHS/SNOMED terminology licence or service terms. [TBC exact reference.]</w:t>
            </w:r>
          </w:p>
        </w:tc>
        <w:tc>
          <w:tcPr>
            <w:tcW w:type="dxa" w:w="2556"/>
            <w:vAlign w:val="top"/>
          </w:tcPr>
          <w:p>
            <w:r/>
            <w:r>
              <w:rPr>
                <w:rFonts w:ascii="Aptos" w:hAnsi="Aptos"/>
                <w:b w:val="0"/>
                <w:sz w:val="12"/>
              </w:rPr>
              <w:t>Use only in accordance with terminology licensing and approved service access.</w:t>
            </w:r>
          </w:p>
        </w:tc>
      </w:tr>
      <w:tr>
        <w:tc>
          <w:tcPr>
            <w:tcW w:type="dxa" w:w="2556"/>
            <w:vAlign w:val="top"/>
          </w:tcPr>
          <w:p>
            <w:r/>
            <w:r>
              <w:rPr>
                <w:rFonts w:ascii="Aptos" w:hAnsi="Aptos"/>
                <w:b w:val="0"/>
                <w:sz w:val="12"/>
              </w:rPr>
              <w:t>D3</w:t>
            </w:r>
          </w:p>
        </w:tc>
        <w:tc>
          <w:tcPr>
            <w:tcW w:type="dxa" w:w="2556"/>
            <w:vAlign w:val="top"/>
          </w:tcPr>
          <w:p>
            <w:r/>
            <w:r>
              <w:rPr>
                <w:rFonts w:ascii="Aptos" w:hAnsi="Aptos"/>
                <w:b w:val="0"/>
                <w:sz w:val="12"/>
              </w:rPr>
              <w:t>Approved historical triage datasets supplied or made available by NHS England, de-identified/pseudonymised where required.</w:t>
            </w:r>
          </w:p>
        </w:tc>
        <w:tc>
          <w:tcPr>
            <w:tcW w:type="dxa" w:w="2556"/>
            <w:vAlign w:val="top"/>
          </w:tcPr>
          <w:p>
            <w:r/>
            <w:r>
              <w:rPr>
                <w:rFonts w:ascii="Aptos" w:hAnsi="Aptos"/>
                <w:b w:val="0"/>
                <w:sz w:val="12"/>
              </w:rPr>
              <w:t>NHS England data-sharing/processing arrangements. [TBC dataset-specific agreement.]</w:t>
            </w:r>
          </w:p>
        </w:tc>
        <w:tc>
          <w:tcPr>
            <w:tcW w:type="dxa" w:w="2556"/>
            <w:vAlign w:val="top"/>
          </w:tcPr>
          <w:p>
            <w:r/>
            <w:r>
              <w:rPr>
                <w:rFonts w:ascii="Aptos" w:hAnsi="Aptos"/>
                <w:b w:val="0"/>
                <w:sz w:val="12"/>
              </w:rPr>
              <w:t>Purpose-limited use for authorised build/evaluation; no onward use outside approved environment.</w:t>
            </w:r>
          </w:p>
        </w:tc>
      </w:tr>
      <w:tr>
        <w:tc>
          <w:tcPr>
            <w:tcW w:type="dxa" w:w="2556"/>
            <w:vAlign w:val="top"/>
          </w:tcPr>
          <w:p>
            <w:r/>
            <w:r>
              <w:rPr>
                <w:rFonts w:ascii="Aptos" w:hAnsi="Aptos"/>
                <w:b w:val="0"/>
                <w:sz w:val="12"/>
              </w:rPr>
              <w:t>D4</w:t>
            </w:r>
          </w:p>
        </w:tc>
        <w:tc>
          <w:tcPr>
            <w:tcW w:type="dxa" w:w="2556"/>
            <w:vAlign w:val="top"/>
          </w:tcPr>
          <w:p>
            <w:r/>
            <w:r>
              <w:rPr>
                <w:rFonts w:ascii="Aptos" w:hAnsi="Aptos"/>
                <w:b w:val="0"/>
                <w:sz w:val="12"/>
              </w:rPr>
              <w:t>Approved ECDS/TIM-linked or derived analytical datasets.</w:t>
            </w:r>
          </w:p>
        </w:tc>
        <w:tc>
          <w:tcPr>
            <w:tcW w:type="dxa" w:w="2556"/>
            <w:vAlign w:val="top"/>
          </w:tcPr>
          <w:p>
            <w:r/>
            <w:r>
              <w:rPr>
                <w:rFonts w:ascii="Aptos" w:hAnsi="Aptos"/>
                <w:b w:val="0"/>
                <w:sz w:val="12"/>
              </w:rPr>
              <w:t>NHS England controller/processing arrangement. [TBC exact reference.]</w:t>
            </w:r>
          </w:p>
        </w:tc>
        <w:tc>
          <w:tcPr>
            <w:tcW w:type="dxa" w:w="2556"/>
            <w:vAlign w:val="top"/>
          </w:tcPr>
          <w:p>
            <w:r/>
            <w:r>
              <w:rPr>
                <w:rFonts w:ascii="Aptos" w:hAnsi="Aptos"/>
                <w:b w:val="0"/>
                <w:sz w:val="12"/>
              </w:rPr>
              <w:t>Use only for approved model/evaluation purpose; respect disclosure and linkage controls.</w:t>
            </w:r>
          </w:p>
        </w:tc>
      </w:tr>
      <w:tr>
        <w:tc>
          <w:tcPr>
            <w:tcW w:type="dxa" w:w="2556"/>
            <w:vAlign w:val="top"/>
          </w:tcPr>
          <w:p>
            <w:r/>
            <w:r>
              <w:rPr>
                <w:rFonts w:ascii="Aptos" w:hAnsi="Aptos"/>
                <w:b w:val="0"/>
                <w:sz w:val="12"/>
              </w:rPr>
              <w:t>D5</w:t>
            </w:r>
          </w:p>
        </w:tc>
        <w:tc>
          <w:tcPr>
            <w:tcW w:type="dxa" w:w="2556"/>
            <w:vAlign w:val="top"/>
          </w:tcPr>
          <w:p>
            <w:r/>
            <w:r>
              <w:rPr>
                <w:rFonts w:ascii="Aptos" w:hAnsi="Aptos"/>
                <w:b w:val="0"/>
                <w:sz w:val="12"/>
              </w:rPr>
              <w:t>Created by named clinicians/clinical authors for the Adaptive Triage evaluation process.</w:t>
            </w:r>
          </w:p>
        </w:tc>
        <w:tc>
          <w:tcPr>
            <w:tcW w:type="dxa" w:w="2556"/>
            <w:vAlign w:val="top"/>
          </w:tcPr>
          <w:p>
            <w:r/>
            <w:r>
              <w:rPr>
                <w:rFonts w:ascii="Aptos" w:hAnsi="Aptos"/>
                <w:b w:val="0"/>
                <w:sz w:val="12"/>
              </w:rPr>
              <w:t>Customer/project-owned evaluation content. [TBC ownership statement.]</w:t>
            </w:r>
          </w:p>
        </w:tc>
        <w:tc>
          <w:tcPr>
            <w:tcW w:type="dxa" w:w="2556"/>
            <w:vAlign w:val="top"/>
          </w:tcPr>
          <w:p>
            <w:r/>
            <w:r>
              <w:rPr>
                <w:rFonts w:ascii="Aptos" w:hAnsi="Aptos"/>
                <w:b w:val="0"/>
                <w:sz w:val="12"/>
              </w:rPr>
              <w:t>Use within approved evaluation/assurance scope.</w:t>
            </w:r>
          </w:p>
        </w:tc>
      </w:tr>
      <w:tr>
        <w:tc>
          <w:tcPr>
            <w:tcW w:type="dxa" w:w="2556"/>
            <w:vAlign w:val="top"/>
          </w:tcPr>
          <w:p>
            <w:r/>
            <w:r>
              <w:rPr>
                <w:rFonts w:ascii="Aptos" w:hAnsi="Aptos"/>
                <w:b w:val="0"/>
                <w:sz w:val="12"/>
              </w:rPr>
              <w:t>D6</w:t>
            </w:r>
          </w:p>
        </w:tc>
        <w:tc>
          <w:tcPr>
            <w:tcW w:type="dxa" w:w="2556"/>
            <w:vAlign w:val="top"/>
          </w:tcPr>
          <w:p>
            <w:r/>
            <w:r>
              <w:rPr>
                <w:rFonts w:ascii="Aptos" w:hAnsi="Aptos"/>
                <w:b w:val="0"/>
                <w:sz w:val="12"/>
              </w:rPr>
              <w:t>Generated by project tooling and/or approved build-time LLM assistance, then reviewed by clinicians.</w:t>
            </w:r>
          </w:p>
        </w:tc>
        <w:tc>
          <w:tcPr>
            <w:tcW w:type="dxa" w:w="2556"/>
            <w:vAlign w:val="top"/>
          </w:tcPr>
          <w:p>
            <w:r/>
            <w:r>
              <w:rPr>
                <w:rFonts w:ascii="Aptos" w:hAnsi="Aptos"/>
                <w:b w:val="0"/>
                <w:sz w:val="12"/>
              </w:rPr>
              <w:t>Project/customer-generated content subject to supplier terms for the tooling used. [TBC exact model/service terms.]</w:t>
            </w:r>
          </w:p>
        </w:tc>
        <w:tc>
          <w:tcPr>
            <w:tcW w:type="dxa" w:w="2556"/>
            <w:vAlign w:val="top"/>
          </w:tcPr>
          <w:p>
            <w:r/>
            <w:r>
              <w:rPr>
                <w:rFonts w:ascii="Aptos" w:hAnsi="Aptos"/>
                <w:b w:val="0"/>
                <w:sz w:val="12"/>
              </w:rPr>
              <w:t>Synthetic output is not authoritative clinical evidence until reviewed/approved; do not treat generated content as source truth.</w:t>
            </w:r>
          </w:p>
        </w:tc>
      </w:tr>
      <w:tr>
        <w:tc>
          <w:tcPr>
            <w:tcW w:type="dxa" w:w="2556"/>
            <w:vAlign w:val="top"/>
          </w:tcPr>
          <w:p>
            <w:r/>
            <w:r>
              <w:rPr>
                <w:rFonts w:ascii="Aptos" w:hAnsi="Aptos"/>
                <w:b w:val="0"/>
                <w:sz w:val="12"/>
              </w:rPr>
              <w:t>D7</w:t>
            </w:r>
          </w:p>
        </w:tc>
        <w:tc>
          <w:tcPr>
            <w:tcW w:type="dxa" w:w="2556"/>
            <w:vAlign w:val="top"/>
          </w:tcPr>
          <w:p>
            <w:r/>
            <w:r>
              <w:rPr>
                <w:rFonts w:ascii="Aptos" w:hAnsi="Aptos"/>
                <w:b w:val="0"/>
                <w:sz w:val="12"/>
              </w:rPr>
              <w:t>Collected during live/approved triage interactions via consuming NHS channels/services.</w:t>
            </w:r>
          </w:p>
        </w:tc>
        <w:tc>
          <w:tcPr>
            <w:tcW w:type="dxa" w:w="2556"/>
            <w:vAlign w:val="top"/>
          </w:tcPr>
          <w:p>
            <w:r/>
            <w:r>
              <w:rPr>
                <w:rFonts w:ascii="Aptos" w:hAnsi="Aptos"/>
                <w:b w:val="0"/>
                <w:sz w:val="12"/>
              </w:rPr>
              <w:t>NHS England service privacy/processing arrangements and DPIA. [TBC reference.]</w:t>
            </w:r>
          </w:p>
        </w:tc>
        <w:tc>
          <w:tcPr>
            <w:tcW w:type="dxa" w:w="2556"/>
            <w:vAlign w:val="top"/>
          </w:tcPr>
          <w:p>
            <w:r/>
            <w:r>
              <w:rPr>
                <w:rFonts w:ascii="Aptos" w:hAnsi="Aptos"/>
                <w:b w:val="0"/>
                <w:sz w:val="12"/>
              </w:rPr>
              <w:t>Use only for approved triage purpose and defined secondary purposes where separately authorised.</w:t>
            </w:r>
          </w:p>
        </w:tc>
      </w:tr>
      <w:tr>
        <w:tc>
          <w:tcPr>
            <w:tcW w:type="dxa" w:w="2556"/>
            <w:vAlign w:val="top"/>
          </w:tcPr>
          <w:p>
            <w:r/>
            <w:r>
              <w:rPr>
                <w:rFonts w:ascii="Aptos" w:hAnsi="Aptos"/>
                <w:b w:val="0"/>
                <w:sz w:val="12"/>
              </w:rPr>
              <w:t>D8</w:t>
            </w:r>
          </w:p>
        </w:tc>
        <w:tc>
          <w:tcPr>
            <w:tcW w:type="dxa" w:w="2556"/>
            <w:vAlign w:val="top"/>
          </w:tcPr>
          <w:p>
            <w:r/>
            <w:r>
              <w:rPr>
                <w:rFonts w:ascii="Aptos" w:hAnsi="Aptos"/>
                <w:b w:val="0"/>
                <w:sz w:val="12"/>
              </w:rPr>
              <w:t>Produced by Adaptive Triage during approved interactions.</w:t>
            </w:r>
          </w:p>
        </w:tc>
        <w:tc>
          <w:tcPr>
            <w:tcW w:type="dxa" w:w="2556"/>
            <w:vAlign w:val="top"/>
          </w:tcPr>
          <w:p>
            <w:r/>
            <w:r>
              <w:rPr>
                <w:rFonts w:ascii="Aptos" w:hAnsi="Aptos"/>
                <w:b w:val="0"/>
                <w:sz w:val="12"/>
              </w:rPr>
              <w:t>NHS England service data under project/contract governance.</w:t>
            </w:r>
          </w:p>
        </w:tc>
        <w:tc>
          <w:tcPr>
            <w:tcW w:type="dxa" w:w="2556"/>
            <w:vAlign w:val="top"/>
          </w:tcPr>
          <w:p>
            <w:r/>
            <w:r>
              <w:rPr>
                <w:rFonts w:ascii="Aptos" w:hAnsi="Aptos"/>
                <w:b w:val="0"/>
                <w:sz w:val="12"/>
              </w:rPr>
              <w:t>Use limited to care/triage, audit, safety, monitoring and other explicitly approved purposes.</w:t>
            </w:r>
          </w:p>
        </w:tc>
      </w:tr>
      <w:tr>
        <w:tc>
          <w:tcPr>
            <w:tcW w:type="dxa" w:w="2556"/>
            <w:vAlign w:val="top"/>
          </w:tcPr>
          <w:p>
            <w:r/>
            <w:r>
              <w:rPr>
                <w:rFonts w:ascii="Aptos" w:hAnsi="Aptos"/>
                <w:b w:val="0"/>
                <w:sz w:val="12"/>
              </w:rPr>
              <w:t>D9</w:t>
            </w:r>
          </w:p>
        </w:tc>
        <w:tc>
          <w:tcPr>
            <w:tcW w:type="dxa" w:w="2556"/>
            <w:vAlign w:val="top"/>
          </w:tcPr>
          <w:p>
            <w:r/>
            <w:r>
              <w:rPr>
                <w:rFonts w:ascii="Aptos" w:hAnsi="Aptos"/>
                <w:b w:val="0"/>
                <w:sz w:val="12"/>
              </w:rPr>
              <w:t>Produced by the controlled Adaptive Triage model build/release lifecycle.</w:t>
            </w:r>
          </w:p>
        </w:tc>
        <w:tc>
          <w:tcPr>
            <w:tcW w:type="dxa" w:w="2556"/>
            <w:vAlign w:val="top"/>
          </w:tcPr>
          <w:p>
            <w:r/>
            <w:r>
              <w:rPr>
                <w:rFonts w:ascii="Aptos" w:hAnsi="Aptos"/>
                <w:b w:val="0"/>
                <w:sz w:val="12"/>
              </w:rPr>
              <w:t>Project/NHS England artefacts. [TBC IP ownership wording.]</w:t>
            </w:r>
          </w:p>
        </w:tc>
        <w:tc>
          <w:tcPr>
            <w:tcW w:type="dxa" w:w="2556"/>
            <w:vAlign w:val="top"/>
          </w:tcPr>
          <w:p>
            <w:r/>
            <w:r>
              <w:rPr>
                <w:rFonts w:ascii="Aptos" w:hAnsi="Aptos"/>
                <w:b w:val="0"/>
                <w:sz w:val="12"/>
              </w:rPr>
              <w:t>Only approved/released versions may be used in runtime; preserve audit/version history.</w:t>
            </w:r>
          </w:p>
        </w:tc>
      </w:tr>
      <w:tr>
        <w:tc>
          <w:tcPr>
            <w:tcW w:type="dxa" w:w="2556"/>
            <w:vAlign w:val="top"/>
          </w:tcPr>
          <w:p>
            <w:r/>
            <w:r>
              <w:rPr>
                <w:rFonts w:ascii="Aptos" w:hAnsi="Aptos"/>
                <w:b w:val="0"/>
                <w:sz w:val="12"/>
              </w:rPr>
              <w:t>D10</w:t>
            </w:r>
          </w:p>
        </w:tc>
        <w:tc>
          <w:tcPr>
            <w:tcW w:type="dxa" w:w="2556"/>
            <w:vAlign w:val="top"/>
          </w:tcPr>
          <w:p>
            <w:r/>
            <w:r>
              <w:rPr>
                <w:rFonts w:ascii="Aptos" w:hAnsi="Aptos"/>
                <w:b w:val="0"/>
                <w:sz w:val="12"/>
              </w:rPr>
              <w:t>Created from approved source material supplied to AWS Bedrock under controlled build-time workflows.</w:t>
            </w:r>
          </w:p>
        </w:tc>
        <w:tc>
          <w:tcPr>
            <w:tcW w:type="dxa" w:w="2556"/>
            <w:vAlign w:val="top"/>
          </w:tcPr>
          <w:p>
            <w:r/>
            <w:r>
              <w:rPr>
                <w:rFonts w:ascii="Aptos" w:hAnsi="Aptos"/>
                <w:b w:val="0"/>
                <w:sz w:val="12"/>
              </w:rPr>
              <w:t>AWS contractual/model terms plus NHS England/Kainos approval route. [TBC exact contract/model terms.]</w:t>
            </w:r>
          </w:p>
        </w:tc>
        <w:tc>
          <w:tcPr>
            <w:tcW w:type="dxa" w:w="2556"/>
            <w:vAlign w:val="top"/>
          </w:tcPr>
          <w:p>
            <w:r/>
            <w:r>
              <w:rPr>
                <w:rFonts w:ascii="Aptos" w:hAnsi="Aptos"/>
                <w:b w:val="0"/>
                <w:sz w:val="12"/>
              </w:rPr>
              <w:t>No PII under current use cases; outputs require human/clinical review; no direct runtime decision use.</w:t>
            </w:r>
          </w:p>
        </w:tc>
      </w:tr>
      <w:tr>
        <w:tc>
          <w:tcPr>
            <w:tcW w:type="dxa" w:w="2556"/>
            <w:vAlign w:val="top"/>
          </w:tcPr>
          <w:p>
            <w:r/>
            <w:r>
              <w:rPr>
                <w:rFonts w:ascii="Aptos" w:hAnsi="Aptos"/>
                <w:b w:val="0"/>
                <w:sz w:val="12"/>
              </w:rPr>
              <w:t>D11</w:t>
            </w:r>
          </w:p>
        </w:tc>
        <w:tc>
          <w:tcPr>
            <w:tcW w:type="dxa" w:w="2556"/>
            <w:vAlign w:val="top"/>
          </w:tcPr>
          <w:p>
            <w:r/>
            <w:r>
              <w:rPr>
                <w:rFonts w:ascii="Aptos" w:hAnsi="Aptos"/>
                <w:b w:val="0"/>
                <w:sz w:val="12"/>
              </w:rPr>
              <w:t>Produced by Provena/test harness/evaluation activities.</w:t>
            </w:r>
          </w:p>
        </w:tc>
        <w:tc>
          <w:tcPr>
            <w:tcW w:type="dxa" w:w="2556"/>
            <w:vAlign w:val="top"/>
          </w:tcPr>
          <w:p>
            <w:r/>
            <w:r>
              <w:rPr>
                <w:rFonts w:ascii="Aptos" w:hAnsi="Aptos"/>
                <w:b w:val="0"/>
                <w:sz w:val="12"/>
              </w:rPr>
              <w:t>Project/NHS England assurance evidence.</w:t>
            </w:r>
          </w:p>
        </w:tc>
        <w:tc>
          <w:tcPr>
            <w:tcW w:type="dxa" w:w="2556"/>
            <w:vAlign w:val="top"/>
          </w:tcPr>
          <w:p>
            <w:r/>
            <w:r>
              <w:rPr>
                <w:rFonts w:ascii="Aptos" w:hAnsi="Aptos"/>
                <w:b w:val="0"/>
                <w:sz w:val="12"/>
              </w:rPr>
              <w:t>Retain as controlled assurance evidence according to the Monitoring &amp; Review Record.</w:t>
            </w:r>
          </w:p>
        </w:tc>
      </w:tr>
      <w:tr>
        <w:tc>
          <w:tcPr>
            <w:tcW w:type="dxa" w:w="2556"/>
            <w:vAlign w:val="top"/>
          </w:tcPr>
          <w:p>
            <w:r/>
            <w:r>
              <w:rPr>
                <w:rFonts w:ascii="Aptos" w:hAnsi="Aptos"/>
                <w:b w:val="0"/>
                <w:sz w:val="12"/>
              </w:rPr>
              <w:t>D12</w:t>
            </w:r>
          </w:p>
        </w:tc>
        <w:tc>
          <w:tcPr>
            <w:tcW w:type="dxa" w:w="2556"/>
            <w:vAlign w:val="top"/>
          </w:tcPr>
          <w:p>
            <w:r/>
            <w:r>
              <w:rPr>
                <w:rFonts w:ascii="Aptos" w:hAnsi="Aptos"/>
                <w:b w:val="0"/>
                <w:sz w:val="12"/>
              </w:rPr>
              <w:t>Generated automatically by Adaptive Triage/AWS operational services.</w:t>
            </w:r>
          </w:p>
        </w:tc>
        <w:tc>
          <w:tcPr>
            <w:tcW w:type="dxa" w:w="2556"/>
            <w:vAlign w:val="top"/>
          </w:tcPr>
          <w:p>
            <w:r/>
            <w:r>
              <w:rPr>
                <w:rFonts w:ascii="Aptos" w:hAnsi="Aptos"/>
                <w:b w:val="0"/>
                <w:sz w:val="12"/>
              </w:rPr>
              <w:t>AWS service terms plus NHS England service governance.</w:t>
            </w:r>
          </w:p>
        </w:tc>
        <w:tc>
          <w:tcPr>
            <w:tcW w:type="dxa" w:w="2556"/>
            <w:vAlign w:val="top"/>
          </w:tcPr>
          <w:p>
            <w:r/>
            <w:r>
              <w:rPr>
                <w:rFonts w:ascii="Aptos" w:hAnsi="Aptos"/>
                <w:b w:val="0"/>
                <w:sz w:val="12"/>
              </w:rPr>
              <w:t>Purpose-limited operational, audit, security and safety use; minimise payload content.</w:t>
            </w:r>
          </w:p>
        </w:tc>
      </w:tr>
    </w:tbl>
    <w:p/>
    <w:p>
      <w:pPr>
        <w:pStyle w:val="Heading1"/>
      </w:pPr>
      <w:r>
        <w:t>5. Data Quality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D3"/>
          </w:tcPr>
          <w:p>
            <w:r/>
            <w:r>
              <w:rPr>
                <w:rFonts w:ascii="Aptos" w:hAnsi="Aptos"/>
                <w:b/>
                <w:sz w:val="12"/>
              </w:rPr>
              <w:t>Ref</w:t>
            </w:r>
          </w:p>
        </w:tc>
        <w:tc>
          <w:tcPr>
            <w:tcW w:type="dxa" w:w="2556"/>
            <w:vAlign w:val="top"/>
            <w:shd w:fill="D9EAD3"/>
          </w:tcPr>
          <w:p>
            <w:r/>
            <w:r>
              <w:rPr>
                <w:rFonts w:ascii="Aptos" w:hAnsi="Aptos"/>
                <w:b/>
                <w:sz w:val="12"/>
              </w:rPr>
              <w:t>Quality measures</w:t>
            </w:r>
          </w:p>
        </w:tc>
        <w:tc>
          <w:tcPr>
            <w:tcW w:type="dxa" w:w="2556"/>
            <w:vAlign w:val="top"/>
            <w:shd w:fill="D9EAD3"/>
          </w:tcPr>
          <w:p>
            <w:r/>
            <w:r>
              <w:rPr>
                <w:rFonts w:ascii="Aptos" w:hAnsi="Aptos"/>
                <w:b/>
                <w:sz w:val="12"/>
              </w:rPr>
              <w:t>Known issues</w:t>
            </w:r>
          </w:p>
        </w:tc>
        <w:tc>
          <w:tcPr>
            <w:tcW w:type="dxa" w:w="2556"/>
            <w:vAlign w:val="top"/>
            <w:shd w:fill="D9EAD3"/>
          </w:tcPr>
          <w:p>
            <w:r/>
            <w:r>
              <w:rPr>
                <w:rFonts w:ascii="Aptos" w:hAnsi="Aptos"/>
                <w:b/>
                <w:sz w:val="12"/>
              </w:rPr>
              <w:t>Mitigations</w:t>
            </w:r>
          </w:p>
        </w:tc>
      </w:tr>
      <w:tr>
        <w:tc>
          <w:tcPr>
            <w:tcW w:type="dxa" w:w="2556"/>
            <w:vAlign w:val="top"/>
          </w:tcPr>
          <w:p>
            <w:r/>
            <w:r>
              <w:rPr>
                <w:rFonts w:ascii="Aptos" w:hAnsi="Aptos"/>
                <w:b w:val="0"/>
                <w:sz w:val="12"/>
              </w:rPr>
              <w:t>D1</w:t>
            </w:r>
          </w:p>
        </w:tc>
        <w:tc>
          <w:tcPr>
            <w:tcW w:type="dxa" w:w="2556"/>
            <w:vAlign w:val="top"/>
          </w:tcPr>
          <w:p>
            <w:r/>
            <w:r>
              <w:rPr>
                <w:rFonts w:ascii="Aptos" w:hAnsi="Aptos"/>
                <w:b w:val="0"/>
                <w:sz w:val="12"/>
              </w:rPr>
              <w:t>Source/version checks; extraction completeness; structural validation; clinical review; comparison to authoritative content.</w:t>
            </w:r>
          </w:p>
        </w:tc>
        <w:tc>
          <w:tcPr>
            <w:tcW w:type="dxa" w:w="2556"/>
            <w:vAlign w:val="top"/>
          </w:tcPr>
          <w:p>
            <w:r/>
            <w:r>
              <w:rPr>
                <w:rFonts w:ascii="Aptos" w:hAnsi="Aptos"/>
                <w:b w:val="0"/>
                <w:sz w:val="12"/>
              </w:rPr>
              <w:t>Legacy pathway content may encode historical assumptions, deterministic structures or uneven coverage of presentations/demographics.</w:t>
            </w:r>
          </w:p>
        </w:tc>
        <w:tc>
          <w:tcPr>
            <w:tcW w:type="dxa" w:w="2556"/>
            <w:vAlign w:val="top"/>
          </w:tcPr>
          <w:p>
            <w:r/>
            <w:r>
              <w:rPr>
                <w:rFonts w:ascii="Aptos" w:hAnsi="Aptos"/>
                <w:b w:val="0"/>
                <w:sz w:val="12"/>
              </w:rPr>
              <w:t>Maintain source traceability; clinical review; ontology normalisation; vignette/regression testing; controlled update process.</w:t>
            </w:r>
          </w:p>
        </w:tc>
      </w:tr>
      <w:tr>
        <w:tc>
          <w:tcPr>
            <w:tcW w:type="dxa" w:w="2556"/>
            <w:vAlign w:val="top"/>
          </w:tcPr>
          <w:p>
            <w:r/>
            <w:r>
              <w:rPr>
                <w:rFonts w:ascii="Aptos" w:hAnsi="Aptos"/>
                <w:b w:val="0"/>
                <w:sz w:val="12"/>
              </w:rPr>
              <w:t>D2</w:t>
            </w:r>
          </w:p>
        </w:tc>
        <w:tc>
          <w:tcPr>
            <w:tcW w:type="dxa" w:w="2556"/>
            <w:vAlign w:val="top"/>
          </w:tcPr>
          <w:p>
            <w:r/>
            <w:r>
              <w:rPr>
                <w:rFonts w:ascii="Aptos" w:hAnsi="Aptos"/>
                <w:b w:val="0"/>
                <w:sz w:val="12"/>
              </w:rPr>
              <w:t>Terminology validation; code validity; version checking; mapping review.</w:t>
            </w:r>
          </w:p>
        </w:tc>
        <w:tc>
          <w:tcPr>
            <w:tcW w:type="dxa" w:w="2556"/>
            <w:vAlign w:val="top"/>
          </w:tcPr>
          <w:p>
            <w:r/>
            <w:r>
              <w:rPr>
                <w:rFonts w:ascii="Aptos" w:hAnsi="Aptos"/>
                <w:b w:val="0"/>
                <w:sz w:val="12"/>
              </w:rPr>
              <w:t>Terminology mappings may be incomplete, ambiguous or change between releases.</w:t>
            </w:r>
          </w:p>
        </w:tc>
        <w:tc>
          <w:tcPr>
            <w:tcW w:type="dxa" w:w="2556"/>
            <w:vAlign w:val="top"/>
          </w:tcPr>
          <w:p>
            <w:r/>
            <w:r>
              <w:rPr>
                <w:rFonts w:ascii="Aptos" w:hAnsi="Aptos"/>
                <w:b w:val="0"/>
                <w:sz w:val="12"/>
              </w:rPr>
              <w:t>Use authoritative terminology services; version-pin mappings; clinical/terminology review; regression tests.</w:t>
            </w:r>
          </w:p>
        </w:tc>
      </w:tr>
      <w:tr>
        <w:tc>
          <w:tcPr>
            <w:tcW w:type="dxa" w:w="2556"/>
            <w:vAlign w:val="top"/>
          </w:tcPr>
          <w:p>
            <w:r/>
            <w:r>
              <w:rPr>
                <w:rFonts w:ascii="Aptos" w:hAnsi="Aptos"/>
                <w:b w:val="0"/>
                <w:sz w:val="12"/>
              </w:rPr>
              <w:t>D3</w:t>
            </w:r>
          </w:p>
        </w:tc>
        <w:tc>
          <w:tcPr>
            <w:tcW w:type="dxa" w:w="2556"/>
            <w:vAlign w:val="top"/>
          </w:tcPr>
          <w:p>
            <w:r/>
            <w:r>
              <w:rPr>
                <w:rFonts w:ascii="Aptos" w:hAnsi="Aptos"/>
                <w:b w:val="0"/>
                <w:sz w:val="12"/>
              </w:rPr>
              <w:t>Completeness, missingness, coding accuracy, date-range checks, representativeness, subgroup coverage, linkage quality where relevant.</w:t>
            </w:r>
          </w:p>
        </w:tc>
        <w:tc>
          <w:tcPr>
            <w:tcW w:type="dxa" w:w="2556"/>
            <w:vAlign w:val="top"/>
          </w:tcPr>
          <w:p>
            <w:r/>
            <w:r>
              <w:rPr>
                <w:rFonts w:ascii="Aptos" w:hAnsi="Aptos"/>
                <w:b w:val="0"/>
                <w:sz w:val="12"/>
              </w:rPr>
              <w:t>Potential bias in who uses digital triage; missing variables; coding inconsistency; demographic imbalance; historical practice effects.</w:t>
            </w:r>
          </w:p>
        </w:tc>
        <w:tc>
          <w:tcPr>
            <w:tcW w:type="dxa" w:w="2556"/>
            <w:vAlign w:val="top"/>
          </w:tcPr>
          <w:p>
            <w:r/>
            <w:r>
              <w:rPr>
                <w:rFonts w:ascii="Aptos" w:hAnsi="Aptos"/>
                <w:b w:val="0"/>
                <w:sz w:val="12"/>
              </w:rPr>
              <w:t>Data-profiling; subgroup/fairness analysis; exclude/flag low-quality fields; clinician interpretation; use multiple evidence sources where appropriate.</w:t>
            </w:r>
          </w:p>
        </w:tc>
      </w:tr>
      <w:tr>
        <w:tc>
          <w:tcPr>
            <w:tcW w:type="dxa" w:w="2556"/>
            <w:vAlign w:val="top"/>
          </w:tcPr>
          <w:p>
            <w:r/>
            <w:r>
              <w:rPr>
                <w:rFonts w:ascii="Aptos" w:hAnsi="Aptos"/>
                <w:b w:val="0"/>
                <w:sz w:val="12"/>
              </w:rPr>
              <w:t>D4</w:t>
            </w:r>
          </w:p>
        </w:tc>
        <w:tc>
          <w:tcPr>
            <w:tcW w:type="dxa" w:w="2556"/>
            <w:vAlign w:val="top"/>
          </w:tcPr>
          <w:p>
            <w:r/>
            <w:r>
              <w:rPr>
                <w:rFonts w:ascii="Aptos" w:hAnsi="Aptos"/>
                <w:b w:val="0"/>
                <w:sz w:val="12"/>
              </w:rPr>
              <w:t>Outcome completeness; linkage validity; coding consistency; freshness; representativeness.</w:t>
            </w:r>
          </w:p>
        </w:tc>
        <w:tc>
          <w:tcPr>
            <w:tcW w:type="dxa" w:w="2556"/>
            <w:vAlign w:val="top"/>
          </w:tcPr>
          <w:p>
            <w:r/>
            <w:r>
              <w:rPr>
                <w:rFonts w:ascii="Aptos" w:hAnsi="Aptos"/>
                <w:b w:val="0"/>
                <w:sz w:val="12"/>
              </w:rPr>
              <w:t>ECDS coding variability, missing outcomes, service-specific practice patterns, linkage bias.</w:t>
            </w:r>
          </w:p>
        </w:tc>
        <w:tc>
          <w:tcPr>
            <w:tcW w:type="dxa" w:w="2556"/>
            <w:vAlign w:val="top"/>
          </w:tcPr>
          <w:p>
            <w:r/>
            <w:r>
              <w:rPr>
                <w:rFonts w:ascii="Aptos" w:hAnsi="Aptos"/>
                <w:b w:val="0"/>
                <w:sz w:val="12"/>
              </w:rPr>
              <w:t>Quality thresholds; documented exclusions; sensitivity analysis; clinician/data-science review.</w:t>
            </w:r>
          </w:p>
        </w:tc>
      </w:tr>
      <w:tr>
        <w:tc>
          <w:tcPr>
            <w:tcW w:type="dxa" w:w="2556"/>
            <w:vAlign w:val="top"/>
          </w:tcPr>
          <w:p>
            <w:r/>
            <w:r>
              <w:rPr>
                <w:rFonts w:ascii="Aptos" w:hAnsi="Aptos"/>
                <w:b w:val="0"/>
                <w:sz w:val="12"/>
              </w:rPr>
              <w:t>D5</w:t>
            </w:r>
          </w:p>
        </w:tc>
        <w:tc>
          <w:tcPr>
            <w:tcW w:type="dxa" w:w="2556"/>
            <w:vAlign w:val="top"/>
          </w:tcPr>
          <w:p>
            <w:r/>
            <w:r>
              <w:rPr>
                <w:rFonts w:ascii="Aptos" w:hAnsi="Aptos"/>
                <w:b w:val="0"/>
                <w:sz w:val="12"/>
              </w:rPr>
              <w:t>Clinical author review; expected-outcome review; coverage matrix; version control.</w:t>
            </w:r>
          </w:p>
        </w:tc>
        <w:tc>
          <w:tcPr>
            <w:tcW w:type="dxa" w:w="2556"/>
            <w:vAlign w:val="top"/>
          </w:tcPr>
          <w:p>
            <w:r/>
            <w:r>
              <w:rPr>
                <w:rFonts w:ascii="Aptos" w:hAnsi="Aptos"/>
                <w:b w:val="0"/>
                <w:sz w:val="12"/>
              </w:rPr>
              <w:t>Authoring bias; incomplete coverage of edge cases; inconsistent expected outcomes.</w:t>
            </w:r>
          </w:p>
        </w:tc>
        <w:tc>
          <w:tcPr>
            <w:tcW w:type="dxa" w:w="2556"/>
            <w:vAlign w:val="top"/>
          </w:tcPr>
          <w:p>
            <w:r/>
            <w:r>
              <w:rPr>
                <w:rFonts w:ascii="Aptos" w:hAnsi="Aptos"/>
                <w:b w:val="0"/>
                <w:sz w:val="12"/>
              </w:rPr>
              <w:t>Multi-clinician review for critical cases; structured templates; regression suite; provenance/approval.</w:t>
            </w:r>
          </w:p>
        </w:tc>
      </w:tr>
      <w:tr>
        <w:tc>
          <w:tcPr>
            <w:tcW w:type="dxa" w:w="2556"/>
            <w:vAlign w:val="top"/>
          </w:tcPr>
          <w:p>
            <w:r/>
            <w:r>
              <w:rPr>
                <w:rFonts w:ascii="Aptos" w:hAnsi="Aptos"/>
                <w:b w:val="0"/>
                <w:sz w:val="12"/>
              </w:rPr>
              <w:t>D6</w:t>
            </w:r>
          </w:p>
        </w:tc>
        <w:tc>
          <w:tcPr>
            <w:tcW w:type="dxa" w:w="2556"/>
            <w:vAlign w:val="top"/>
          </w:tcPr>
          <w:p>
            <w:r/>
            <w:r>
              <w:rPr>
                <w:rFonts w:ascii="Aptos" w:hAnsi="Aptos"/>
                <w:b w:val="0"/>
                <w:sz w:val="12"/>
              </w:rPr>
              <w:t>Schema checks; source-reference checks; clinician review; duplication detection.</w:t>
            </w:r>
          </w:p>
        </w:tc>
        <w:tc>
          <w:tcPr>
            <w:tcW w:type="dxa" w:w="2556"/>
            <w:vAlign w:val="top"/>
          </w:tcPr>
          <w:p>
            <w:r/>
            <w:r>
              <w:rPr>
                <w:rFonts w:ascii="Aptos" w:hAnsi="Aptos"/>
                <w:b w:val="0"/>
                <w:sz w:val="12"/>
              </w:rPr>
              <w:t>Generated scenarios may be implausible, repetitive or encode model hallucinations/bias.</w:t>
            </w:r>
          </w:p>
        </w:tc>
        <w:tc>
          <w:tcPr>
            <w:tcW w:type="dxa" w:w="2556"/>
            <w:vAlign w:val="top"/>
          </w:tcPr>
          <w:p>
            <w:r/>
            <w:r>
              <w:rPr>
                <w:rFonts w:ascii="Aptos" w:hAnsi="Aptos"/>
                <w:b w:val="0"/>
                <w:sz w:val="12"/>
              </w:rPr>
              <w:t>Never accept generated vignette as authoritative without clinical review; retain generation metadata; diversity/coverage checks.</w:t>
            </w:r>
          </w:p>
        </w:tc>
      </w:tr>
      <w:tr>
        <w:tc>
          <w:tcPr>
            <w:tcW w:type="dxa" w:w="2556"/>
            <w:vAlign w:val="top"/>
          </w:tcPr>
          <w:p>
            <w:r/>
            <w:r>
              <w:rPr>
                <w:rFonts w:ascii="Aptos" w:hAnsi="Aptos"/>
                <w:b w:val="0"/>
                <w:sz w:val="12"/>
              </w:rPr>
              <w:t>D7</w:t>
            </w:r>
          </w:p>
        </w:tc>
        <w:tc>
          <w:tcPr>
            <w:tcW w:type="dxa" w:w="2556"/>
            <w:vAlign w:val="top"/>
          </w:tcPr>
          <w:p>
            <w:r/>
            <w:r>
              <w:rPr>
                <w:rFonts w:ascii="Aptos" w:hAnsi="Aptos"/>
                <w:b w:val="0"/>
                <w:sz w:val="12"/>
              </w:rPr>
              <w:t>API schema validation; value-set validation; required-field checks; contradiction handling; plausibility rules.</w:t>
            </w:r>
          </w:p>
        </w:tc>
        <w:tc>
          <w:tcPr>
            <w:tcW w:type="dxa" w:w="2556"/>
            <w:vAlign w:val="top"/>
          </w:tcPr>
          <w:p>
            <w:r/>
            <w:r>
              <w:rPr>
                <w:rFonts w:ascii="Aptos" w:hAnsi="Aptos"/>
                <w:b w:val="0"/>
                <w:sz w:val="12"/>
              </w:rPr>
              <w:t>Patient/user input can be incomplete, incorrect, misunderstood, contradictory or malicious.</w:t>
            </w:r>
          </w:p>
        </w:tc>
        <w:tc>
          <w:tcPr>
            <w:tcW w:type="dxa" w:w="2556"/>
            <w:vAlign w:val="top"/>
          </w:tcPr>
          <w:p>
            <w:r/>
            <w:r>
              <w:rPr>
                <w:rFonts w:ascii="Aptos" w:hAnsi="Aptos"/>
                <w:b w:val="0"/>
                <w:sz w:val="12"/>
              </w:rPr>
              <w:t>Adaptive questioning; validation; safe handling of uncertainty; contradiction checks; conservative escalation rules.</w:t>
            </w:r>
          </w:p>
        </w:tc>
      </w:tr>
      <w:tr>
        <w:tc>
          <w:tcPr>
            <w:tcW w:type="dxa" w:w="2556"/>
            <w:vAlign w:val="top"/>
          </w:tcPr>
          <w:p>
            <w:r/>
            <w:r>
              <w:rPr>
                <w:rFonts w:ascii="Aptos" w:hAnsi="Aptos"/>
                <w:b w:val="0"/>
                <w:sz w:val="12"/>
              </w:rPr>
              <w:t>D8</w:t>
            </w:r>
          </w:p>
        </w:tc>
        <w:tc>
          <w:tcPr>
            <w:tcW w:type="dxa" w:w="2556"/>
            <w:vAlign w:val="top"/>
          </w:tcPr>
          <w:p>
            <w:r/>
            <w:r>
              <w:rPr>
                <w:rFonts w:ascii="Aptos" w:hAnsi="Aptos"/>
                <w:b w:val="0"/>
                <w:sz w:val="12"/>
              </w:rPr>
              <w:t>Output schema validation; model/config version capture; consistency checks; end-to-end regression.</w:t>
            </w:r>
          </w:p>
        </w:tc>
        <w:tc>
          <w:tcPr>
            <w:tcW w:type="dxa" w:w="2556"/>
            <w:vAlign w:val="top"/>
          </w:tcPr>
          <w:p>
            <w:r/>
            <w:r>
              <w:rPr>
                <w:rFonts w:ascii="Aptos" w:hAnsi="Aptos"/>
                <w:b w:val="0"/>
                <w:sz w:val="12"/>
              </w:rPr>
              <w:t>An inference can be technically valid but clinically inappropriate if model/state/configuration is wrong.</w:t>
            </w:r>
          </w:p>
        </w:tc>
        <w:tc>
          <w:tcPr>
            <w:tcW w:type="dxa" w:w="2556"/>
            <w:vAlign w:val="top"/>
          </w:tcPr>
          <w:p>
            <w:r/>
            <w:r>
              <w:rPr>
                <w:rFonts w:ascii="Aptos" w:hAnsi="Aptos"/>
                <w:b w:val="0"/>
                <w:sz w:val="12"/>
              </w:rPr>
              <w:t>Clinical acceptance criteria; safety policies; versioned model/config; outcome regression; monitoring.</w:t>
            </w:r>
          </w:p>
        </w:tc>
      </w:tr>
      <w:tr>
        <w:tc>
          <w:tcPr>
            <w:tcW w:type="dxa" w:w="2556"/>
            <w:vAlign w:val="top"/>
          </w:tcPr>
          <w:p>
            <w:r/>
            <w:r>
              <w:rPr>
                <w:rFonts w:ascii="Aptos" w:hAnsi="Aptos"/>
                <w:b w:val="0"/>
                <w:sz w:val="12"/>
              </w:rPr>
              <w:t>D9</w:t>
            </w:r>
          </w:p>
        </w:tc>
        <w:tc>
          <w:tcPr>
            <w:tcW w:type="dxa" w:w="2556"/>
            <w:vAlign w:val="top"/>
          </w:tcPr>
          <w:p>
            <w:r/>
            <w:r>
              <w:rPr>
                <w:rFonts w:ascii="Aptos" w:hAnsi="Aptos"/>
                <w:b w:val="0"/>
                <w:sz w:val="12"/>
              </w:rPr>
              <w:t>Artifact integrity/hash/version checks; structural BN validation; CPT completeness/normalisation; approval-state checks.</w:t>
            </w:r>
          </w:p>
        </w:tc>
        <w:tc>
          <w:tcPr>
            <w:tcW w:type="dxa" w:w="2556"/>
            <w:vAlign w:val="top"/>
          </w:tcPr>
          <w:p>
            <w:r/>
            <w:r>
              <w:rPr>
                <w:rFonts w:ascii="Aptos" w:hAnsi="Aptos"/>
                <w:b w:val="0"/>
                <w:sz w:val="12"/>
              </w:rPr>
              <w:t>Incorrect edges/CPTs, incomplete models, stale configuration or accidental use of unapproved versions.</w:t>
            </w:r>
          </w:p>
        </w:tc>
        <w:tc>
          <w:tcPr>
            <w:tcW w:type="dxa" w:w="2556"/>
            <w:vAlign w:val="top"/>
          </w:tcPr>
          <w:p>
            <w:r/>
            <w:r>
              <w:rPr>
                <w:rFonts w:ascii="Aptos" w:hAnsi="Aptos"/>
                <w:b w:val="0"/>
                <w:sz w:val="12"/>
              </w:rPr>
              <w:t>Automated structural checks; clinical review; immutable/versioned releases; deployment gate.</w:t>
            </w:r>
          </w:p>
        </w:tc>
      </w:tr>
      <w:tr>
        <w:tc>
          <w:tcPr>
            <w:tcW w:type="dxa" w:w="2556"/>
            <w:vAlign w:val="top"/>
          </w:tcPr>
          <w:p>
            <w:r/>
            <w:r>
              <w:rPr>
                <w:rFonts w:ascii="Aptos" w:hAnsi="Aptos"/>
                <w:b w:val="0"/>
                <w:sz w:val="12"/>
              </w:rPr>
              <w:t>D10</w:t>
            </w:r>
          </w:p>
        </w:tc>
        <w:tc>
          <w:tcPr>
            <w:tcW w:type="dxa" w:w="2556"/>
            <w:vAlign w:val="top"/>
          </w:tcPr>
          <w:p>
            <w:r/>
            <w:r>
              <w:rPr>
                <w:rFonts w:ascii="Aptos" w:hAnsi="Aptos"/>
                <w:b w:val="0"/>
                <w:sz w:val="12"/>
              </w:rPr>
              <w:t>Input-source provenance; output review; model/version logging; sampling of generated output quality.</w:t>
            </w:r>
          </w:p>
        </w:tc>
        <w:tc>
          <w:tcPr>
            <w:tcW w:type="dxa" w:w="2556"/>
            <w:vAlign w:val="top"/>
          </w:tcPr>
          <w:p>
            <w:r/>
            <w:r>
              <w:rPr>
                <w:rFonts w:ascii="Aptos" w:hAnsi="Aptos"/>
                <w:b w:val="0"/>
                <w:sz w:val="12"/>
              </w:rPr>
              <w:t>LLM hallucination, omission, source distortion or inconsistency across model versions.</w:t>
            </w:r>
          </w:p>
        </w:tc>
        <w:tc>
          <w:tcPr>
            <w:tcW w:type="dxa" w:w="2556"/>
            <w:vAlign w:val="top"/>
          </w:tcPr>
          <w:p>
            <w:r/>
            <w:r>
              <w:rPr>
                <w:rFonts w:ascii="Aptos" w:hAnsi="Aptos"/>
                <w:b w:val="0"/>
                <w:sz w:val="12"/>
              </w:rPr>
              <w:t>Human/clinical-in-the-loop; no direct runtime use; restricted prompts/data; cross-check against source.</w:t>
            </w:r>
          </w:p>
        </w:tc>
      </w:tr>
      <w:tr>
        <w:tc>
          <w:tcPr>
            <w:tcW w:type="dxa" w:w="2556"/>
            <w:vAlign w:val="top"/>
          </w:tcPr>
          <w:p>
            <w:r/>
            <w:r>
              <w:rPr>
                <w:rFonts w:ascii="Aptos" w:hAnsi="Aptos"/>
                <w:b w:val="0"/>
                <w:sz w:val="12"/>
              </w:rPr>
              <w:t>D11</w:t>
            </w:r>
          </w:p>
        </w:tc>
        <w:tc>
          <w:tcPr>
            <w:tcW w:type="dxa" w:w="2556"/>
            <w:vAlign w:val="top"/>
          </w:tcPr>
          <w:p>
            <w:r/>
            <w:r>
              <w:rPr>
                <w:rFonts w:ascii="Aptos" w:hAnsi="Aptos"/>
                <w:b w:val="0"/>
                <w:sz w:val="12"/>
              </w:rPr>
              <w:t>Reproducible evaluation runs; fixed test versions; metric validation; audit trail.</w:t>
            </w:r>
          </w:p>
        </w:tc>
        <w:tc>
          <w:tcPr>
            <w:tcW w:type="dxa" w:w="2556"/>
            <w:vAlign w:val="top"/>
          </w:tcPr>
          <w:p>
            <w:r/>
            <w:r>
              <w:rPr>
                <w:rFonts w:ascii="Aptos" w:hAnsi="Aptos"/>
                <w:b w:val="0"/>
                <w:sz w:val="12"/>
              </w:rPr>
              <w:t>Test-set leakage, unrepresentative vignettes, metric selection bias, non-reproducible runs.</w:t>
            </w:r>
          </w:p>
        </w:tc>
        <w:tc>
          <w:tcPr>
            <w:tcW w:type="dxa" w:w="2556"/>
            <w:vAlign w:val="top"/>
          </w:tcPr>
          <w:p>
            <w:r/>
            <w:r>
              <w:rPr>
                <w:rFonts w:ascii="Aptos" w:hAnsi="Aptos"/>
                <w:b w:val="0"/>
                <w:sz w:val="12"/>
              </w:rPr>
              <w:t>Versioned datasets; locked holdout/regression sets; QA review; multiple safety/performance metrics.</w:t>
            </w:r>
          </w:p>
        </w:tc>
      </w:tr>
      <w:tr>
        <w:tc>
          <w:tcPr>
            <w:tcW w:type="dxa" w:w="2556"/>
            <w:vAlign w:val="top"/>
          </w:tcPr>
          <w:p>
            <w:r/>
            <w:r>
              <w:rPr>
                <w:rFonts w:ascii="Aptos" w:hAnsi="Aptos"/>
                <w:b w:val="0"/>
                <w:sz w:val="12"/>
              </w:rPr>
              <w:t>D12</w:t>
            </w:r>
          </w:p>
        </w:tc>
        <w:tc>
          <w:tcPr>
            <w:tcW w:type="dxa" w:w="2556"/>
            <w:vAlign w:val="top"/>
          </w:tcPr>
          <w:p>
            <w:r/>
            <w:r>
              <w:rPr>
                <w:rFonts w:ascii="Aptos" w:hAnsi="Aptos"/>
                <w:b w:val="0"/>
                <w:sz w:val="12"/>
              </w:rPr>
              <w:t>Log completeness, timestamp consistency, identifier correlation, integrity monitoring.</w:t>
            </w:r>
          </w:p>
        </w:tc>
        <w:tc>
          <w:tcPr>
            <w:tcW w:type="dxa" w:w="2556"/>
            <w:vAlign w:val="top"/>
          </w:tcPr>
          <w:p>
            <w:r/>
            <w:r>
              <w:rPr>
                <w:rFonts w:ascii="Aptos" w:hAnsi="Aptos"/>
                <w:b w:val="0"/>
                <w:sz w:val="12"/>
              </w:rPr>
              <w:t>Over-logging of sensitive data or insufficient detail for reconstruction.</w:t>
            </w:r>
          </w:p>
        </w:tc>
        <w:tc>
          <w:tcPr>
            <w:tcW w:type="dxa" w:w="2556"/>
            <w:vAlign w:val="top"/>
          </w:tcPr>
          <w:p>
            <w:r/>
            <w:r>
              <w:rPr>
                <w:rFonts w:ascii="Aptos" w:hAnsi="Aptos"/>
                <w:b w:val="0"/>
                <w:sz w:val="12"/>
              </w:rPr>
              <w:t>Data minimisation; defined logging schema; access controls; reconstruction tests; retention review.</w:t>
            </w:r>
          </w:p>
        </w:tc>
      </w:tr>
    </w:tbl>
    <w:p/>
    <w:p>
      <w:pPr>
        <w:pStyle w:val="Heading2"/>
      </w:pPr>
      <w:r>
        <w:t>5.1 Data Preparation (A.7.6)</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2"/>
              </w:rPr>
              <w:t>Preparation activity</w:t>
            </w:r>
          </w:p>
        </w:tc>
        <w:tc>
          <w:tcPr>
            <w:tcW w:type="dxa" w:w="2045"/>
            <w:vAlign w:val="top"/>
            <w:shd w:fill="D9EAD3"/>
          </w:tcPr>
          <w:p>
            <w:r/>
            <w:r>
              <w:rPr>
                <w:rFonts w:ascii="Aptos" w:hAnsi="Aptos"/>
                <w:b/>
                <w:sz w:val="12"/>
              </w:rPr>
              <w:t>Applied?</w:t>
            </w:r>
          </w:p>
        </w:tc>
        <w:tc>
          <w:tcPr>
            <w:tcW w:type="dxa" w:w="2045"/>
            <w:vAlign w:val="top"/>
            <w:shd w:fill="D9EAD3"/>
          </w:tcPr>
          <w:p>
            <w:r/>
            <w:r>
              <w:rPr>
                <w:rFonts w:ascii="Aptos" w:hAnsi="Aptos"/>
                <w:b/>
                <w:sz w:val="12"/>
              </w:rPr>
              <w:t>Tooling / method</w:t>
            </w:r>
          </w:p>
        </w:tc>
        <w:tc>
          <w:tcPr>
            <w:tcW w:type="dxa" w:w="2045"/>
            <w:vAlign w:val="top"/>
            <w:shd w:fill="D9EAD3"/>
          </w:tcPr>
          <w:p>
            <w:r/>
            <w:r>
              <w:rPr>
                <w:rFonts w:ascii="Aptos" w:hAnsi="Aptos"/>
                <w:b/>
                <w:sz w:val="12"/>
              </w:rPr>
              <w:t>Owner</w:t>
            </w:r>
          </w:p>
        </w:tc>
        <w:tc>
          <w:tcPr>
            <w:tcW w:type="dxa" w:w="2045"/>
            <w:vAlign w:val="top"/>
            <w:shd w:fill="D9EAD3"/>
          </w:tcPr>
          <w:p>
            <w:r/>
            <w:r>
              <w:rPr>
                <w:rFonts w:ascii="Aptos" w:hAnsi="Aptos"/>
                <w:b/>
                <w:sz w:val="12"/>
              </w:rPr>
              <w:t>Reproducibility evidence</w:t>
            </w:r>
          </w:p>
        </w:tc>
      </w:tr>
      <w:tr>
        <w:tc>
          <w:tcPr>
            <w:tcW w:type="dxa" w:w="2045"/>
            <w:vAlign w:val="top"/>
          </w:tcPr>
          <w:p>
            <w:r/>
            <w:r>
              <w:rPr>
                <w:rFonts w:ascii="Aptos" w:hAnsi="Aptos"/>
                <w:b w:val="0"/>
                <w:sz w:val="12"/>
              </w:rPr>
              <w:t>Cleaning (deduplication, null handling, outlier removal)</w:t>
            </w:r>
          </w:p>
        </w:tc>
        <w:tc>
          <w:tcPr>
            <w:tcW w:type="dxa" w:w="2045"/>
            <w:vAlign w:val="top"/>
          </w:tcPr>
          <w:p>
            <w:r/>
            <w:r>
              <w:rPr>
                <w:rFonts w:ascii="Aptos" w:hAnsi="Aptos"/>
                <w:b w:val="0"/>
                <w:sz w:val="12"/>
              </w:rPr>
              <w:t>Y for analytical/evaluation datasets; N/A for some authoritative content sources</w:t>
            </w:r>
          </w:p>
        </w:tc>
        <w:tc>
          <w:tcPr>
            <w:tcW w:type="dxa" w:w="2045"/>
            <w:vAlign w:val="top"/>
          </w:tcPr>
          <w:p>
            <w:r/>
            <w:r>
              <w:rPr>
                <w:rFonts w:ascii="Aptos" w:hAnsi="Aptos"/>
                <w:b w:val="0"/>
                <w:sz w:val="12"/>
              </w:rPr>
              <w:t>Version-controlled ETL/data-quality pipeline; exact tools/scripts per dataset</w:t>
            </w:r>
          </w:p>
        </w:tc>
        <w:tc>
          <w:tcPr>
            <w:tcW w:type="dxa" w:w="2045"/>
            <w:vAlign w:val="top"/>
          </w:tcPr>
          <w:p>
            <w:r/>
            <w:r>
              <w:rPr>
                <w:rFonts w:ascii="Aptos" w:hAnsi="Aptos"/>
                <w:b w:val="0"/>
                <w:sz w:val="12"/>
              </w:rPr>
              <w:t>Data Engineering / Data Science</w:t>
            </w:r>
          </w:p>
        </w:tc>
        <w:tc>
          <w:tcPr>
            <w:tcW w:type="dxa" w:w="2045"/>
            <w:vAlign w:val="top"/>
          </w:tcPr>
          <w:p>
            <w:r/>
            <w:r>
              <w:rPr>
                <w:rFonts w:ascii="Aptos" w:hAnsi="Aptos"/>
                <w:b w:val="0"/>
                <w:sz w:val="12"/>
              </w:rPr>
              <w:t>Versioned pipeline code, data-quality report, dataset manifest [TBC refs].</w:t>
            </w:r>
          </w:p>
        </w:tc>
      </w:tr>
      <w:tr>
        <w:tc>
          <w:tcPr>
            <w:tcW w:type="dxa" w:w="2045"/>
            <w:vAlign w:val="top"/>
          </w:tcPr>
          <w:p>
            <w:r/>
            <w:r>
              <w:rPr>
                <w:rFonts w:ascii="Aptos" w:hAnsi="Aptos"/>
                <w:b w:val="0"/>
                <w:sz w:val="12"/>
              </w:rPr>
              <w:t>Labelling (manual, programmatic, weak supervision)</w:t>
            </w:r>
          </w:p>
        </w:tc>
        <w:tc>
          <w:tcPr>
            <w:tcW w:type="dxa" w:w="2045"/>
            <w:vAlign w:val="top"/>
          </w:tcPr>
          <w:p>
            <w:r/>
            <w:r>
              <w:rPr>
                <w:rFonts w:ascii="Aptos" w:hAnsi="Aptos"/>
                <w:b w:val="0"/>
                <w:sz w:val="12"/>
              </w:rPr>
              <w:t>Y where vignettes/outcomes/model variables require labels</w:t>
            </w:r>
          </w:p>
        </w:tc>
        <w:tc>
          <w:tcPr>
            <w:tcW w:type="dxa" w:w="2045"/>
            <w:vAlign w:val="top"/>
          </w:tcPr>
          <w:p>
            <w:r/>
            <w:r>
              <w:rPr>
                <w:rFonts w:ascii="Aptos" w:hAnsi="Aptos"/>
                <w:b w:val="0"/>
                <w:sz w:val="12"/>
              </w:rPr>
              <w:t>Clinician authoring/review, approved label schema, programmatic mapping where appropriate</w:t>
            </w:r>
          </w:p>
        </w:tc>
        <w:tc>
          <w:tcPr>
            <w:tcW w:type="dxa" w:w="2045"/>
            <w:vAlign w:val="top"/>
          </w:tcPr>
          <w:p>
            <w:r/>
            <w:r>
              <w:rPr>
                <w:rFonts w:ascii="Aptos" w:hAnsi="Aptos"/>
                <w:b w:val="0"/>
                <w:sz w:val="12"/>
              </w:rPr>
              <w:t>Clinical / Data Science</w:t>
            </w:r>
          </w:p>
        </w:tc>
        <w:tc>
          <w:tcPr>
            <w:tcW w:type="dxa" w:w="2045"/>
            <w:vAlign w:val="top"/>
          </w:tcPr>
          <w:p>
            <w:r/>
            <w:r>
              <w:rPr>
                <w:rFonts w:ascii="Aptos" w:hAnsi="Aptos"/>
                <w:b w:val="0"/>
                <w:sz w:val="12"/>
              </w:rPr>
              <w:t>Label schema, review/sign-off record, inter-reviewer checks for critical labels [TBC].</w:t>
            </w:r>
          </w:p>
        </w:tc>
      </w:tr>
      <w:tr>
        <w:tc>
          <w:tcPr>
            <w:tcW w:type="dxa" w:w="2045"/>
            <w:vAlign w:val="top"/>
          </w:tcPr>
          <w:p>
            <w:r/>
            <w:r>
              <w:rPr>
                <w:rFonts w:ascii="Aptos" w:hAnsi="Aptos"/>
                <w:b w:val="0"/>
                <w:sz w:val="12"/>
              </w:rPr>
              <w:t>Augmentation (synthetic data, back-translation, oversampling)</w:t>
            </w:r>
          </w:p>
        </w:tc>
        <w:tc>
          <w:tcPr>
            <w:tcW w:type="dxa" w:w="2045"/>
            <w:vAlign w:val="top"/>
          </w:tcPr>
          <w:p>
            <w:r/>
            <w:r>
              <w:rPr>
                <w:rFonts w:ascii="Aptos" w:hAnsi="Aptos"/>
                <w:b w:val="0"/>
                <w:sz w:val="12"/>
              </w:rPr>
              <w:t>Y for synthetic vignette generation where approved; otherwise N/A</w:t>
            </w:r>
          </w:p>
        </w:tc>
        <w:tc>
          <w:tcPr>
            <w:tcW w:type="dxa" w:w="2045"/>
            <w:vAlign w:val="top"/>
          </w:tcPr>
          <w:p>
            <w:r/>
            <w:r>
              <w:rPr>
                <w:rFonts w:ascii="Aptos" w:hAnsi="Aptos"/>
                <w:b w:val="0"/>
                <w:sz w:val="12"/>
              </w:rPr>
              <w:t>Controlled vignette generator / approved LLM-assisted process; no uncontrolled augmentation of runtime data</w:t>
            </w:r>
          </w:p>
        </w:tc>
        <w:tc>
          <w:tcPr>
            <w:tcW w:type="dxa" w:w="2045"/>
            <w:vAlign w:val="top"/>
          </w:tcPr>
          <w:p>
            <w:r/>
            <w:r>
              <w:rPr>
                <w:rFonts w:ascii="Aptos" w:hAnsi="Aptos"/>
                <w:b w:val="0"/>
                <w:sz w:val="12"/>
              </w:rPr>
              <w:t>Clinical / Data Science / AI Engineering</w:t>
            </w:r>
          </w:p>
        </w:tc>
        <w:tc>
          <w:tcPr>
            <w:tcW w:type="dxa" w:w="2045"/>
            <w:vAlign w:val="top"/>
          </w:tcPr>
          <w:p>
            <w:r/>
            <w:r>
              <w:rPr>
                <w:rFonts w:ascii="Aptos" w:hAnsi="Aptos"/>
                <w:b w:val="0"/>
                <w:sz w:val="12"/>
              </w:rPr>
              <w:t>Generation configuration, source references, model/version, clinical approval record.</w:t>
            </w:r>
          </w:p>
        </w:tc>
      </w:tr>
      <w:tr>
        <w:tc>
          <w:tcPr>
            <w:tcW w:type="dxa" w:w="2045"/>
            <w:vAlign w:val="top"/>
          </w:tcPr>
          <w:p>
            <w:r/>
            <w:r>
              <w:rPr>
                <w:rFonts w:ascii="Aptos" w:hAnsi="Aptos"/>
                <w:b w:val="0"/>
                <w:sz w:val="12"/>
              </w:rPr>
              <w:t>Transformation (tokenisation, embedding, normalisation, feature engineering)</w:t>
            </w:r>
          </w:p>
        </w:tc>
        <w:tc>
          <w:tcPr>
            <w:tcW w:type="dxa" w:w="2045"/>
            <w:vAlign w:val="top"/>
          </w:tcPr>
          <w:p>
            <w:r/>
            <w:r>
              <w:rPr>
                <w:rFonts w:ascii="Aptos" w:hAnsi="Aptos"/>
                <w:b w:val="0"/>
                <w:sz w:val="12"/>
              </w:rPr>
              <w:t>Y for model/data preparation; tokenisation/embedding may be N/A for BN runtime</w:t>
            </w:r>
          </w:p>
        </w:tc>
        <w:tc>
          <w:tcPr>
            <w:tcW w:type="dxa" w:w="2045"/>
            <w:vAlign w:val="top"/>
          </w:tcPr>
          <w:p>
            <w:r/>
            <w:r>
              <w:rPr>
                <w:rFonts w:ascii="Aptos" w:hAnsi="Aptos"/>
                <w:b w:val="0"/>
                <w:sz w:val="12"/>
              </w:rPr>
              <w:t>Ontology mapping, terminology normalisation, feature derivation, BN variable/state transformation</w:t>
            </w:r>
          </w:p>
        </w:tc>
        <w:tc>
          <w:tcPr>
            <w:tcW w:type="dxa" w:w="2045"/>
            <w:vAlign w:val="top"/>
          </w:tcPr>
          <w:p>
            <w:r/>
            <w:r>
              <w:rPr>
                <w:rFonts w:ascii="Aptos" w:hAnsi="Aptos"/>
                <w:b w:val="0"/>
                <w:sz w:val="12"/>
              </w:rPr>
              <w:t>Data Engineering / Data Science</w:t>
            </w:r>
          </w:p>
        </w:tc>
        <w:tc>
          <w:tcPr>
            <w:tcW w:type="dxa" w:w="2045"/>
            <w:vAlign w:val="top"/>
          </w:tcPr>
          <w:p>
            <w:r/>
            <w:r>
              <w:rPr>
                <w:rFonts w:ascii="Aptos" w:hAnsi="Aptos"/>
                <w:b w:val="0"/>
                <w:sz w:val="12"/>
              </w:rPr>
              <w:t>Versioned pipeline definition, mapping tables, artifact/version manifests.</w:t>
            </w:r>
          </w:p>
        </w:tc>
      </w:tr>
      <w:tr>
        <w:tc>
          <w:tcPr>
            <w:tcW w:type="dxa" w:w="2045"/>
            <w:vAlign w:val="top"/>
          </w:tcPr>
          <w:p>
            <w:r/>
            <w:r>
              <w:rPr>
                <w:rFonts w:ascii="Aptos" w:hAnsi="Aptos"/>
                <w:b w:val="0"/>
                <w:sz w:val="12"/>
              </w:rPr>
              <w:t>Splitting (train / validation / test; stratification)</w:t>
            </w:r>
          </w:p>
        </w:tc>
        <w:tc>
          <w:tcPr>
            <w:tcW w:type="dxa" w:w="2045"/>
            <w:vAlign w:val="top"/>
          </w:tcPr>
          <w:p>
            <w:r/>
            <w:r>
              <w:rPr>
                <w:rFonts w:ascii="Aptos" w:hAnsi="Aptos"/>
                <w:b w:val="0"/>
                <w:sz w:val="12"/>
              </w:rPr>
              <w:t>Y where empirical datasets are used for estimation/evaluation; N/A to purely source-content extraction</w:t>
            </w:r>
          </w:p>
        </w:tc>
        <w:tc>
          <w:tcPr>
            <w:tcW w:type="dxa" w:w="2045"/>
            <w:vAlign w:val="top"/>
          </w:tcPr>
          <w:p>
            <w:r/>
            <w:r>
              <w:rPr>
                <w:rFonts w:ascii="Aptos" w:hAnsi="Aptos"/>
                <w:b w:val="0"/>
                <w:sz w:val="12"/>
              </w:rPr>
              <w:t>Controlled split with stratification appropriate to clinical outcomes/subgroups</w:t>
            </w:r>
          </w:p>
        </w:tc>
        <w:tc>
          <w:tcPr>
            <w:tcW w:type="dxa" w:w="2045"/>
            <w:vAlign w:val="top"/>
          </w:tcPr>
          <w:p>
            <w:r/>
            <w:r>
              <w:rPr>
                <w:rFonts w:ascii="Aptos" w:hAnsi="Aptos"/>
                <w:b w:val="0"/>
                <w:sz w:val="12"/>
              </w:rPr>
              <w:t>Data Science / QA</w:t>
            </w:r>
          </w:p>
        </w:tc>
        <w:tc>
          <w:tcPr>
            <w:tcW w:type="dxa" w:w="2045"/>
            <w:vAlign w:val="top"/>
          </w:tcPr>
          <w:p>
            <w:r/>
            <w:r>
              <w:rPr>
                <w:rFonts w:ascii="Aptos" w:hAnsi="Aptos"/>
                <w:b w:val="0"/>
                <w:sz w:val="12"/>
              </w:rPr>
              <w:t>Fixed split manifest, seed/version, held-out evaluation set [TBC exact ratios].</w:t>
            </w:r>
          </w:p>
        </w:tc>
      </w:tr>
      <w:tr>
        <w:tc>
          <w:tcPr>
            <w:tcW w:type="dxa" w:w="2045"/>
            <w:vAlign w:val="top"/>
          </w:tcPr>
          <w:p>
            <w:r/>
            <w:r>
              <w:rPr>
                <w:rFonts w:ascii="Aptos" w:hAnsi="Aptos"/>
                <w:b w:val="0"/>
                <w:sz w:val="12"/>
              </w:rPr>
              <w:t>Bias / fairness pre-processing (rebalancing, reweighting)</w:t>
            </w:r>
          </w:p>
        </w:tc>
        <w:tc>
          <w:tcPr>
            <w:tcW w:type="dxa" w:w="2045"/>
            <w:vAlign w:val="top"/>
          </w:tcPr>
          <w:p>
            <w:r/>
            <w:r>
              <w:rPr>
                <w:rFonts w:ascii="Aptos" w:hAnsi="Aptos"/>
                <w:b w:val="0"/>
                <w:sz w:val="12"/>
              </w:rPr>
              <w:t>Potentially Y, depending on data-profile findings</w:t>
            </w:r>
          </w:p>
        </w:tc>
        <w:tc>
          <w:tcPr>
            <w:tcW w:type="dxa" w:w="2045"/>
            <w:vAlign w:val="top"/>
          </w:tcPr>
          <w:p>
            <w:r/>
            <w:r>
              <w:rPr>
                <w:rFonts w:ascii="Aptos" w:hAnsi="Aptos"/>
                <w:b w:val="0"/>
                <w:sz w:val="12"/>
              </w:rPr>
              <w:t>Rebalancing/reweighting or targeted evaluation/remediation only where justified by analysis</w:t>
            </w:r>
          </w:p>
        </w:tc>
        <w:tc>
          <w:tcPr>
            <w:tcW w:type="dxa" w:w="2045"/>
            <w:vAlign w:val="top"/>
          </w:tcPr>
          <w:p>
            <w:r/>
            <w:r>
              <w:rPr>
                <w:rFonts w:ascii="Aptos" w:hAnsi="Aptos"/>
                <w:b w:val="0"/>
                <w:sz w:val="12"/>
              </w:rPr>
              <w:t>Data Science / AI Ethics / Clinical</w:t>
            </w:r>
          </w:p>
        </w:tc>
        <w:tc>
          <w:tcPr>
            <w:tcW w:type="dxa" w:w="2045"/>
            <w:vAlign w:val="top"/>
          </w:tcPr>
          <w:p>
            <w:r/>
            <w:r>
              <w:rPr>
                <w:rFonts w:ascii="Aptos" w:hAnsi="Aptos"/>
                <w:b w:val="0"/>
                <w:sz w:val="12"/>
              </w:rPr>
              <w:t>Pre/post subgroup metrics and linked Risk &amp; Impact Assessment row.</w:t>
            </w:r>
          </w:p>
        </w:tc>
      </w:tr>
      <w:tr>
        <w:tc>
          <w:tcPr>
            <w:tcW w:type="dxa" w:w="2045"/>
            <w:vAlign w:val="top"/>
          </w:tcPr>
          <w:p>
            <w:r/>
            <w:r>
              <w:rPr>
                <w:rFonts w:ascii="Aptos" w:hAnsi="Aptos"/>
                <w:b w:val="0"/>
                <w:sz w:val="12"/>
              </w:rPr>
              <w:t>PII / sensitive-attribute handling (redaction, pseudonymisation)</w:t>
            </w:r>
          </w:p>
        </w:tc>
        <w:tc>
          <w:tcPr>
            <w:tcW w:type="dxa" w:w="2045"/>
            <w:vAlign w:val="top"/>
          </w:tcPr>
          <w:p>
            <w:r/>
            <w:r>
              <w:rPr>
                <w:rFonts w:ascii="Aptos" w:hAnsi="Aptos"/>
                <w:b w:val="0"/>
                <w:sz w:val="12"/>
              </w:rPr>
              <w:t>Y for personal/special-category datasets; N/A for synthetic/public reference sources</w:t>
            </w:r>
          </w:p>
        </w:tc>
        <w:tc>
          <w:tcPr>
            <w:tcW w:type="dxa" w:w="2045"/>
            <w:vAlign w:val="top"/>
          </w:tcPr>
          <w:p>
            <w:r/>
            <w:r>
              <w:rPr>
                <w:rFonts w:ascii="Aptos" w:hAnsi="Aptos"/>
                <w:b w:val="0"/>
                <w:sz w:val="12"/>
              </w:rPr>
              <w:t>Data minimisation, de-identification/pseudonymisation, controlled identifiers, no PII in current Bedrock use cases</w:t>
            </w:r>
          </w:p>
        </w:tc>
        <w:tc>
          <w:tcPr>
            <w:tcW w:type="dxa" w:w="2045"/>
            <w:vAlign w:val="top"/>
          </w:tcPr>
          <w:p>
            <w:r/>
            <w:r>
              <w:rPr>
                <w:rFonts w:ascii="Aptos" w:hAnsi="Aptos"/>
                <w:b w:val="0"/>
                <w:sz w:val="12"/>
              </w:rPr>
              <w:t>Data Engineering / IG / Security</w:t>
            </w:r>
          </w:p>
        </w:tc>
        <w:tc>
          <w:tcPr>
            <w:tcW w:type="dxa" w:w="2045"/>
            <w:vAlign w:val="top"/>
          </w:tcPr>
          <w:p>
            <w:r/>
            <w:r>
              <w:rPr>
                <w:rFonts w:ascii="Aptos" w:hAnsi="Aptos"/>
                <w:b w:val="0"/>
                <w:sz w:val="12"/>
              </w:rPr>
              <w:t>Attribute inventory, DPIA/DMR rules, de-identification procedure, validation evidence [TBC refs].</w:t>
            </w:r>
          </w:p>
        </w:tc>
      </w:tr>
    </w:tbl>
    <w:p/>
    <w:p>
      <w:pPr>
        <w:pStyle w:val="Heading1"/>
      </w:pPr>
      <w:r>
        <w:t>6. Handling Rules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top"/>
            <w:shd w:fill="D9EAD3"/>
          </w:tcPr>
          <w:p>
            <w:r/>
            <w:r>
              <w:rPr>
                <w:rFonts w:ascii="Aptos" w:hAnsi="Aptos"/>
                <w:b/>
                <w:sz w:val="11"/>
              </w:rPr>
              <w:t>Ref</w:t>
            </w:r>
          </w:p>
        </w:tc>
        <w:tc>
          <w:tcPr>
            <w:tcW w:type="dxa" w:w="1704"/>
            <w:vAlign w:val="top"/>
            <w:shd w:fill="D9EAD3"/>
          </w:tcPr>
          <w:p>
            <w:r/>
            <w:r>
              <w:rPr>
                <w:rFonts w:ascii="Aptos" w:hAnsi="Aptos"/>
                <w:b/>
                <w:sz w:val="11"/>
              </w:rPr>
              <w:t>Lawful basis (if personal)</w:t>
            </w:r>
          </w:p>
        </w:tc>
        <w:tc>
          <w:tcPr>
            <w:tcW w:type="dxa" w:w="1704"/>
            <w:vAlign w:val="top"/>
            <w:shd w:fill="D9EAD3"/>
          </w:tcPr>
          <w:p>
            <w:r/>
            <w:r>
              <w:rPr>
                <w:rFonts w:ascii="Aptos" w:hAnsi="Aptos"/>
                <w:b/>
                <w:sz w:val="11"/>
              </w:rPr>
              <w:t>Storage location / region</w:t>
            </w:r>
          </w:p>
        </w:tc>
        <w:tc>
          <w:tcPr>
            <w:tcW w:type="dxa" w:w="1704"/>
            <w:vAlign w:val="top"/>
            <w:shd w:fill="D9EAD3"/>
          </w:tcPr>
          <w:p>
            <w:r/>
            <w:r>
              <w:rPr>
                <w:rFonts w:ascii="Aptos" w:hAnsi="Aptos"/>
                <w:b/>
                <w:sz w:val="11"/>
              </w:rPr>
              <w:t>Encryption at rest / in transit</w:t>
            </w:r>
          </w:p>
        </w:tc>
        <w:tc>
          <w:tcPr>
            <w:tcW w:type="dxa" w:w="1704"/>
            <w:vAlign w:val="top"/>
            <w:shd w:fill="D9EAD3"/>
          </w:tcPr>
          <w:p>
            <w:r/>
            <w:r>
              <w:rPr>
                <w:rFonts w:ascii="Aptos" w:hAnsi="Aptos"/>
                <w:b/>
                <w:sz w:val="11"/>
              </w:rPr>
              <w:t>Retention period</w:t>
            </w:r>
          </w:p>
        </w:tc>
        <w:tc>
          <w:tcPr>
            <w:tcW w:type="dxa" w:w="1704"/>
            <w:vAlign w:val="top"/>
            <w:shd w:fill="D9EAD3"/>
          </w:tcPr>
          <w:p>
            <w:r/>
            <w:r>
              <w:rPr>
                <w:rFonts w:ascii="Aptos" w:hAnsi="Aptos"/>
                <w:b/>
                <w:sz w:val="11"/>
              </w:rPr>
              <w:t>Access control</w:t>
            </w:r>
          </w:p>
        </w:tc>
      </w:tr>
      <w:tr>
        <w:tc>
          <w:tcPr>
            <w:tcW w:type="dxa" w:w="1704"/>
            <w:vAlign w:val="top"/>
          </w:tcPr>
          <w:p>
            <w:r/>
            <w:r>
              <w:rPr>
                <w:rFonts w:ascii="Aptos" w:hAnsi="Aptos"/>
                <w:b w:val="0"/>
                <w:sz w:val="11"/>
              </w:rPr>
              <w:t>D1</w:t>
            </w:r>
          </w:p>
        </w:tc>
        <w:tc>
          <w:tcPr>
            <w:tcW w:type="dxa" w:w="1704"/>
            <w:vAlign w:val="top"/>
          </w:tcPr>
          <w:p>
            <w:r/>
            <w:r>
              <w:rPr>
                <w:rFonts w:ascii="Aptos" w:hAnsi="Aptos"/>
                <w:b w:val="0"/>
                <w:sz w:val="11"/>
              </w:rPr>
              <w:t>N/A if no personal data</w:t>
            </w:r>
          </w:p>
        </w:tc>
        <w:tc>
          <w:tcPr>
            <w:tcW w:type="dxa" w:w="1704"/>
            <w:vAlign w:val="top"/>
          </w:tcPr>
          <w:p>
            <w:r/>
            <w:r>
              <w:rPr>
                <w:rFonts w:ascii="Aptos" w:hAnsi="Aptos"/>
                <w:b w:val="0"/>
                <w:sz w:val="11"/>
              </w:rPr>
              <w:t>Approved NHS England AWS/project repositories, UK region</w:t>
            </w:r>
          </w:p>
        </w:tc>
        <w:tc>
          <w:tcPr>
            <w:tcW w:type="dxa" w:w="1704"/>
            <w:vAlign w:val="top"/>
          </w:tcPr>
          <w:p>
            <w:r/>
            <w:r>
              <w:rPr>
                <w:rFonts w:ascii="Aptos" w:hAnsi="Aptos"/>
                <w:b w:val="0"/>
                <w:sz w:val="11"/>
              </w:rPr>
              <w:t>Encrypted at rest and in transit using approved AWS/NHS controls</w:t>
            </w:r>
          </w:p>
        </w:tc>
        <w:tc>
          <w:tcPr>
            <w:tcW w:type="dxa" w:w="1704"/>
            <w:vAlign w:val="top"/>
          </w:tcPr>
          <w:p>
            <w:r/>
            <w:r>
              <w:rPr>
                <w:rFonts w:ascii="Aptos" w:hAnsi="Aptos"/>
                <w:b w:val="0"/>
                <w:sz w:val="11"/>
              </w:rPr>
              <w:t>[TBC - customer retention rule]</w:t>
            </w:r>
          </w:p>
        </w:tc>
        <w:tc>
          <w:tcPr>
            <w:tcW w:type="dxa" w:w="1704"/>
            <w:vAlign w:val="top"/>
          </w:tcPr>
          <w:p>
            <w:r/>
            <w:r>
              <w:rPr>
                <w:rFonts w:ascii="Aptos" w:hAnsi="Aptos"/>
                <w:b w:val="0"/>
                <w:sz w:val="11"/>
              </w:rPr>
              <w:t>Least privilege; clinical/content/model-build roles.</w:t>
            </w:r>
          </w:p>
        </w:tc>
      </w:tr>
      <w:tr>
        <w:tc>
          <w:tcPr>
            <w:tcW w:type="dxa" w:w="1704"/>
            <w:vAlign w:val="top"/>
          </w:tcPr>
          <w:p>
            <w:r/>
            <w:r>
              <w:rPr>
                <w:rFonts w:ascii="Aptos" w:hAnsi="Aptos"/>
                <w:b w:val="0"/>
                <w:sz w:val="11"/>
              </w:rPr>
              <w:t>D2</w:t>
            </w:r>
          </w:p>
        </w:tc>
        <w:tc>
          <w:tcPr>
            <w:tcW w:type="dxa" w:w="1704"/>
            <w:vAlign w:val="top"/>
          </w:tcPr>
          <w:p>
            <w:r/>
            <w:r>
              <w:rPr>
                <w:rFonts w:ascii="Aptos" w:hAnsi="Aptos"/>
                <w:b w:val="0"/>
                <w:sz w:val="11"/>
              </w:rPr>
              <w:t>N/A</w:t>
            </w:r>
          </w:p>
        </w:tc>
        <w:tc>
          <w:tcPr>
            <w:tcW w:type="dxa" w:w="1704"/>
            <w:vAlign w:val="top"/>
          </w:tcPr>
          <w:p>
            <w:r/>
            <w:r>
              <w:rPr>
                <w:rFonts w:ascii="Aptos" w:hAnsi="Aptos"/>
                <w:b w:val="0"/>
                <w:sz w:val="11"/>
              </w:rPr>
              <w:t>Approved terminology/service boundary and project caches where applicable</w:t>
            </w:r>
          </w:p>
        </w:tc>
        <w:tc>
          <w:tcPr>
            <w:tcW w:type="dxa" w:w="1704"/>
            <w:vAlign w:val="top"/>
          </w:tcPr>
          <w:p>
            <w:r/>
            <w:r>
              <w:rPr>
                <w:rFonts w:ascii="Aptos" w:hAnsi="Aptos"/>
                <w:b w:val="0"/>
                <w:sz w:val="11"/>
              </w:rPr>
              <w:t>Encrypted in transit; at rest where cached/stored</w:t>
            </w:r>
          </w:p>
        </w:tc>
        <w:tc>
          <w:tcPr>
            <w:tcW w:type="dxa" w:w="1704"/>
            <w:vAlign w:val="top"/>
          </w:tcPr>
          <w:p>
            <w:r/>
            <w:r>
              <w:rPr>
                <w:rFonts w:ascii="Aptos" w:hAnsi="Aptos"/>
                <w:b w:val="0"/>
                <w:sz w:val="11"/>
              </w:rPr>
              <w:t>[TBC based on service/cache policy]</w:t>
            </w:r>
          </w:p>
        </w:tc>
        <w:tc>
          <w:tcPr>
            <w:tcW w:type="dxa" w:w="1704"/>
            <w:vAlign w:val="top"/>
          </w:tcPr>
          <w:p>
            <w:r/>
            <w:r>
              <w:rPr>
                <w:rFonts w:ascii="Aptos" w:hAnsi="Aptos"/>
                <w:b w:val="0"/>
                <w:sz w:val="11"/>
              </w:rPr>
              <w:t>Least privilege / approved service access.</w:t>
            </w:r>
          </w:p>
        </w:tc>
      </w:tr>
      <w:tr>
        <w:tc>
          <w:tcPr>
            <w:tcW w:type="dxa" w:w="1704"/>
            <w:vAlign w:val="top"/>
          </w:tcPr>
          <w:p>
            <w:r/>
            <w:r>
              <w:rPr>
                <w:rFonts w:ascii="Aptos" w:hAnsi="Aptos"/>
                <w:b w:val="0"/>
                <w:sz w:val="11"/>
              </w:rPr>
              <w:t>D3</w:t>
            </w:r>
          </w:p>
        </w:tc>
        <w:tc>
          <w:tcPr>
            <w:tcW w:type="dxa" w:w="1704"/>
            <w:vAlign w:val="top"/>
          </w:tcPr>
          <w:p>
            <w:r/>
            <w:r>
              <w:rPr>
                <w:rFonts w:ascii="Aptos" w:hAnsi="Aptos"/>
                <w:b w:val="0"/>
                <w:sz w:val="11"/>
              </w:rPr>
              <w:t>NHS England determines Article 6/9 basis; reference DPIA</w:t>
            </w:r>
          </w:p>
        </w:tc>
        <w:tc>
          <w:tcPr>
            <w:tcW w:type="dxa" w:w="1704"/>
            <w:vAlign w:val="top"/>
          </w:tcPr>
          <w:p>
            <w:r/>
            <w:r>
              <w:rPr>
                <w:rFonts w:ascii="Aptos" w:hAnsi="Aptos"/>
                <w:b w:val="0"/>
                <w:sz w:val="11"/>
              </w:rPr>
              <w:t>Approved NHS England analytics/AWS environment, UK region</w:t>
            </w:r>
          </w:p>
        </w:tc>
        <w:tc>
          <w:tcPr>
            <w:tcW w:type="dxa" w:w="1704"/>
            <w:vAlign w:val="top"/>
          </w:tcPr>
          <w:p>
            <w:r/>
            <w:r>
              <w:rPr>
                <w:rFonts w:ascii="Aptos" w:hAnsi="Aptos"/>
                <w:b w:val="0"/>
                <w:sz w:val="11"/>
              </w:rPr>
              <w:t>Encrypted at rest and in transit</w:t>
            </w:r>
          </w:p>
        </w:tc>
        <w:tc>
          <w:tcPr>
            <w:tcW w:type="dxa" w:w="1704"/>
            <w:vAlign w:val="top"/>
          </w:tcPr>
          <w:p>
            <w:r/>
            <w:r>
              <w:rPr>
                <w:rFonts w:ascii="Aptos" w:hAnsi="Aptos"/>
                <w:b w:val="0"/>
                <w:sz w:val="11"/>
              </w:rPr>
              <w:t>[TBC - dataset-specific retention schedule]</w:t>
            </w:r>
          </w:p>
        </w:tc>
        <w:tc>
          <w:tcPr>
            <w:tcW w:type="dxa" w:w="1704"/>
            <w:vAlign w:val="top"/>
          </w:tcPr>
          <w:p>
            <w:r/>
            <w:r>
              <w:rPr>
                <w:rFonts w:ascii="Aptos" w:hAnsi="Aptos"/>
                <w:b w:val="0"/>
                <w:sz w:val="11"/>
              </w:rPr>
              <w:t>Restricted data-engineering/data-science/clinical roles; audit logging.</w:t>
            </w:r>
          </w:p>
        </w:tc>
      </w:tr>
      <w:tr>
        <w:tc>
          <w:tcPr>
            <w:tcW w:type="dxa" w:w="1704"/>
            <w:vAlign w:val="top"/>
          </w:tcPr>
          <w:p>
            <w:r/>
            <w:r>
              <w:rPr>
                <w:rFonts w:ascii="Aptos" w:hAnsi="Aptos"/>
                <w:b w:val="0"/>
                <w:sz w:val="11"/>
              </w:rPr>
              <w:t>D4</w:t>
            </w:r>
          </w:p>
        </w:tc>
        <w:tc>
          <w:tcPr>
            <w:tcW w:type="dxa" w:w="1704"/>
            <w:vAlign w:val="top"/>
          </w:tcPr>
          <w:p>
            <w:r/>
            <w:r>
              <w:rPr>
                <w:rFonts w:ascii="Aptos" w:hAnsi="Aptos"/>
                <w:b w:val="0"/>
                <w:sz w:val="11"/>
              </w:rPr>
              <w:t>NHS England determines Article 6/9 basis; reference DPIA</w:t>
            </w:r>
          </w:p>
        </w:tc>
        <w:tc>
          <w:tcPr>
            <w:tcW w:type="dxa" w:w="1704"/>
            <w:vAlign w:val="top"/>
          </w:tcPr>
          <w:p>
            <w:r/>
            <w:r>
              <w:rPr>
                <w:rFonts w:ascii="Aptos" w:hAnsi="Aptos"/>
                <w:b w:val="0"/>
                <w:sz w:val="11"/>
              </w:rPr>
              <w:t>Approved NHS England analytics/AWS environment, UK region</w:t>
            </w:r>
          </w:p>
        </w:tc>
        <w:tc>
          <w:tcPr>
            <w:tcW w:type="dxa" w:w="1704"/>
            <w:vAlign w:val="top"/>
          </w:tcPr>
          <w:p>
            <w:r/>
            <w:r>
              <w:rPr>
                <w:rFonts w:ascii="Aptos" w:hAnsi="Aptos"/>
                <w:b w:val="0"/>
                <w:sz w:val="11"/>
              </w:rPr>
              <w:t>Encrypted at rest and in transit</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Restricted project roles; access approval/audit.</w:t>
            </w:r>
          </w:p>
        </w:tc>
      </w:tr>
      <w:tr>
        <w:tc>
          <w:tcPr>
            <w:tcW w:type="dxa" w:w="1704"/>
            <w:vAlign w:val="top"/>
          </w:tcPr>
          <w:p>
            <w:r/>
            <w:r>
              <w:rPr>
                <w:rFonts w:ascii="Aptos" w:hAnsi="Aptos"/>
                <w:b w:val="0"/>
                <w:sz w:val="11"/>
              </w:rPr>
              <w:t>D5</w:t>
            </w:r>
          </w:p>
        </w:tc>
        <w:tc>
          <w:tcPr>
            <w:tcW w:type="dxa" w:w="1704"/>
            <w:vAlign w:val="top"/>
          </w:tcPr>
          <w:p>
            <w:r/>
            <w:r>
              <w:rPr>
                <w:rFonts w:ascii="Aptos" w:hAnsi="Aptos"/>
                <w:b w:val="0"/>
                <w:sz w:val="11"/>
              </w:rPr>
              <w:t>N/A if no personal data</w:t>
            </w:r>
          </w:p>
        </w:tc>
        <w:tc>
          <w:tcPr>
            <w:tcW w:type="dxa" w:w="1704"/>
            <w:vAlign w:val="top"/>
          </w:tcPr>
          <w:p>
            <w:r/>
            <w:r>
              <w:rPr>
                <w:rFonts w:ascii="Aptos" w:hAnsi="Aptos"/>
                <w:b w:val="0"/>
                <w:sz w:val="11"/>
              </w:rPr>
              <w:t>Approved evaluation repository / AWS UK region</w:t>
            </w:r>
          </w:p>
        </w:tc>
        <w:tc>
          <w:tcPr>
            <w:tcW w:type="dxa" w:w="1704"/>
            <w:vAlign w:val="top"/>
          </w:tcPr>
          <w:p>
            <w:r/>
            <w:r>
              <w:rPr>
                <w:rFonts w:ascii="Aptos" w:hAnsi="Aptos"/>
                <w:b w:val="0"/>
                <w:sz w:val="11"/>
              </w:rPr>
              <w:t>Encrypted at rest and in transit</w:t>
            </w:r>
          </w:p>
        </w:tc>
        <w:tc>
          <w:tcPr>
            <w:tcW w:type="dxa" w:w="1704"/>
            <w:vAlign w:val="top"/>
          </w:tcPr>
          <w:p>
            <w:r/>
            <w:r>
              <w:rPr>
                <w:rFonts w:ascii="Aptos" w:hAnsi="Aptos"/>
                <w:b w:val="0"/>
                <w:sz w:val="11"/>
              </w:rPr>
              <w:t>Retain with assurance evidence according to project retention policy [TBC]</w:t>
            </w:r>
          </w:p>
        </w:tc>
        <w:tc>
          <w:tcPr>
            <w:tcW w:type="dxa" w:w="1704"/>
            <w:vAlign w:val="top"/>
          </w:tcPr>
          <w:p>
            <w:r/>
            <w:r>
              <w:rPr>
                <w:rFonts w:ascii="Aptos" w:hAnsi="Aptos"/>
                <w:b w:val="0"/>
                <w:sz w:val="11"/>
              </w:rPr>
              <w:t>Clinical/evaluation team roles.</w:t>
            </w:r>
          </w:p>
        </w:tc>
      </w:tr>
      <w:tr>
        <w:tc>
          <w:tcPr>
            <w:tcW w:type="dxa" w:w="1704"/>
            <w:vAlign w:val="top"/>
          </w:tcPr>
          <w:p>
            <w:r/>
            <w:r>
              <w:rPr>
                <w:rFonts w:ascii="Aptos" w:hAnsi="Aptos"/>
                <w:b w:val="0"/>
                <w:sz w:val="11"/>
              </w:rPr>
              <w:t>D6</w:t>
            </w:r>
          </w:p>
        </w:tc>
        <w:tc>
          <w:tcPr>
            <w:tcW w:type="dxa" w:w="1704"/>
            <w:vAlign w:val="top"/>
          </w:tcPr>
          <w:p>
            <w:r/>
            <w:r>
              <w:rPr>
                <w:rFonts w:ascii="Aptos" w:hAnsi="Aptos"/>
                <w:b w:val="0"/>
                <w:sz w:val="11"/>
              </w:rPr>
              <w:t>N/A if synthetic</w:t>
            </w:r>
          </w:p>
        </w:tc>
        <w:tc>
          <w:tcPr>
            <w:tcW w:type="dxa" w:w="1704"/>
            <w:vAlign w:val="top"/>
          </w:tcPr>
          <w:p>
            <w:r/>
            <w:r>
              <w:rPr>
                <w:rFonts w:ascii="Aptos" w:hAnsi="Aptos"/>
                <w:b w:val="0"/>
                <w:sz w:val="11"/>
              </w:rPr>
              <w:t>Approved evaluation repository / AWS UK region</w:t>
            </w:r>
          </w:p>
        </w:tc>
        <w:tc>
          <w:tcPr>
            <w:tcW w:type="dxa" w:w="1704"/>
            <w:vAlign w:val="top"/>
          </w:tcPr>
          <w:p>
            <w:r/>
            <w:r>
              <w:rPr>
                <w:rFonts w:ascii="Aptos" w:hAnsi="Aptos"/>
                <w:b w:val="0"/>
                <w:sz w:val="11"/>
              </w:rPr>
              <w:t>Encrypted at rest and in transit</w:t>
            </w:r>
          </w:p>
        </w:tc>
        <w:tc>
          <w:tcPr>
            <w:tcW w:type="dxa" w:w="1704"/>
            <w:vAlign w:val="top"/>
          </w:tcPr>
          <w:p>
            <w:r/>
            <w:r>
              <w:rPr>
                <w:rFonts w:ascii="Aptos" w:hAnsi="Aptos"/>
                <w:b w:val="0"/>
                <w:sz w:val="11"/>
              </w:rPr>
              <w:t>Retain with evaluation evidence [TBC]</w:t>
            </w:r>
          </w:p>
        </w:tc>
        <w:tc>
          <w:tcPr>
            <w:tcW w:type="dxa" w:w="1704"/>
            <w:vAlign w:val="top"/>
          </w:tcPr>
          <w:p>
            <w:r/>
            <w:r>
              <w:rPr>
                <w:rFonts w:ascii="Aptos" w:hAnsi="Aptos"/>
                <w:b w:val="0"/>
                <w:sz w:val="11"/>
              </w:rPr>
              <w:t>Clinical/evaluation/AI engineering roles.</w:t>
            </w:r>
          </w:p>
        </w:tc>
      </w:tr>
      <w:tr>
        <w:tc>
          <w:tcPr>
            <w:tcW w:type="dxa" w:w="1704"/>
            <w:vAlign w:val="top"/>
          </w:tcPr>
          <w:p>
            <w:r/>
            <w:r>
              <w:rPr>
                <w:rFonts w:ascii="Aptos" w:hAnsi="Aptos"/>
                <w:b w:val="0"/>
                <w:sz w:val="11"/>
              </w:rPr>
              <w:t>D7</w:t>
            </w:r>
          </w:p>
        </w:tc>
        <w:tc>
          <w:tcPr>
            <w:tcW w:type="dxa" w:w="1704"/>
            <w:vAlign w:val="top"/>
          </w:tcPr>
          <w:p>
            <w:r/>
            <w:r>
              <w:rPr>
                <w:rFonts w:ascii="Aptos" w:hAnsi="Aptos"/>
                <w:b w:val="0"/>
                <w:sz w:val="11"/>
              </w:rPr>
              <w:t>NHS England determines Article 6/9 basis; reference service DPIA/privacy framework</w:t>
            </w:r>
          </w:p>
        </w:tc>
        <w:tc>
          <w:tcPr>
            <w:tcW w:type="dxa" w:w="1704"/>
            <w:vAlign w:val="top"/>
          </w:tcPr>
          <w:p>
            <w:r/>
            <w:r>
              <w:rPr>
                <w:rFonts w:ascii="Aptos" w:hAnsi="Aptos"/>
                <w:b w:val="0"/>
                <w:sz w:val="11"/>
              </w:rPr>
              <w:t>Approved NHS England AWS runtime environment, UK region</w:t>
            </w:r>
          </w:p>
        </w:tc>
        <w:tc>
          <w:tcPr>
            <w:tcW w:type="dxa" w:w="1704"/>
            <w:vAlign w:val="top"/>
          </w:tcPr>
          <w:p>
            <w:r/>
            <w:r>
              <w:rPr>
                <w:rFonts w:ascii="Aptos" w:hAnsi="Aptos"/>
                <w:b w:val="0"/>
                <w:sz w:val="11"/>
              </w:rPr>
              <w:t>Encrypted at rest and in transit</w:t>
            </w:r>
          </w:p>
        </w:tc>
        <w:tc>
          <w:tcPr>
            <w:tcW w:type="dxa" w:w="1704"/>
            <w:vAlign w:val="top"/>
          </w:tcPr>
          <w:p>
            <w:r/>
            <w:r>
              <w:rPr>
                <w:rFonts w:ascii="Aptos" w:hAnsi="Aptos"/>
                <w:b w:val="0"/>
                <w:sz w:val="11"/>
              </w:rPr>
              <w:t>[TBC - service retention rule / data minimisation decision]</w:t>
            </w:r>
          </w:p>
        </w:tc>
        <w:tc>
          <w:tcPr>
            <w:tcW w:type="dxa" w:w="1704"/>
            <w:vAlign w:val="top"/>
          </w:tcPr>
          <w:p>
            <w:r/>
            <w:r>
              <w:rPr>
                <w:rFonts w:ascii="Aptos" w:hAnsi="Aptos"/>
                <w:b w:val="0"/>
                <w:sz w:val="11"/>
              </w:rPr>
              <w:t>Runtime service access; tightly restricted operational/support access; audit.</w:t>
            </w:r>
          </w:p>
        </w:tc>
      </w:tr>
      <w:tr>
        <w:tc>
          <w:tcPr>
            <w:tcW w:type="dxa" w:w="1704"/>
            <w:vAlign w:val="top"/>
          </w:tcPr>
          <w:p>
            <w:r/>
            <w:r>
              <w:rPr>
                <w:rFonts w:ascii="Aptos" w:hAnsi="Aptos"/>
                <w:b w:val="0"/>
                <w:sz w:val="11"/>
              </w:rPr>
              <w:t>D8</w:t>
            </w:r>
          </w:p>
        </w:tc>
        <w:tc>
          <w:tcPr>
            <w:tcW w:type="dxa" w:w="1704"/>
            <w:vAlign w:val="top"/>
          </w:tcPr>
          <w:p>
            <w:r/>
            <w:r>
              <w:rPr>
                <w:rFonts w:ascii="Aptos" w:hAnsi="Aptos"/>
                <w:b w:val="0"/>
                <w:sz w:val="11"/>
              </w:rPr>
              <w:t>Same controller basis as D7</w:t>
            </w:r>
          </w:p>
        </w:tc>
        <w:tc>
          <w:tcPr>
            <w:tcW w:type="dxa" w:w="1704"/>
            <w:vAlign w:val="top"/>
          </w:tcPr>
          <w:p>
            <w:r/>
            <w:r>
              <w:rPr>
                <w:rFonts w:ascii="Aptos" w:hAnsi="Aptos"/>
                <w:b w:val="0"/>
                <w:sz w:val="11"/>
              </w:rPr>
              <w:t>Approved NHS England AWS runtime/audit environment, UK region</w:t>
            </w:r>
          </w:p>
        </w:tc>
        <w:tc>
          <w:tcPr>
            <w:tcW w:type="dxa" w:w="1704"/>
            <w:vAlign w:val="top"/>
          </w:tcPr>
          <w:p>
            <w:r/>
            <w:r>
              <w:rPr>
                <w:rFonts w:ascii="Aptos" w:hAnsi="Aptos"/>
                <w:b w:val="0"/>
                <w:sz w:val="11"/>
              </w:rPr>
              <w:t>Encrypted at rest and in transit</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Operational/clinical safety/audit roles as authorised.</w:t>
            </w:r>
          </w:p>
        </w:tc>
      </w:tr>
      <w:tr>
        <w:tc>
          <w:tcPr>
            <w:tcW w:type="dxa" w:w="1704"/>
            <w:vAlign w:val="top"/>
          </w:tcPr>
          <w:p>
            <w:r/>
            <w:r>
              <w:rPr>
                <w:rFonts w:ascii="Aptos" w:hAnsi="Aptos"/>
                <w:b w:val="0"/>
                <w:sz w:val="11"/>
              </w:rPr>
              <w:t>D9</w:t>
            </w:r>
          </w:p>
        </w:tc>
        <w:tc>
          <w:tcPr>
            <w:tcW w:type="dxa" w:w="1704"/>
            <w:vAlign w:val="top"/>
          </w:tcPr>
          <w:p>
            <w:r/>
            <w:r>
              <w:rPr>
                <w:rFonts w:ascii="Aptos" w:hAnsi="Aptos"/>
                <w:b w:val="0"/>
                <w:sz w:val="11"/>
              </w:rPr>
              <w:t>N/A</w:t>
            </w:r>
          </w:p>
        </w:tc>
        <w:tc>
          <w:tcPr>
            <w:tcW w:type="dxa" w:w="1704"/>
            <w:vAlign w:val="top"/>
          </w:tcPr>
          <w:p>
            <w:r/>
            <w:r>
              <w:rPr>
                <w:rFonts w:ascii="Aptos" w:hAnsi="Aptos"/>
                <w:b w:val="0"/>
                <w:sz w:val="11"/>
              </w:rPr>
              <w:t>Controlled model artefact store in AWS UK region</w:t>
            </w:r>
          </w:p>
        </w:tc>
        <w:tc>
          <w:tcPr>
            <w:tcW w:type="dxa" w:w="1704"/>
            <w:vAlign w:val="top"/>
          </w:tcPr>
          <w:p>
            <w:r/>
            <w:r>
              <w:rPr>
                <w:rFonts w:ascii="Aptos" w:hAnsi="Aptos"/>
                <w:b w:val="0"/>
                <w:sz w:val="11"/>
              </w:rPr>
              <w:t>Encrypted at rest and in transit</w:t>
            </w:r>
          </w:p>
        </w:tc>
        <w:tc>
          <w:tcPr>
            <w:tcW w:type="dxa" w:w="1704"/>
            <w:vAlign w:val="top"/>
          </w:tcPr>
          <w:p>
            <w:r/>
            <w:r>
              <w:rPr>
                <w:rFonts w:ascii="Aptos" w:hAnsi="Aptos"/>
                <w:b w:val="0"/>
                <w:sz w:val="11"/>
              </w:rPr>
              <w:t>Retain active/superseded model evidence for required assurance window [TBC]</w:t>
            </w:r>
          </w:p>
        </w:tc>
        <w:tc>
          <w:tcPr>
            <w:tcW w:type="dxa" w:w="1704"/>
            <w:vAlign w:val="top"/>
          </w:tcPr>
          <w:p>
            <w:r/>
            <w:r>
              <w:rPr>
                <w:rFonts w:ascii="Aptos" w:hAnsi="Aptos"/>
                <w:b w:val="0"/>
                <w:sz w:val="11"/>
              </w:rPr>
              <w:t>Model release/governance roles; deployment automation.</w:t>
            </w:r>
          </w:p>
        </w:tc>
      </w:tr>
      <w:tr>
        <w:tc>
          <w:tcPr>
            <w:tcW w:type="dxa" w:w="1704"/>
            <w:vAlign w:val="top"/>
          </w:tcPr>
          <w:p>
            <w:r/>
            <w:r>
              <w:rPr>
                <w:rFonts w:ascii="Aptos" w:hAnsi="Aptos"/>
                <w:b w:val="0"/>
                <w:sz w:val="11"/>
              </w:rPr>
              <w:t>D10</w:t>
            </w:r>
          </w:p>
        </w:tc>
        <w:tc>
          <w:tcPr>
            <w:tcW w:type="dxa" w:w="1704"/>
            <w:vAlign w:val="top"/>
          </w:tcPr>
          <w:p>
            <w:r/>
            <w:r>
              <w:rPr>
                <w:rFonts w:ascii="Aptos" w:hAnsi="Aptos"/>
                <w:b w:val="0"/>
                <w:sz w:val="11"/>
              </w:rPr>
              <w:t>No personal data intended; if scope changes, legal basis/DPIA re-assessment required</w:t>
            </w:r>
          </w:p>
        </w:tc>
        <w:tc>
          <w:tcPr>
            <w:tcW w:type="dxa" w:w="1704"/>
            <w:vAlign w:val="top"/>
          </w:tcPr>
          <w:p>
            <w:r/>
            <w:r>
              <w:rPr>
                <w:rFonts w:ascii="Aptos" w:hAnsi="Aptos"/>
                <w:b w:val="0"/>
                <w:sz w:val="11"/>
              </w:rPr>
              <w:t>AWS Bedrock within approved configured region/account</w:t>
            </w:r>
          </w:p>
        </w:tc>
        <w:tc>
          <w:tcPr>
            <w:tcW w:type="dxa" w:w="1704"/>
            <w:vAlign w:val="top"/>
          </w:tcPr>
          <w:p>
            <w:r/>
            <w:r>
              <w:rPr>
                <w:rFonts w:ascii="Aptos" w:hAnsi="Aptos"/>
                <w:b w:val="0"/>
                <w:sz w:val="11"/>
              </w:rPr>
              <w:t>AWS-managed encryption plus approved transport controls</w:t>
            </w:r>
          </w:p>
        </w:tc>
        <w:tc>
          <w:tcPr>
            <w:tcW w:type="dxa" w:w="1704"/>
            <w:vAlign w:val="top"/>
          </w:tcPr>
          <w:p>
            <w:r/>
            <w:r>
              <w:rPr>
                <w:rFonts w:ascii="Aptos" w:hAnsi="Aptos"/>
                <w:b w:val="0"/>
                <w:sz w:val="11"/>
              </w:rPr>
              <w:t>According to approved Bedrock configuration/contract and project evidence retention [TBC]</w:t>
            </w:r>
          </w:p>
        </w:tc>
        <w:tc>
          <w:tcPr>
            <w:tcW w:type="dxa" w:w="1704"/>
            <w:vAlign w:val="top"/>
          </w:tcPr>
          <w:p>
            <w:r/>
            <w:r>
              <w:rPr>
                <w:rFonts w:ascii="Aptos" w:hAnsi="Aptos"/>
                <w:b w:val="0"/>
                <w:sz w:val="11"/>
              </w:rPr>
              <w:t>Restricted approved build-time users/services; no general user access.</w:t>
            </w:r>
          </w:p>
        </w:tc>
      </w:tr>
      <w:tr>
        <w:tc>
          <w:tcPr>
            <w:tcW w:type="dxa" w:w="1704"/>
            <w:vAlign w:val="top"/>
          </w:tcPr>
          <w:p>
            <w:r/>
            <w:r>
              <w:rPr>
                <w:rFonts w:ascii="Aptos" w:hAnsi="Aptos"/>
                <w:b w:val="0"/>
                <w:sz w:val="11"/>
              </w:rPr>
              <w:t>D11</w:t>
            </w:r>
          </w:p>
        </w:tc>
        <w:tc>
          <w:tcPr>
            <w:tcW w:type="dxa" w:w="1704"/>
            <w:vAlign w:val="top"/>
          </w:tcPr>
          <w:p>
            <w:r/>
            <w:r>
              <w:rPr>
                <w:rFonts w:ascii="Aptos" w:hAnsi="Aptos"/>
                <w:b w:val="0"/>
                <w:sz w:val="11"/>
              </w:rPr>
              <w:t>Usually N/A; if linked to case-level data use D3/D4 basis</w:t>
            </w:r>
          </w:p>
        </w:tc>
        <w:tc>
          <w:tcPr>
            <w:tcW w:type="dxa" w:w="1704"/>
            <w:vAlign w:val="top"/>
          </w:tcPr>
          <w:p>
            <w:r/>
            <w:r>
              <w:rPr>
                <w:rFonts w:ascii="Aptos" w:hAnsi="Aptos"/>
                <w:b w:val="0"/>
                <w:sz w:val="11"/>
              </w:rPr>
              <w:t>Approved evaluation repository / AWS UK region</w:t>
            </w:r>
          </w:p>
        </w:tc>
        <w:tc>
          <w:tcPr>
            <w:tcW w:type="dxa" w:w="1704"/>
            <w:vAlign w:val="top"/>
          </w:tcPr>
          <w:p>
            <w:r/>
            <w:r>
              <w:rPr>
                <w:rFonts w:ascii="Aptos" w:hAnsi="Aptos"/>
                <w:b w:val="0"/>
                <w:sz w:val="11"/>
              </w:rPr>
              <w:t>Encrypted at rest and in transit</w:t>
            </w:r>
          </w:p>
        </w:tc>
        <w:tc>
          <w:tcPr>
            <w:tcW w:type="dxa" w:w="1704"/>
            <w:vAlign w:val="top"/>
          </w:tcPr>
          <w:p>
            <w:r/>
            <w:r>
              <w:rPr>
                <w:rFonts w:ascii="Aptos" w:hAnsi="Aptos"/>
                <w:b w:val="0"/>
                <w:sz w:val="11"/>
              </w:rPr>
              <w:t>Assurance retention period [TBC]</w:t>
            </w:r>
          </w:p>
        </w:tc>
        <w:tc>
          <w:tcPr>
            <w:tcW w:type="dxa" w:w="1704"/>
            <w:vAlign w:val="top"/>
          </w:tcPr>
          <w:p>
            <w:r/>
            <w:r>
              <w:rPr>
                <w:rFonts w:ascii="Aptos" w:hAnsi="Aptos"/>
                <w:b w:val="0"/>
                <w:sz w:val="11"/>
              </w:rPr>
              <w:t>Clinical, QA, data science, governance roles.</w:t>
            </w:r>
          </w:p>
        </w:tc>
      </w:tr>
      <w:tr>
        <w:tc>
          <w:tcPr>
            <w:tcW w:type="dxa" w:w="1704"/>
            <w:vAlign w:val="top"/>
          </w:tcPr>
          <w:p>
            <w:r/>
            <w:r>
              <w:rPr>
                <w:rFonts w:ascii="Aptos" w:hAnsi="Aptos"/>
                <w:b w:val="0"/>
                <w:sz w:val="11"/>
              </w:rPr>
              <w:t>D12</w:t>
            </w:r>
          </w:p>
        </w:tc>
        <w:tc>
          <w:tcPr>
            <w:tcW w:type="dxa" w:w="1704"/>
            <w:vAlign w:val="top"/>
          </w:tcPr>
          <w:p>
            <w:r/>
            <w:r>
              <w:rPr>
                <w:rFonts w:ascii="Aptos" w:hAnsi="Aptos"/>
                <w:b w:val="0"/>
                <w:sz w:val="11"/>
              </w:rPr>
              <w:t>Same basis as the underlying logged personal data where present</w:t>
            </w:r>
          </w:p>
        </w:tc>
        <w:tc>
          <w:tcPr>
            <w:tcW w:type="dxa" w:w="1704"/>
            <w:vAlign w:val="top"/>
          </w:tcPr>
          <w:p>
            <w:r/>
            <w:r>
              <w:rPr>
                <w:rFonts w:ascii="Aptos" w:hAnsi="Aptos"/>
                <w:b w:val="0"/>
                <w:sz w:val="11"/>
              </w:rPr>
              <w:t>Amazon CloudWatch/approved audit stores in AWS UK region</w:t>
            </w:r>
          </w:p>
        </w:tc>
        <w:tc>
          <w:tcPr>
            <w:tcW w:type="dxa" w:w="1704"/>
            <w:vAlign w:val="top"/>
          </w:tcPr>
          <w:p>
            <w:r/>
            <w:r>
              <w:rPr>
                <w:rFonts w:ascii="Aptos" w:hAnsi="Aptos"/>
                <w:b w:val="0"/>
                <w:sz w:val="11"/>
              </w:rPr>
              <w:t>Encrypted at rest and in transit</w:t>
            </w:r>
          </w:p>
        </w:tc>
        <w:tc>
          <w:tcPr>
            <w:tcW w:type="dxa" w:w="1704"/>
            <w:vAlign w:val="top"/>
          </w:tcPr>
          <w:p>
            <w:r/>
            <w:r>
              <w:rPr>
                <w:rFonts w:ascii="Aptos" w:hAnsi="Aptos"/>
                <w:b w:val="0"/>
                <w:sz w:val="11"/>
              </w:rPr>
              <w:t>[TBC - operational/security/clinical log retention]</w:t>
            </w:r>
          </w:p>
        </w:tc>
        <w:tc>
          <w:tcPr>
            <w:tcW w:type="dxa" w:w="1704"/>
            <w:vAlign w:val="top"/>
          </w:tcPr>
          <w:p>
            <w:r/>
            <w:r>
              <w:rPr>
                <w:rFonts w:ascii="Aptos" w:hAnsi="Aptos"/>
                <w:b w:val="0"/>
                <w:sz w:val="11"/>
              </w:rPr>
              <w:t>Restricted Ops/Security/Clinical Safety roles; access audit.</w:t>
            </w:r>
          </w:p>
        </w:tc>
      </w:tr>
    </w:tbl>
    <w:p/>
    <w:p>
      <w:pPr>
        <w:pStyle w:val="Question"/>
        <w:spacing w:before="120" w:after="40"/>
      </w:pPr>
      <w:r>
        <w:t>Cross-border transfer arrangements.</w:t>
      </w:r>
    </w:p>
    <w:p>
      <w:pPr>
        <w:spacing w:after="120"/>
      </w:pPr>
      <w:r>
        <w:t>No cross-border transfer is intended for the current Adaptive Triage design. Data is intended to be processed and stored within approved NHS England AWS regions/service boundaries. Any supplier or service configuration that would introduce processing outside the approved geography must be assessed through IG, Security, contractual and AI Governance change control before use. [TBC - confirm exact contractual region commitments for each relevant service.]</w:t>
      </w:r>
    </w:p>
    <w:p>
      <w:pPr>
        <w:pStyle w:val="Heading1"/>
      </w:pPr>
      <w:r>
        <w:t>7. Sub-processors and Third Parties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2"/>
              </w:rPr>
              <w:t>Sub-processor</w:t>
            </w:r>
          </w:p>
        </w:tc>
        <w:tc>
          <w:tcPr>
            <w:tcW w:type="dxa" w:w="2045"/>
            <w:vAlign w:val="top"/>
            <w:shd w:fill="D9EAD3"/>
          </w:tcPr>
          <w:p>
            <w:r/>
            <w:r>
              <w:rPr>
                <w:rFonts w:ascii="Aptos" w:hAnsi="Aptos"/>
                <w:b/>
                <w:sz w:val="12"/>
              </w:rPr>
              <w:t>Service provided</w:t>
            </w:r>
          </w:p>
        </w:tc>
        <w:tc>
          <w:tcPr>
            <w:tcW w:type="dxa" w:w="2045"/>
            <w:vAlign w:val="top"/>
            <w:shd w:fill="D9EAD3"/>
          </w:tcPr>
          <w:p>
            <w:r/>
            <w:r>
              <w:rPr>
                <w:rFonts w:ascii="Aptos" w:hAnsi="Aptos"/>
                <w:b/>
                <w:sz w:val="12"/>
              </w:rPr>
              <w:t>Data handled</w:t>
            </w:r>
          </w:p>
        </w:tc>
        <w:tc>
          <w:tcPr>
            <w:tcW w:type="dxa" w:w="2045"/>
            <w:vAlign w:val="top"/>
            <w:shd w:fill="D9EAD3"/>
          </w:tcPr>
          <w:p>
            <w:r/>
            <w:r>
              <w:rPr>
                <w:rFonts w:ascii="Aptos" w:hAnsi="Aptos"/>
                <w:b/>
                <w:sz w:val="12"/>
              </w:rPr>
              <w:t>Location</w:t>
            </w:r>
          </w:p>
        </w:tc>
        <w:tc>
          <w:tcPr>
            <w:tcW w:type="dxa" w:w="2045"/>
            <w:vAlign w:val="top"/>
            <w:shd w:fill="D9EAD3"/>
          </w:tcPr>
          <w:p>
            <w:r/>
            <w:r>
              <w:rPr>
                <w:rFonts w:ascii="Aptos" w:hAnsi="Aptos"/>
                <w:b/>
                <w:sz w:val="12"/>
              </w:rPr>
              <w:t>Contractual safeguards</w:t>
            </w:r>
          </w:p>
        </w:tc>
      </w:tr>
      <w:tr>
        <w:tc>
          <w:tcPr>
            <w:tcW w:type="dxa" w:w="2045"/>
            <w:vAlign w:val="top"/>
          </w:tcPr>
          <w:p>
            <w:r/>
            <w:r>
              <w:rPr>
                <w:rFonts w:ascii="Aptos" w:hAnsi="Aptos"/>
                <w:b w:val="0"/>
                <w:sz w:val="12"/>
              </w:rPr>
              <w:t>Amazon Web Services (AWS)</w:t>
            </w:r>
          </w:p>
        </w:tc>
        <w:tc>
          <w:tcPr>
            <w:tcW w:type="dxa" w:w="2045"/>
            <w:vAlign w:val="top"/>
          </w:tcPr>
          <w:p>
            <w:r/>
            <w:r>
              <w:rPr>
                <w:rFonts w:ascii="Aptos" w:hAnsi="Aptos"/>
                <w:b w:val="0"/>
                <w:sz w:val="12"/>
              </w:rPr>
              <w:t>Cloud hosting and managed services including Bedrock, SageMaker, Neptune, S3, CloudWatch and supporting AWS infrastructure</w:t>
            </w:r>
          </w:p>
        </w:tc>
        <w:tc>
          <w:tcPr>
            <w:tcW w:type="dxa" w:w="2045"/>
            <w:vAlign w:val="top"/>
          </w:tcPr>
          <w:p>
            <w:r/>
            <w:r>
              <w:rPr>
                <w:rFonts w:ascii="Aptos" w:hAnsi="Aptos"/>
                <w:b w:val="0"/>
                <w:sz w:val="12"/>
              </w:rPr>
              <w:t>D7-D12 and project/model data according to service used</w:t>
            </w:r>
          </w:p>
        </w:tc>
        <w:tc>
          <w:tcPr>
            <w:tcW w:type="dxa" w:w="2045"/>
            <w:vAlign w:val="top"/>
          </w:tcPr>
          <w:p>
            <w:r/>
            <w:r>
              <w:rPr>
                <w:rFonts w:ascii="Aptos" w:hAnsi="Aptos"/>
                <w:b w:val="0"/>
                <w:sz w:val="12"/>
              </w:rPr>
              <w:t>Approved AWS region(s), intended UK processing for Adaptive Triage</w:t>
            </w:r>
          </w:p>
        </w:tc>
        <w:tc>
          <w:tcPr>
            <w:tcW w:type="dxa" w:w="2045"/>
            <w:vAlign w:val="top"/>
          </w:tcPr>
          <w:p>
            <w:r/>
            <w:r>
              <w:rPr>
                <w:rFonts w:ascii="Aptos" w:hAnsi="Aptos"/>
                <w:b w:val="0"/>
                <w:sz w:val="12"/>
              </w:rPr>
              <w:t>NHS England/Kainos AWS contractual terms, DPA and applicable supplier safeguards. [TBC exact contract/DPA refs.]</w:t>
            </w:r>
          </w:p>
        </w:tc>
      </w:tr>
      <w:tr>
        <w:tc>
          <w:tcPr>
            <w:tcW w:type="dxa" w:w="2045"/>
            <w:vAlign w:val="top"/>
          </w:tcPr>
          <w:p>
            <w:r/>
            <w:r>
              <w:rPr>
                <w:rFonts w:ascii="Aptos" w:hAnsi="Aptos"/>
                <w:b w:val="0"/>
                <w:sz w:val="12"/>
              </w:rPr>
              <w:t>Foundation model provider accessed through AWS Bedrock</w:t>
            </w:r>
          </w:p>
        </w:tc>
        <w:tc>
          <w:tcPr>
            <w:tcW w:type="dxa" w:w="2045"/>
            <w:vAlign w:val="top"/>
          </w:tcPr>
          <w:p>
            <w:r/>
            <w:r>
              <w:rPr>
                <w:rFonts w:ascii="Aptos" w:hAnsi="Aptos"/>
                <w:b w:val="0"/>
                <w:sz w:val="12"/>
              </w:rPr>
              <w:t>Build-time foundation-model processing via Bedrock</w:t>
            </w:r>
          </w:p>
        </w:tc>
        <w:tc>
          <w:tcPr>
            <w:tcW w:type="dxa" w:w="2045"/>
            <w:vAlign w:val="top"/>
          </w:tcPr>
          <w:p>
            <w:r/>
            <w:r>
              <w:rPr>
                <w:rFonts w:ascii="Aptos" w:hAnsi="Aptos"/>
                <w:b w:val="0"/>
                <w:sz w:val="12"/>
              </w:rPr>
              <w:t>D10 only under current design; no PII intended</w:t>
            </w:r>
          </w:p>
        </w:tc>
        <w:tc>
          <w:tcPr>
            <w:tcW w:type="dxa" w:w="2045"/>
            <w:vAlign w:val="top"/>
          </w:tcPr>
          <w:p>
            <w:r/>
            <w:r>
              <w:rPr>
                <w:rFonts w:ascii="Aptos" w:hAnsi="Aptos"/>
                <w:b w:val="0"/>
                <w:sz w:val="12"/>
              </w:rPr>
              <w:t>As provided through approved Bedrock regional service</w:t>
            </w:r>
          </w:p>
        </w:tc>
        <w:tc>
          <w:tcPr>
            <w:tcW w:type="dxa" w:w="2045"/>
            <w:vAlign w:val="top"/>
          </w:tcPr>
          <w:p>
            <w:r/>
            <w:r>
              <w:rPr>
                <w:rFonts w:ascii="Aptos" w:hAnsi="Aptos"/>
                <w:b w:val="0"/>
                <w:sz w:val="12"/>
              </w:rPr>
              <w:t>AWS Bedrock/provider terms and customer/Kainos approval controls. [TBC model-specific terms/refs.]</w:t>
            </w:r>
          </w:p>
        </w:tc>
      </w:tr>
      <w:tr>
        <w:tc>
          <w:tcPr>
            <w:tcW w:type="dxa" w:w="2045"/>
            <w:vAlign w:val="top"/>
          </w:tcPr>
          <w:p>
            <w:r/>
            <w:r>
              <w:rPr>
                <w:rFonts w:ascii="Aptos" w:hAnsi="Aptos"/>
                <w:b w:val="0"/>
                <w:sz w:val="12"/>
              </w:rPr>
              <w:t>NHS terminology/reference service providers where externally operated</w:t>
            </w:r>
          </w:p>
        </w:tc>
        <w:tc>
          <w:tcPr>
            <w:tcW w:type="dxa" w:w="2045"/>
            <w:vAlign w:val="top"/>
          </w:tcPr>
          <w:p>
            <w:r/>
            <w:r>
              <w:rPr>
                <w:rFonts w:ascii="Aptos" w:hAnsi="Aptos"/>
                <w:b w:val="0"/>
                <w:sz w:val="12"/>
              </w:rPr>
              <w:t>Terminology/reference-data provision</w:t>
            </w:r>
          </w:p>
        </w:tc>
        <w:tc>
          <w:tcPr>
            <w:tcW w:type="dxa" w:w="2045"/>
            <w:vAlign w:val="top"/>
          </w:tcPr>
          <w:p>
            <w:r/>
            <w:r>
              <w:rPr>
                <w:rFonts w:ascii="Aptos" w:hAnsi="Aptos"/>
                <w:b w:val="0"/>
                <w:sz w:val="12"/>
              </w:rPr>
              <w:t>D2</w:t>
            </w:r>
          </w:p>
        </w:tc>
        <w:tc>
          <w:tcPr>
            <w:tcW w:type="dxa" w:w="2045"/>
            <w:vAlign w:val="top"/>
          </w:tcPr>
          <w:p>
            <w:r/>
            <w:r>
              <w:rPr>
                <w:rFonts w:ascii="Aptos" w:hAnsi="Aptos"/>
                <w:b w:val="0"/>
                <w:sz w:val="12"/>
              </w:rPr>
              <w:t>Approved service location</w:t>
            </w:r>
          </w:p>
        </w:tc>
        <w:tc>
          <w:tcPr>
            <w:tcW w:type="dxa" w:w="2045"/>
            <w:vAlign w:val="top"/>
          </w:tcPr>
          <w:p>
            <w:r/>
            <w:r>
              <w:rPr>
                <w:rFonts w:ascii="Aptos" w:hAnsi="Aptos"/>
                <w:b w:val="0"/>
                <w:sz w:val="12"/>
              </w:rPr>
              <w:t>Applicable NHS/service terms and licensing. [TBC exact service/contract where required.]</w:t>
            </w:r>
          </w:p>
        </w:tc>
      </w:tr>
    </w:tbl>
    <w:p/>
    <w:p>
      <w:pPr>
        <w:pStyle w:val="Heading2"/>
      </w:pPr>
      <w:r>
        <w:t>7.1 Sub-processor Responsibility Split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top"/>
            <w:shd w:fill="D9EAD3"/>
          </w:tcPr>
          <w:p>
            <w:r/>
            <w:r>
              <w:rPr>
                <w:rFonts w:ascii="Aptos" w:hAnsi="Aptos"/>
                <w:b/>
                <w:sz w:val="11"/>
              </w:rPr>
              <w:t>Sub-processor / service</w:t>
            </w:r>
          </w:p>
        </w:tc>
        <w:tc>
          <w:tcPr>
            <w:tcW w:type="dxa" w:w="1704"/>
            <w:vAlign w:val="top"/>
            <w:shd w:fill="D9EAD3"/>
          </w:tcPr>
          <w:p>
            <w:r/>
            <w:r>
              <w:rPr>
                <w:rFonts w:ascii="Aptos" w:hAnsi="Aptos"/>
                <w:b/>
                <w:sz w:val="11"/>
              </w:rPr>
              <w:t>Kainos accountable for</w:t>
            </w:r>
          </w:p>
        </w:tc>
        <w:tc>
          <w:tcPr>
            <w:tcW w:type="dxa" w:w="1704"/>
            <w:vAlign w:val="top"/>
            <w:shd w:fill="D9EAD3"/>
          </w:tcPr>
          <w:p>
            <w:r/>
            <w:r>
              <w:rPr>
                <w:rFonts w:ascii="Aptos" w:hAnsi="Aptos"/>
                <w:b/>
                <w:sz w:val="11"/>
              </w:rPr>
              <w:t>Customer accountable for</w:t>
            </w:r>
          </w:p>
        </w:tc>
        <w:tc>
          <w:tcPr>
            <w:tcW w:type="dxa" w:w="1704"/>
            <w:vAlign w:val="top"/>
            <w:shd w:fill="D9EAD3"/>
          </w:tcPr>
          <w:p>
            <w:r/>
            <w:r>
              <w:rPr>
                <w:rFonts w:ascii="Aptos" w:hAnsi="Aptos"/>
                <w:b/>
                <w:sz w:val="11"/>
              </w:rPr>
              <w:t>Supplier accountable for</w:t>
            </w:r>
          </w:p>
        </w:tc>
        <w:tc>
          <w:tcPr>
            <w:tcW w:type="dxa" w:w="1704"/>
            <w:vAlign w:val="top"/>
            <w:shd w:fill="D9EAD3"/>
          </w:tcPr>
          <w:p>
            <w:r/>
            <w:r>
              <w:rPr>
                <w:rFonts w:ascii="Aptos" w:hAnsi="Aptos"/>
                <w:b/>
                <w:sz w:val="11"/>
              </w:rPr>
              <w:t>Change-notification commitment</w:t>
            </w:r>
          </w:p>
        </w:tc>
        <w:tc>
          <w:tcPr>
            <w:tcW w:type="dxa" w:w="1704"/>
            <w:vAlign w:val="top"/>
            <w:shd w:fill="D9EAD3"/>
          </w:tcPr>
          <w:p>
            <w:r/>
            <w:r>
              <w:rPr>
                <w:rFonts w:ascii="Aptos" w:hAnsi="Aptos"/>
                <w:b/>
                <w:sz w:val="11"/>
              </w:rPr>
              <w:t>Exit / data-return arrangement</w:t>
            </w:r>
          </w:p>
        </w:tc>
      </w:tr>
      <w:tr>
        <w:tc>
          <w:tcPr>
            <w:tcW w:type="dxa" w:w="1704"/>
            <w:vAlign w:val="top"/>
          </w:tcPr>
          <w:p>
            <w:r/>
            <w:r>
              <w:rPr>
                <w:rFonts w:ascii="Aptos" w:hAnsi="Aptos"/>
                <w:b w:val="0"/>
                <w:sz w:val="11"/>
              </w:rPr>
              <w:t>AWS cloud services</w:t>
            </w:r>
          </w:p>
        </w:tc>
        <w:tc>
          <w:tcPr>
            <w:tcW w:type="dxa" w:w="1704"/>
            <w:vAlign w:val="top"/>
          </w:tcPr>
          <w:p>
            <w:r/>
            <w:r>
              <w:rPr>
                <w:rFonts w:ascii="Aptos" w:hAnsi="Aptos"/>
                <w:b w:val="0"/>
                <w:sz w:val="11"/>
              </w:rPr>
              <w:t>Configure services securely; restrict access; minimise data; define logging/retention implementation; validate service use against architecture and policy.</w:t>
            </w:r>
          </w:p>
        </w:tc>
        <w:tc>
          <w:tcPr>
            <w:tcW w:type="dxa" w:w="1704"/>
            <w:vAlign w:val="top"/>
          </w:tcPr>
          <w:p>
            <w:r/>
            <w:r>
              <w:rPr>
                <w:rFonts w:ascii="Aptos" w:hAnsi="Aptos"/>
                <w:b w:val="0"/>
                <w:sz w:val="11"/>
              </w:rPr>
              <w:t>Determine lawful basis, controller instructions, retention requirements, privacy notices and approved purposes; approve supplier/service use where applicable.</w:t>
            </w:r>
          </w:p>
        </w:tc>
        <w:tc>
          <w:tcPr>
            <w:tcW w:type="dxa" w:w="1704"/>
            <w:vAlign w:val="top"/>
          </w:tcPr>
          <w:p>
            <w:r/>
            <w:r>
              <w:rPr>
                <w:rFonts w:ascii="Aptos" w:hAnsi="Aptos"/>
                <w:b w:val="0"/>
                <w:sz w:val="11"/>
              </w:rPr>
              <w:t>Operate and secure underlying cloud service; platform patching; service availability; supplier/sub-processor controls under contract.</w:t>
            </w:r>
          </w:p>
        </w:tc>
        <w:tc>
          <w:tcPr>
            <w:tcW w:type="dxa" w:w="1704"/>
            <w:vAlign w:val="top"/>
          </w:tcPr>
          <w:p>
            <w:r/>
            <w:r>
              <w:rPr>
                <w:rFonts w:ascii="Aptos" w:hAnsi="Aptos"/>
                <w:b w:val="0"/>
                <w:sz w:val="11"/>
              </w:rPr>
              <w:t>Per AWS/NHS contractual terms and service change notifications. [TBC exact commitment.]</w:t>
            </w:r>
          </w:p>
        </w:tc>
        <w:tc>
          <w:tcPr>
            <w:tcW w:type="dxa" w:w="1704"/>
            <w:vAlign w:val="top"/>
          </w:tcPr>
          <w:p>
            <w:r/>
            <w:r>
              <w:rPr>
                <w:rFonts w:ascii="Aptos" w:hAnsi="Aptos"/>
                <w:b w:val="0"/>
                <w:sz w:val="11"/>
              </w:rPr>
              <w:t>Export/retention/deletion follows service capability and contract; project must maintain documented exit/migration plan. [TBC exact terms.]</w:t>
            </w:r>
          </w:p>
        </w:tc>
      </w:tr>
      <w:tr>
        <w:tc>
          <w:tcPr>
            <w:tcW w:type="dxa" w:w="1704"/>
            <w:vAlign w:val="top"/>
          </w:tcPr>
          <w:p>
            <w:r/>
            <w:r>
              <w:rPr>
                <w:rFonts w:ascii="Aptos" w:hAnsi="Aptos"/>
                <w:b w:val="0"/>
                <w:sz w:val="11"/>
              </w:rPr>
              <w:t>AWS Bedrock / foundation-model service</w:t>
            </w:r>
          </w:p>
        </w:tc>
        <w:tc>
          <w:tcPr>
            <w:tcW w:type="dxa" w:w="1704"/>
            <w:vAlign w:val="top"/>
          </w:tcPr>
          <w:p>
            <w:r/>
            <w:r>
              <w:rPr>
                <w:rFonts w:ascii="Aptos" w:hAnsi="Aptos"/>
                <w:b w:val="0"/>
                <w:sz w:val="11"/>
              </w:rPr>
              <w:t>Restrict use to approved build-time workflows; classify/minimise input; no PII under current use cases; log model/version; ensure human/clinical review.</w:t>
            </w:r>
          </w:p>
        </w:tc>
        <w:tc>
          <w:tcPr>
            <w:tcW w:type="dxa" w:w="1704"/>
            <w:vAlign w:val="top"/>
          </w:tcPr>
          <w:p>
            <w:r/>
            <w:r>
              <w:rPr>
                <w:rFonts w:ascii="Aptos" w:hAnsi="Aptos"/>
                <w:b w:val="0"/>
                <w:sz w:val="11"/>
              </w:rPr>
              <w:t>Approve purpose/data scope; determine controller obligations and acceptable model/service use.</w:t>
            </w:r>
          </w:p>
        </w:tc>
        <w:tc>
          <w:tcPr>
            <w:tcW w:type="dxa" w:w="1704"/>
            <w:vAlign w:val="top"/>
          </w:tcPr>
          <w:p>
            <w:r/>
            <w:r>
              <w:rPr>
                <w:rFonts w:ascii="Aptos" w:hAnsi="Aptos"/>
                <w:b w:val="0"/>
                <w:sz w:val="11"/>
              </w:rPr>
              <w:t>Provide managed model gateway/base-model service under contractual/model terms; hosting/security and upstream model operations.</w:t>
            </w:r>
          </w:p>
        </w:tc>
        <w:tc>
          <w:tcPr>
            <w:tcW w:type="dxa" w:w="1704"/>
            <w:vAlign w:val="top"/>
          </w:tcPr>
          <w:p>
            <w:r/>
            <w:r>
              <w:rPr>
                <w:rFonts w:ascii="Aptos" w:hAnsi="Aptos"/>
                <w:b w:val="0"/>
                <w:sz w:val="11"/>
              </w:rPr>
              <w:t>Per AWS/model-provider terms. Material model/region/sub-processor changes trigger project reassessment.</w:t>
            </w:r>
          </w:p>
        </w:tc>
        <w:tc>
          <w:tcPr>
            <w:tcW w:type="dxa" w:w="1704"/>
            <w:vAlign w:val="top"/>
          </w:tcPr>
          <w:p>
            <w:r/>
            <w:r>
              <w:rPr>
                <w:rFonts w:ascii="Aptos" w:hAnsi="Aptos"/>
                <w:b w:val="0"/>
                <w:sz w:val="11"/>
              </w:rPr>
              <w:t>Stop service use and remove project-stored inputs/outputs according to retention rules; retain only required assurance evidence. [TBC service-specific deletion terms.]</w:t>
            </w:r>
          </w:p>
        </w:tc>
      </w:tr>
      <w:tr>
        <w:tc>
          <w:tcPr>
            <w:tcW w:type="dxa" w:w="1704"/>
            <w:vAlign w:val="top"/>
          </w:tcPr>
          <w:p>
            <w:r/>
            <w:r>
              <w:rPr>
                <w:rFonts w:ascii="Aptos" w:hAnsi="Aptos"/>
                <w:b w:val="0"/>
                <w:sz w:val="11"/>
              </w:rPr>
              <w:t>Terminology/reference-data service</w:t>
            </w:r>
          </w:p>
        </w:tc>
        <w:tc>
          <w:tcPr>
            <w:tcW w:type="dxa" w:w="1704"/>
            <w:vAlign w:val="top"/>
          </w:tcPr>
          <w:p>
            <w:r/>
            <w:r>
              <w:rPr>
                <w:rFonts w:ascii="Aptos" w:hAnsi="Aptos"/>
                <w:b w:val="0"/>
                <w:sz w:val="11"/>
              </w:rPr>
              <w:t>Integrate only approved endpoints/data; version mappings; protect credentials/caches.</w:t>
            </w:r>
          </w:p>
        </w:tc>
        <w:tc>
          <w:tcPr>
            <w:tcW w:type="dxa" w:w="1704"/>
            <w:vAlign w:val="top"/>
          </w:tcPr>
          <w:p>
            <w:r/>
            <w:r>
              <w:rPr>
                <w:rFonts w:ascii="Aptos" w:hAnsi="Aptos"/>
                <w:b w:val="0"/>
                <w:sz w:val="11"/>
              </w:rPr>
              <w:t>Approve terminology policy and business/clinical use.</w:t>
            </w:r>
          </w:p>
        </w:tc>
        <w:tc>
          <w:tcPr>
            <w:tcW w:type="dxa" w:w="1704"/>
            <w:vAlign w:val="top"/>
          </w:tcPr>
          <w:p>
            <w:r/>
            <w:r>
              <w:rPr>
                <w:rFonts w:ascii="Aptos" w:hAnsi="Aptos"/>
                <w:b w:val="0"/>
                <w:sz w:val="11"/>
              </w:rPr>
              <w:t>Maintain authoritative terminology/reference service and published versions under applicable terms.</w:t>
            </w:r>
          </w:p>
        </w:tc>
        <w:tc>
          <w:tcPr>
            <w:tcW w:type="dxa" w:w="1704"/>
            <w:vAlign w:val="top"/>
          </w:tcPr>
          <w:p>
            <w:r/>
            <w:r>
              <w:rPr>
                <w:rFonts w:ascii="Aptos" w:hAnsi="Aptos"/>
                <w:b w:val="0"/>
                <w:sz w:val="11"/>
              </w:rPr>
              <w:t>According to service terms/change notices.</w:t>
            </w:r>
          </w:p>
        </w:tc>
        <w:tc>
          <w:tcPr>
            <w:tcW w:type="dxa" w:w="1704"/>
            <w:vAlign w:val="top"/>
          </w:tcPr>
          <w:p>
            <w:r/>
            <w:r>
              <w:rPr>
                <w:rFonts w:ascii="Aptos" w:hAnsi="Aptos"/>
                <w:b w:val="0"/>
                <w:sz w:val="11"/>
              </w:rPr>
              <w:t>Migrate to successor terminology/version/service and retire cached copies per licence/retention rules.</w:t>
            </w:r>
          </w:p>
        </w:tc>
      </w:tr>
    </w:tbl>
    <w:p/>
    <w:p>
      <w:pPr>
        <w:pStyle w:val="Heading1"/>
      </w:pPr>
      <w:r>
        <w:t>8. Data Subject Rights and Privacy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5"/>
              </w:rPr>
              <w:t>Aspect</w:t>
            </w:r>
          </w:p>
        </w:tc>
        <w:tc>
          <w:tcPr>
            <w:tcW w:type="dxa" w:w="5112"/>
            <w:vAlign w:val="top"/>
            <w:shd w:fill="D9EAD3"/>
          </w:tcPr>
          <w:p>
            <w:r/>
            <w:r>
              <w:rPr>
                <w:rFonts w:ascii="Aptos" w:hAnsi="Aptos"/>
                <w:b/>
                <w:sz w:val="15"/>
              </w:rPr>
              <w:t>Copy/paste answer</w:t>
            </w:r>
          </w:p>
        </w:tc>
      </w:tr>
      <w:tr>
        <w:tc>
          <w:tcPr>
            <w:tcW w:type="dxa" w:w="5112"/>
            <w:vAlign w:val="top"/>
          </w:tcPr>
          <w:p>
            <w:r/>
            <w:r>
              <w:rPr>
                <w:rFonts w:ascii="Aptos" w:hAnsi="Aptos"/>
                <w:b w:val="0"/>
                <w:sz w:val="15"/>
              </w:rPr>
              <w:t>Personal data in scope?</w:t>
            </w:r>
          </w:p>
        </w:tc>
        <w:tc>
          <w:tcPr>
            <w:tcW w:type="dxa" w:w="5112"/>
            <w:vAlign w:val="top"/>
          </w:tcPr>
          <w:p>
            <w:r/>
            <w:r>
              <w:rPr>
                <w:rFonts w:ascii="Aptos" w:hAnsi="Aptos"/>
                <w:b w:val="0"/>
                <w:sz w:val="15"/>
              </w:rPr>
              <w:t>Yes - runtime triage interactions may include identifiable or linkable health information. Some analytical/model-development datasets may also be personal or pseudonymised depending on source and preparation.</w:t>
            </w:r>
          </w:p>
        </w:tc>
      </w:tr>
      <w:tr>
        <w:tc>
          <w:tcPr>
            <w:tcW w:type="dxa" w:w="5112"/>
            <w:vAlign w:val="top"/>
          </w:tcPr>
          <w:p>
            <w:r/>
            <w:r>
              <w:rPr>
                <w:rFonts w:ascii="Aptos" w:hAnsi="Aptos"/>
                <w:b w:val="0"/>
                <w:sz w:val="15"/>
              </w:rPr>
              <w:t>Data Controller</w:t>
            </w:r>
          </w:p>
        </w:tc>
        <w:tc>
          <w:tcPr>
            <w:tcW w:type="dxa" w:w="5112"/>
            <w:vAlign w:val="top"/>
          </w:tcPr>
          <w:p>
            <w:r/>
            <w:r>
              <w:rPr>
                <w:rFonts w:ascii="Aptos" w:hAnsi="Aptos"/>
                <w:b w:val="0"/>
                <w:sz w:val="15"/>
              </w:rPr>
              <w:t>NHS England - proposed/expected controller for the service. [TBC formal confirmation.]</w:t>
            </w:r>
          </w:p>
        </w:tc>
      </w:tr>
      <w:tr>
        <w:tc>
          <w:tcPr>
            <w:tcW w:type="dxa" w:w="5112"/>
            <w:vAlign w:val="top"/>
          </w:tcPr>
          <w:p>
            <w:r/>
            <w:r>
              <w:rPr>
                <w:rFonts w:ascii="Aptos" w:hAnsi="Aptos"/>
                <w:b w:val="0"/>
                <w:sz w:val="15"/>
              </w:rPr>
              <w:t>Kainos Role</w:t>
            </w:r>
          </w:p>
        </w:tc>
        <w:tc>
          <w:tcPr>
            <w:tcW w:type="dxa" w:w="5112"/>
            <w:vAlign w:val="top"/>
          </w:tcPr>
          <w:p>
            <w:r/>
            <w:r>
              <w:rPr>
                <w:rFonts w:ascii="Aptos" w:hAnsi="Aptos"/>
                <w:b w:val="0"/>
                <w:sz w:val="15"/>
              </w:rPr>
              <w:t>Processor - proposed working position. [TBC contractual/IG confirmation.]</w:t>
            </w:r>
          </w:p>
        </w:tc>
      </w:tr>
      <w:tr>
        <w:tc>
          <w:tcPr>
            <w:tcW w:type="dxa" w:w="5112"/>
            <w:vAlign w:val="top"/>
          </w:tcPr>
          <w:p>
            <w:r/>
            <w:r>
              <w:rPr>
                <w:rFonts w:ascii="Aptos" w:hAnsi="Aptos"/>
                <w:b w:val="0"/>
                <w:sz w:val="15"/>
              </w:rPr>
              <w:t>DPIA Reference</w:t>
            </w:r>
          </w:p>
        </w:tc>
        <w:tc>
          <w:tcPr>
            <w:tcW w:type="dxa" w:w="5112"/>
            <w:vAlign w:val="top"/>
          </w:tcPr>
          <w:p>
            <w:r/>
            <w:r>
              <w:rPr>
                <w:rFonts w:ascii="Aptos" w:hAnsi="Aptos"/>
                <w:b w:val="0"/>
                <w:sz w:val="15"/>
              </w:rPr>
              <w:t>DPIA is in place for the programme. [TBC - insert exact DPIA/OneTrust reference or link.]</w:t>
            </w:r>
          </w:p>
        </w:tc>
      </w:tr>
      <w:tr>
        <w:tc>
          <w:tcPr>
            <w:tcW w:type="dxa" w:w="5112"/>
            <w:vAlign w:val="top"/>
          </w:tcPr>
          <w:p>
            <w:r/>
            <w:r>
              <w:rPr>
                <w:rFonts w:ascii="Aptos" w:hAnsi="Aptos"/>
                <w:b w:val="0"/>
                <w:sz w:val="15"/>
              </w:rPr>
              <w:t>DSAR Handling Responsibility</w:t>
            </w:r>
          </w:p>
        </w:tc>
        <w:tc>
          <w:tcPr>
            <w:tcW w:type="dxa" w:w="5112"/>
            <w:vAlign w:val="top"/>
          </w:tcPr>
          <w:p>
            <w:r/>
            <w:r>
              <w:rPr>
                <w:rFonts w:ascii="Aptos" w:hAnsi="Aptos"/>
                <w:b w:val="0"/>
                <w:sz w:val="15"/>
              </w:rPr>
              <w:t>NHS England as Data Controller, with Kainos supporting any processor obligations and data retrieval/actions required by contract.</w:t>
            </w:r>
          </w:p>
        </w:tc>
      </w:tr>
      <w:tr>
        <w:tc>
          <w:tcPr>
            <w:tcW w:type="dxa" w:w="5112"/>
            <w:vAlign w:val="top"/>
          </w:tcPr>
          <w:p>
            <w:r/>
            <w:r>
              <w:rPr>
                <w:rFonts w:ascii="Aptos" w:hAnsi="Aptos"/>
                <w:b w:val="0"/>
                <w:sz w:val="15"/>
              </w:rPr>
              <w:t>Erasure Request Responsibility</w:t>
            </w:r>
          </w:p>
        </w:tc>
        <w:tc>
          <w:tcPr>
            <w:tcW w:type="dxa" w:w="5112"/>
            <w:vAlign w:val="top"/>
          </w:tcPr>
          <w:p>
            <w:r/>
            <w:r>
              <w:rPr>
                <w:rFonts w:ascii="Aptos" w:hAnsi="Aptos"/>
                <w:b w:val="0"/>
                <w:sz w:val="15"/>
              </w:rPr>
              <w:t>NHS England determines whether/how erasure applies; Kainos executes processor actions where instructed and technically applicable, subject to clinical, legal, audit and retention obligations.</w:t>
            </w:r>
          </w:p>
        </w:tc>
      </w:tr>
    </w:tbl>
    <w:p/>
    <w:p>
      <w:pPr>
        <w:pStyle w:val="Heading1"/>
      </w:pPr>
      <w:r>
        <w:t>9. Refresh and Review Triggers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D9EAD3"/>
          </w:tcPr>
          <w:p>
            <w:r/>
            <w:r>
              <w:rPr>
                <w:rFonts w:ascii="Aptos" w:hAnsi="Aptos"/>
                <w:b/>
                <w:sz w:val="13"/>
              </w:rPr>
              <w:t>Trigger</w:t>
            </w:r>
          </w:p>
        </w:tc>
        <w:tc>
          <w:tcPr>
            <w:tcW w:type="dxa" w:w="3408"/>
            <w:vAlign w:val="top"/>
            <w:shd w:fill="D9EAD3"/>
          </w:tcPr>
          <w:p>
            <w:r/>
            <w:r>
              <w:rPr>
                <w:rFonts w:ascii="Aptos" w:hAnsi="Aptos"/>
                <w:b/>
                <w:sz w:val="13"/>
              </w:rPr>
              <w:t>Action</w:t>
            </w:r>
          </w:p>
        </w:tc>
        <w:tc>
          <w:tcPr>
            <w:tcW w:type="dxa" w:w="3408"/>
            <w:vAlign w:val="top"/>
            <w:shd w:fill="D9EAD3"/>
          </w:tcPr>
          <w:p>
            <w:r/>
            <w:r>
              <w:rPr>
                <w:rFonts w:ascii="Aptos" w:hAnsi="Aptos"/>
                <w:b/>
                <w:sz w:val="13"/>
              </w:rPr>
              <w:t>Owner</w:t>
            </w:r>
          </w:p>
        </w:tc>
      </w:tr>
      <w:tr>
        <w:tc>
          <w:tcPr>
            <w:tcW w:type="dxa" w:w="3408"/>
            <w:vAlign w:val="top"/>
          </w:tcPr>
          <w:p>
            <w:r/>
            <w:r>
              <w:rPr>
                <w:rFonts w:ascii="Aptos" w:hAnsi="Aptos"/>
                <w:b w:val="0"/>
                <w:sz w:val="13"/>
              </w:rPr>
              <w:t>Scheduled refresh</w:t>
            </w:r>
          </w:p>
        </w:tc>
        <w:tc>
          <w:tcPr>
            <w:tcW w:type="dxa" w:w="3408"/>
            <w:vAlign w:val="top"/>
          </w:tcPr>
          <w:p>
            <w:r/>
            <w:r>
              <w:rPr>
                <w:rFonts w:ascii="Aptos" w:hAnsi="Aptos"/>
                <w:b w:val="0"/>
                <w:sz w:val="13"/>
              </w:rPr>
              <w:t>No single unattended refresh cadence applies to all datasets. Each source is reviewed on a risk-appropriate schedule. Clinical content/terminology/model artefacts are version-driven; analytical/evaluation datasets are refreshed when new approved evidence is introduced. Define dataset-specific cadence before Beta.</w:t>
            </w:r>
          </w:p>
        </w:tc>
        <w:tc>
          <w:tcPr>
            <w:tcW w:type="dxa" w:w="3408"/>
            <w:vAlign w:val="top"/>
          </w:tcPr>
          <w:p>
            <w:r/>
            <w:r>
              <w:rPr>
                <w:rFonts w:ascii="Aptos" w:hAnsi="Aptos"/>
                <w:b w:val="0"/>
                <w:sz w:val="13"/>
              </w:rPr>
              <w:t>Data Owner / Clinical / Data Science; final split [TBC].</w:t>
            </w:r>
          </w:p>
        </w:tc>
      </w:tr>
      <w:tr>
        <w:tc>
          <w:tcPr>
            <w:tcW w:type="dxa" w:w="3408"/>
            <w:vAlign w:val="top"/>
          </w:tcPr>
          <w:p>
            <w:r/>
            <w:r>
              <w:rPr>
                <w:rFonts w:ascii="Aptos" w:hAnsi="Aptos"/>
                <w:b w:val="0"/>
                <w:sz w:val="13"/>
              </w:rPr>
              <w:t>Quality degradation</w:t>
            </w:r>
          </w:p>
        </w:tc>
        <w:tc>
          <w:tcPr>
            <w:tcW w:type="dxa" w:w="3408"/>
            <w:vAlign w:val="top"/>
          </w:tcPr>
          <w:p>
            <w:r/>
            <w:r>
              <w:rPr>
                <w:rFonts w:ascii="Aptos" w:hAnsi="Aptos"/>
                <w:b w:val="0"/>
                <w:sz w:val="13"/>
              </w:rPr>
              <w:t>Trigger review where completeness, representativeness, linkage quality, coding quality, calibration or subgroup performance falls outside approved thresholds. Suspend use of affected data/model where safety could be compromised; investigate, remediate and revalidate.</w:t>
            </w:r>
          </w:p>
        </w:tc>
        <w:tc>
          <w:tcPr>
            <w:tcW w:type="dxa" w:w="3408"/>
            <w:vAlign w:val="top"/>
          </w:tcPr>
          <w:p>
            <w:r/>
            <w:r>
              <w:rPr>
                <w:rFonts w:ascii="Aptos" w:hAnsi="Aptos"/>
                <w:b w:val="0"/>
                <w:sz w:val="13"/>
              </w:rPr>
              <w:t>Data Science / Clinical / QA; thresholds [TBC].</w:t>
            </w:r>
          </w:p>
        </w:tc>
      </w:tr>
      <w:tr>
        <w:tc>
          <w:tcPr>
            <w:tcW w:type="dxa" w:w="3408"/>
            <w:vAlign w:val="top"/>
          </w:tcPr>
          <w:p>
            <w:r/>
            <w:r>
              <w:rPr>
                <w:rFonts w:ascii="Aptos" w:hAnsi="Aptos"/>
                <w:b w:val="0"/>
                <w:sz w:val="13"/>
              </w:rPr>
              <w:t>Source change / outage</w:t>
            </w:r>
          </w:p>
        </w:tc>
        <w:tc>
          <w:tcPr>
            <w:tcW w:type="dxa" w:w="3408"/>
            <w:vAlign w:val="top"/>
          </w:tcPr>
          <w:p>
            <w:r/>
            <w:r>
              <w:rPr>
                <w:rFonts w:ascii="Aptos" w:hAnsi="Aptos"/>
                <w:b w:val="0"/>
                <w:sz w:val="13"/>
              </w:rPr>
              <w:t>Assess impact when a source schema, terminology version, clinical content version, supplier/service or availability changes. Use last approved version or safe fallback where allowed; prevent unvalidated new data from automatically changing an approved model.</w:t>
            </w:r>
          </w:p>
        </w:tc>
        <w:tc>
          <w:tcPr>
            <w:tcW w:type="dxa" w:w="3408"/>
            <w:vAlign w:val="top"/>
          </w:tcPr>
          <w:p>
            <w:r/>
            <w:r>
              <w:rPr>
                <w:rFonts w:ascii="Aptos" w:hAnsi="Aptos"/>
                <w:b w:val="0"/>
                <w:sz w:val="13"/>
              </w:rPr>
              <w:t>Data Engineering / Architecture / Clinical / Operations.</w:t>
            </w:r>
          </w:p>
        </w:tc>
      </w:tr>
      <w:tr>
        <w:tc>
          <w:tcPr>
            <w:tcW w:type="dxa" w:w="3408"/>
            <w:vAlign w:val="top"/>
          </w:tcPr>
          <w:p>
            <w:r/>
            <w:r>
              <w:rPr>
                <w:rFonts w:ascii="Aptos" w:hAnsi="Aptos"/>
                <w:b w:val="0"/>
                <w:sz w:val="13"/>
              </w:rPr>
              <w:t>Regulatory change</w:t>
            </w:r>
          </w:p>
        </w:tc>
        <w:tc>
          <w:tcPr>
            <w:tcW w:type="dxa" w:w="3408"/>
            <w:vAlign w:val="top"/>
          </w:tcPr>
          <w:p>
            <w:r/>
            <w:r>
              <w:rPr>
                <w:rFonts w:ascii="Aptos" w:hAnsi="Aptos"/>
                <w:b w:val="0"/>
                <w:sz w:val="13"/>
              </w:rPr>
              <w:t>Reassess lawful basis, retention, data flows, supplier controls and intended use when UK GDPR/DPA, medical-device/clinical-safety requirements, NHS policy or other applicable regulation changes. Re-approve before material changes are released.</w:t>
            </w:r>
          </w:p>
        </w:tc>
        <w:tc>
          <w:tcPr>
            <w:tcW w:type="dxa" w:w="3408"/>
            <w:vAlign w:val="top"/>
          </w:tcPr>
          <w:p>
            <w:r/>
            <w:r>
              <w:rPr>
                <w:rFonts w:ascii="Aptos" w:hAnsi="Aptos"/>
                <w:b w:val="0"/>
                <w:sz w:val="13"/>
              </w:rPr>
              <w:t>IG/Legal/Compliance / Clinical Safety / Product.</w:t>
            </w:r>
          </w:p>
        </w:tc>
      </w:tr>
      <w:tr>
        <w:tc>
          <w:tcPr>
            <w:tcW w:type="dxa" w:w="3408"/>
            <w:vAlign w:val="top"/>
          </w:tcPr>
          <w:p>
            <w:r/>
            <w:r>
              <w:rPr>
                <w:rFonts w:ascii="Aptos" w:hAnsi="Aptos"/>
                <w:b w:val="0"/>
                <w:sz w:val="13"/>
              </w:rPr>
              <w:t>Material model/intended-use change</w:t>
            </w:r>
          </w:p>
        </w:tc>
        <w:tc>
          <w:tcPr>
            <w:tcW w:type="dxa" w:w="3408"/>
            <w:vAlign w:val="top"/>
          </w:tcPr>
          <w:p>
            <w:r/>
            <w:r>
              <w:rPr>
                <w:rFonts w:ascii="Aptos" w:hAnsi="Aptos"/>
                <w:b w:val="0"/>
                <w:sz w:val="13"/>
              </w:rPr>
              <w:t>Revisit source suitability, data minimisation, representativeness and lawful-use assumptions whenever the model scope, target population, channel, clinical purpose or inference topology materially changes.</w:t>
            </w:r>
          </w:p>
        </w:tc>
        <w:tc>
          <w:tcPr>
            <w:tcW w:type="dxa" w:w="3408"/>
            <w:vAlign w:val="top"/>
          </w:tcPr>
          <w:p>
            <w:r/>
            <w:r>
              <w:rPr>
                <w:rFonts w:ascii="Aptos" w:hAnsi="Aptos"/>
                <w:b w:val="0"/>
                <w:sz w:val="13"/>
              </w:rPr>
              <w:t>Product / Clinical / Data Science / AI Governance.</w:t>
            </w:r>
          </w:p>
        </w:tc>
      </w:tr>
      <w:tr>
        <w:tc>
          <w:tcPr>
            <w:tcW w:type="dxa" w:w="3408"/>
            <w:vAlign w:val="top"/>
          </w:tcPr>
          <w:p>
            <w:r/>
            <w:r>
              <w:rPr>
                <w:rFonts w:ascii="Aptos" w:hAnsi="Aptos"/>
                <w:b w:val="0"/>
                <w:sz w:val="13"/>
              </w:rPr>
              <w:t>AI/clinical incident or near-miss</w:t>
            </w:r>
          </w:p>
        </w:tc>
        <w:tc>
          <w:tcPr>
            <w:tcW w:type="dxa" w:w="3408"/>
            <w:vAlign w:val="top"/>
          </w:tcPr>
          <w:p>
            <w:r/>
            <w:r>
              <w:rPr>
                <w:rFonts w:ascii="Aptos" w:hAnsi="Aptos"/>
                <w:b w:val="0"/>
                <w:sz w:val="13"/>
              </w:rPr>
              <w:t>Review the underlying data, provenance, quality, labels, transformation pipeline, logs and affected model release after any incident that suggests data contributed to unsafe or incorrect behaviour.</w:t>
            </w:r>
          </w:p>
        </w:tc>
        <w:tc>
          <w:tcPr>
            <w:tcW w:type="dxa" w:w="3408"/>
            <w:vAlign w:val="top"/>
          </w:tcPr>
          <w:p>
            <w:r/>
            <w:r>
              <w:rPr>
                <w:rFonts w:ascii="Aptos" w:hAnsi="Aptos"/>
                <w:b w:val="0"/>
                <w:sz w:val="13"/>
              </w:rPr>
              <w:t>Clinical Safety / Product / Data Science / Security as relevant.</w:t>
            </w:r>
          </w:p>
        </w:tc>
      </w:tr>
    </w:tbl>
    <w:p/>
    <w:p>
      <w:pPr>
        <w:pStyle w:val="Heading1"/>
      </w:pPr>
      <w:r>
        <w:t>10. Change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D3"/>
          </w:tcPr>
          <w:p>
            <w:r/>
            <w:r>
              <w:rPr>
                <w:rFonts w:ascii="Aptos" w:hAnsi="Aptos"/>
                <w:b/>
                <w:sz w:val="16"/>
              </w:rPr>
              <w:t>Version</w:t>
            </w:r>
          </w:p>
        </w:tc>
        <w:tc>
          <w:tcPr>
            <w:tcW w:type="dxa" w:w="2556"/>
            <w:vAlign w:val="top"/>
            <w:shd w:fill="D9EAD3"/>
          </w:tcPr>
          <w:p>
            <w:r/>
            <w:r>
              <w:rPr>
                <w:rFonts w:ascii="Aptos" w:hAnsi="Aptos"/>
                <w:b/>
                <w:sz w:val="16"/>
              </w:rPr>
              <w:t>Date</w:t>
            </w:r>
          </w:p>
        </w:tc>
        <w:tc>
          <w:tcPr>
            <w:tcW w:type="dxa" w:w="2556"/>
            <w:vAlign w:val="top"/>
            <w:shd w:fill="D9EAD3"/>
          </w:tcPr>
          <w:p>
            <w:r/>
            <w:r>
              <w:rPr>
                <w:rFonts w:ascii="Aptos" w:hAnsi="Aptos"/>
                <w:b/>
                <w:sz w:val="16"/>
              </w:rPr>
              <w:t>Author</w:t>
            </w:r>
          </w:p>
        </w:tc>
        <w:tc>
          <w:tcPr>
            <w:tcW w:type="dxa" w:w="2556"/>
            <w:vAlign w:val="top"/>
            <w:shd w:fill="D9EAD3"/>
          </w:tcPr>
          <w:p>
            <w:r/>
            <w:r>
              <w:rPr>
                <w:rFonts w:ascii="Aptos" w:hAnsi="Aptos"/>
                <w:b/>
                <w:sz w:val="16"/>
              </w:rPr>
              <w:t>Change</w:t>
            </w:r>
          </w:p>
        </w:tc>
      </w:tr>
      <w:tr>
        <w:tc>
          <w:tcPr>
            <w:tcW w:type="dxa" w:w="2556"/>
            <w:vAlign w:val="top"/>
          </w:tcPr>
          <w:p>
            <w:r/>
            <w:r>
              <w:rPr>
                <w:rFonts w:ascii="Aptos" w:hAnsi="Aptos"/>
                <w:b w:val="0"/>
                <w:sz w:val="16"/>
              </w:rPr>
              <w:t>0.1</w:t>
            </w:r>
          </w:p>
        </w:tc>
        <w:tc>
          <w:tcPr>
            <w:tcW w:type="dxa" w:w="2556"/>
            <w:vAlign w:val="top"/>
          </w:tcPr>
          <w:p>
            <w:r/>
            <w:r>
              <w:rPr>
                <w:rFonts w:ascii="Aptos" w:hAnsi="Aptos"/>
                <w:b w:val="0"/>
                <w:sz w:val="16"/>
              </w:rPr>
              <w:t>06.09.2026</w:t>
            </w:r>
          </w:p>
        </w:tc>
        <w:tc>
          <w:tcPr>
            <w:tcW w:type="dxa" w:w="2556"/>
            <w:vAlign w:val="top"/>
          </w:tcPr>
          <w:p>
            <w:r/>
            <w:r>
              <w:rPr>
                <w:rFonts w:ascii="Aptos" w:hAnsi="Aptos"/>
                <w:b w:val="0"/>
                <w:sz w:val="16"/>
              </w:rPr>
              <w:t>Adaptive Triage architecture / AI governance working draft</w:t>
            </w:r>
          </w:p>
        </w:tc>
        <w:tc>
          <w:tcPr>
            <w:tcW w:type="dxa" w:w="2556"/>
            <w:vAlign w:val="top"/>
          </w:tcPr>
          <w:p>
            <w:r/>
            <w:r>
              <w:rPr>
                <w:rFonts w:ascii="Aptos" w:hAnsi="Aptos"/>
                <w:b w:val="0"/>
                <w:sz w:val="16"/>
              </w:rPr>
              <w:t>Initial question-by-question response pack created from the Kainos AI Data Management Record Template and current Adaptive Triage position.</w:t>
            </w:r>
          </w:p>
        </w:tc>
      </w:tr>
    </w:tbl>
    <w:p/>
    <w:p>
      <w:pPr>
        <w:pStyle w:val="Heading1"/>
      </w:pPr>
      <w:r>
        <w:t>Outstanding information to confirm before formal submission</w:t>
      </w:r>
    </w:p>
    <w:p>
      <w:pPr>
        <w:pStyle w:val="ListBullet"/>
        <w:spacing w:after="40"/>
      </w:pPr>
      <w:r>
        <w:t>OneTrust Assessment ID and exact DPIA reference/link.</w:t>
      </w:r>
    </w:p>
    <w:p>
      <w:pPr>
        <w:pStyle w:val="ListBullet"/>
        <w:spacing w:after="40"/>
      </w:pPr>
      <w:r>
        <w:t>Formal Risk Tier decision.</w:t>
      </w:r>
    </w:p>
    <w:p>
      <w:pPr>
        <w:pStyle w:val="ListBullet"/>
        <w:spacing w:after="40"/>
      </w:pPr>
      <w:r>
        <w:t>Confirmed Controller/Processor wording and contractual responsibility split.</w:t>
      </w:r>
    </w:p>
    <w:p>
      <w:pPr>
        <w:pStyle w:val="ListBullet"/>
        <w:spacing w:after="40"/>
      </w:pPr>
      <w:r>
        <w:t>Named Accountable Owner, Approver, reviewers and dataset owners.</w:t>
      </w:r>
    </w:p>
    <w:p>
      <w:pPr>
        <w:pStyle w:val="ListBullet"/>
        <w:spacing w:after="40"/>
      </w:pPr>
      <w:r>
        <w:t>Exact data-source names, dataset IDs, source-system references and approved date ranges.</w:t>
      </w:r>
    </w:p>
    <w:p>
      <w:pPr>
        <w:pStyle w:val="ListBullet"/>
        <w:spacing w:after="40"/>
      </w:pPr>
      <w:r>
        <w:t>Exact licensing/contract references for NHS content, terminology, historical datasets, AWS and Bedrock model providers.</w:t>
      </w:r>
    </w:p>
    <w:p>
      <w:pPr>
        <w:pStyle w:val="ListBullet"/>
        <w:spacing w:after="40"/>
      </w:pPr>
      <w:r>
        <w:t>Dataset-specific lawful basis wording for personal/special-category data.</w:t>
      </w:r>
    </w:p>
    <w:p>
      <w:pPr>
        <w:pStyle w:val="ListBullet"/>
        <w:spacing w:after="40"/>
      </w:pPr>
      <w:r>
        <w:t>Exact storage accounts/regions/tenancies where required by the Kainos system.</w:t>
      </w:r>
    </w:p>
    <w:p>
      <w:pPr>
        <w:pStyle w:val="ListBullet"/>
        <w:spacing w:after="40"/>
      </w:pPr>
      <w:r>
        <w:t>Approved retention periods for runtime data, logs, evaluation evidence, source datasets and superseded model artefacts.</w:t>
      </w:r>
    </w:p>
    <w:p>
      <w:pPr>
        <w:pStyle w:val="ListBullet"/>
        <w:spacing w:after="40"/>
      </w:pPr>
      <w:r>
        <w:t>Exact cross-border/region commitments and supplier/sub-processor clauses.</w:t>
      </w:r>
    </w:p>
    <w:p>
      <w:pPr>
        <w:pStyle w:val="ListBullet"/>
        <w:spacing w:after="40"/>
      </w:pPr>
      <w:r>
        <w:t>Final train/validation/test split methods and reproducibility references for datasets used empirically.</w:t>
      </w:r>
    </w:p>
    <w:p>
      <w:pPr>
        <w:pStyle w:val="ListBullet"/>
        <w:spacing w:after="40"/>
      </w:pPr>
      <w:r>
        <w:t>Approved quality, fairness and drift thresholds.</w:t>
      </w:r>
    </w:p>
    <w:p>
      <w:pPr>
        <w:pStyle w:val="ListBullet"/>
        <w:spacing w:after="40"/>
      </w:pPr>
      <w:r>
        <w:t>Exact change-notification and exit/data-return commitments for AWS/Bedrock and any other sub-processors.</w:t>
      </w:r>
    </w:p>
    <w:p>
      <w:pPr>
        <w:pStyle w:val="Heading1"/>
      </w:pPr>
      <w:r>
        <w:t>Source template basis</w:t>
      </w:r>
    </w:p>
    <w:p>
      <w:r>
        <w:t>This report mirrors the Kainos AI Data Management Record Template (Version 1.0, issued 15 May 2026). It covers System Identity, Data Sources, Data Categories and Sensitivity, Provenance and Licensing, Data Quality, Data Preparation, Handling Rules, Sub-processors and Third Parties, Data Subject Rights and Privacy, Refresh and Review Triggers, and Change History.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Artefact 3 - Kainos AI Data Management Record - Adaptive Triage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