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32"/>
        </w:rPr>
        <w:t>Artefact 4</w:t>
      </w:r>
    </w:p>
    <w:p>
      <w:pPr>
        <w:jc w:val="center"/>
      </w:pPr>
      <w:r>
        <w:rPr>
          <w:rFonts w:ascii="Aptos Display" w:hAnsi="Aptos Display"/>
          <w:b/>
          <w:sz w:val="48"/>
        </w:rPr>
        <w:t>Kainos AI Monitoring and Review Record</w:t>
      </w:r>
    </w:p>
    <w:p>
      <w:pPr>
        <w:jc w:val="center"/>
      </w:pPr>
      <w:r>
        <w:rPr>
          <w:rFonts w:ascii="Aptos Display" w:hAnsi="Aptos Display"/>
          <w:b/>
          <w:sz w:val="40"/>
        </w:rPr>
        <w:t>Adaptive Triage</w:t>
      </w:r>
    </w:p>
    <w:p/>
    <w:p>
      <w:pPr>
        <w:jc w:val="center"/>
      </w:pPr>
      <w:r>
        <w:rPr>
          <w:sz w:val="22"/>
        </w:rPr>
        <w:t>Question-by-question response pack for copy and paste into the Kainos assurance system</w:t>
      </w:r>
    </w:p>
    <w:p/>
    <w:p>
      <w:pPr>
        <w:jc w:val="center"/>
      </w:pPr>
      <w:r>
        <w:rPr>
          <w:b/>
          <w:sz w:val="20"/>
        </w:rPr>
        <w:t>Status: Draft working response</w:t>
      </w:r>
    </w:p>
    <w:p>
      <w:r>
        <w:br w:type="page"/>
      </w:r>
    </w:p>
    <w:p>
      <w:pPr>
        <w:pStyle w:val="Heading1"/>
      </w:pPr>
      <w:r>
        <w:t>How to use this report</w:t>
      </w:r>
    </w:p>
    <w:p>
      <w:r>
        <w:t>This report follows the Kainos AI Monitoring and Review Record Template in the same order as the source artefact. Each requested field or table entry is reproduced with a copy-and-paste-ready Adaptive Triage response. Because Adaptive Triage is currently in Alpha and has not yet entered live operation, this report deliberately distinguishes between evidence that already exists, evidence being generated during Alpha/Beta, and operational values that cannot be known until deployment.</w:t>
      </w:r>
    </w:p>
    <w:p>
      <w:r>
        <w:t>The template records verification and validation outcomes (C6), operational monitoring (C10), AI-related incidents (C11), and for Tier 3 systems the red-team testing (C14) and post go-live monitoring plan (C15). Where formal results, dates, owners or thresholds have not yet been approved, the answer is marked [TBC] rather than presenting planned activity as completed assurance evidence.</w:t>
      </w:r>
    </w:p>
    <w:p>
      <w:pPr>
        <w:pStyle w:val="Heading1"/>
      </w:pPr>
      <w:r>
        <w:t>1.1 System Identity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D9EAD3"/>
          </w:tcPr>
          <w:p>
            <w:r/>
            <w:r>
              <w:rPr>
                <w:rFonts w:ascii="Aptos" w:hAnsi="Aptos"/>
                <w:b/>
                <w:sz w:val="16"/>
              </w:rPr>
              <w:t>Template field</w:t>
            </w:r>
          </w:p>
        </w:tc>
        <w:tc>
          <w:tcPr>
            <w:tcW w:type="dxa" w:w="5112"/>
            <w:vAlign w:val="top"/>
            <w:shd w:fill="D9EAD3"/>
          </w:tcPr>
          <w:p>
            <w:r/>
            <w:r>
              <w:rPr>
                <w:rFonts w:ascii="Aptos" w:hAnsi="Aptos"/>
                <w:b/>
                <w:sz w:val="16"/>
              </w:rPr>
              <w:t>Copy/paste answer</w:t>
            </w:r>
          </w:p>
        </w:tc>
      </w:tr>
      <w:tr>
        <w:tc>
          <w:tcPr>
            <w:tcW w:type="dxa" w:w="5112"/>
            <w:vAlign w:val="top"/>
          </w:tcPr>
          <w:p>
            <w:r/>
            <w:r>
              <w:rPr>
                <w:rFonts w:ascii="Aptos" w:hAnsi="Aptos"/>
                <w:b w:val="0"/>
                <w:sz w:val="16"/>
              </w:rPr>
              <w:t>AI System Name</w:t>
            </w:r>
          </w:p>
        </w:tc>
        <w:tc>
          <w:tcPr>
            <w:tcW w:type="dxa" w:w="5112"/>
            <w:vAlign w:val="top"/>
          </w:tcPr>
          <w:p>
            <w:r/>
            <w:r>
              <w:rPr>
                <w:rFonts w:ascii="Aptos" w:hAnsi="Aptos"/>
                <w:b w:val="0"/>
                <w:sz w:val="16"/>
              </w:rPr>
              <w:t>Adaptive Triage</w:t>
            </w:r>
          </w:p>
        </w:tc>
      </w:tr>
      <w:tr>
        <w:tc>
          <w:tcPr>
            <w:tcW w:type="dxa" w:w="5112"/>
            <w:vAlign w:val="top"/>
          </w:tcPr>
          <w:p>
            <w:r/>
            <w:r>
              <w:rPr>
                <w:rFonts w:ascii="Aptos" w:hAnsi="Aptos"/>
                <w:b w:val="0"/>
                <w:sz w:val="16"/>
              </w:rPr>
              <w:t>OneTrust Assessment</w:t>
            </w:r>
          </w:p>
        </w:tc>
        <w:tc>
          <w:tcPr>
            <w:tcW w:type="dxa" w:w="5112"/>
            <w:vAlign w:val="top"/>
          </w:tcPr>
          <w:p>
            <w:r/>
            <w:r>
              <w:rPr>
                <w:rFonts w:ascii="Aptos" w:hAnsi="Aptos"/>
                <w:b w:val="0"/>
                <w:sz w:val="16"/>
              </w:rPr>
              <w:t>[TBC - insert OneTrust Assessment link/reference once confirmed.]</w:t>
            </w:r>
          </w:p>
        </w:tc>
      </w:tr>
      <w:tr>
        <w:tc>
          <w:tcPr>
            <w:tcW w:type="dxa" w:w="5112"/>
            <w:vAlign w:val="top"/>
          </w:tcPr>
          <w:p>
            <w:r/>
            <w:r>
              <w:rPr>
                <w:rFonts w:ascii="Aptos" w:hAnsi="Aptos"/>
                <w:b w:val="0"/>
                <w:sz w:val="16"/>
              </w:rPr>
              <w:t>Risk Tier</w:t>
            </w:r>
          </w:p>
        </w:tc>
        <w:tc>
          <w:tcPr>
            <w:tcW w:type="dxa" w:w="5112"/>
            <w:vAlign w:val="top"/>
          </w:tcPr>
          <w:p>
            <w:r/>
            <w:r>
              <w:rPr>
                <w:rFonts w:ascii="Aptos" w:hAnsi="Aptos"/>
                <w:b w:val="0"/>
                <w:sz w:val="16"/>
              </w:rPr>
              <w:t>Tier 3 - High (working assumption; formal classification remains subject to the Kainos AI Governance Forum).</w:t>
            </w:r>
          </w:p>
        </w:tc>
      </w:tr>
      <w:tr>
        <w:tc>
          <w:tcPr>
            <w:tcW w:type="dxa" w:w="5112"/>
            <w:vAlign w:val="top"/>
          </w:tcPr>
          <w:p>
            <w:r/>
            <w:r>
              <w:rPr>
                <w:rFonts w:ascii="Aptos" w:hAnsi="Aptos"/>
                <w:b w:val="0"/>
                <w:sz w:val="16"/>
              </w:rPr>
              <w:t>Customer (if applicable)</w:t>
            </w:r>
          </w:p>
        </w:tc>
        <w:tc>
          <w:tcPr>
            <w:tcW w:type="dxa" w:w="5112"/>
            <w:vAlign w:val="top"/>
          </w:tcPr>
          <w:p>
            <w:r/>
            <w:r>
              <w:rPr>
                <w:rFonts w:ascii="Aptos" w:hAnsi="Aptos"/>
                <w:b w:val="0"/>
                <w:sz w:val="16"/>
              </w:rPr>
              <w:t>NHS England</w:t>
            </w:r>
          </w:p>
        </w:tc>
      </w:tr>
      <w:tr>
        <w:tc>
          <w:tcPr>
            <w:tcW w:type="dxa" w:w="5112"/>
            <w:vAlign w:val="top"/>
          </w:tcPr>
          <w:p>
            <w:r/>
            <w:r>
              <w:rPr>
                <w:rFonts w:ascii="Aptos" w:hAnsi="Aptos"/>
                <w:b w:val="0"/>
                <w:sz w:val="16"/>
              </w:rPr>
              <w:t>Data Governance Role</w:t>
            </w:r>
          </w:p>
        </w:tc>
        <w:tc>
          <w:tcPr>
            <w:tcW w:type="dxa" w:w="5112"/>
            <w:vAlign w:val="top"/>
          </w:tcPr>
          <w:p>
            <w:r/>
            <w:r>
              <w:rPr>
                <w:rFonts w:ascii="Aptos" w:hAnsi="Aptos"/>
                <w:b w:val="0"/>
                <w:sz w:val="16"/>
              </w:rPr>
              <w:t>Processor - proposed working position for Kainos delivery on behalf of NHS England. [TBC - confirm through contract/DPIA/IG.]</w:t>
            </w:r>
          </w:p>
        </w:tc>
      </w:tr>
      <w:tr>
        <w:tc>
          <w:tcPr>
            <w:tcW w:type="dxa" w:w="5112"/>
            <w:vAlign w:val="top"/>
          </w:tcPr>
          <w:p>
            <w:r/>
            <w:r>
              <w:rPr>
                <w:rFonts w:ascii="Aptos" w:hAnsi="Aptos"/>
                <w:b w:val="0"/>
                <w:sz w:val="16"/>
              </w:rPr>
              <w:t>Data Controller</w:t>
            </w:r>
          </w:p>
        </w:tc>
        <w:tc>
          <w:tcPr>
            <w:tcW w:type="dxa" w:w="5112"/>
            <w:vAlign w:val="top"/>
          </w:tcPr>
          <w:p>
            <w:r/>
            <w:r>
              <w:rPr>
                <w:rFonts w:ascii="Aptos" w:hAnsi="Aptos"/>
                <w:b w:val="0"/>
                <w:sz w:val="16"/>
              </w:rPr>
              <w:t>NHS England, subject to formal confirmation in the DPIA and contractual governance.</w:t>
            </w:r>
          </w:p>
        </w:tc>
      </w:tr>
      <w:tr>
        <w:tc>
          <w:tcPr>
            <w:tcW w:type="dxa" w:w="5112"/>
            <w:vAlign w:val="top"/>
          </w:tcPr>
          <w:p>
            <w:r/>
            <w:r>
              <w:rPr>
                <w:rFonts w:ascii="Aptos" w:hAnsi="Aptos"/>
                <w:b w:val="0"/>
                <w:sz w:val="16"/>
              </w:rPr>
              <w:t>Monitoring Owner</w:t>
            </w:r>
          </w:p>
        </w:tc>
        <w:tc>
          <w:tcPr>
            <w:tcW w:type="dxa" w:w="5112"/>
            <w:vAlign w:val="top"/>
          </w:tcPr>
          <w:p>
            <w:r/>
            <w:r>
              <w:rPr>
                <w:rFonts w:ascii="Aptos" w:hAnsi="Aptos"/>
                <w:b w:val="0"/>
                <w:sz w:val="16"/>
              </w:rPr>
              <w:t>Shared - Kainos is expected to implement and operate technical/model monitoring within the delivered service, while NHS England retains customer, clinical and data-controller governance. [TBC final operating model.]</w:t>
            </w:r>
          </w:p>
        </w:tc>
      </w:tr>
      <w:tr>
        <w:tc>
          <w:tcPr>
            <w:tcW w:type="dxa" w:w="5112"/>
            <w:vAlign w:val="top"/>
          </w:tcPr>
          <w:p>
            <w:r/>
            <w:r>
              <w:rPr>
                <w:rFonts w:ascii="Aptos" w:hAnsi="Aptos"/>
                <w:b w:val="0"/>
                <w:sz w:val="16"/>
              </w:rPr>
              <w:t>Accountable Owner</w:t>
            </w:r>
          </w:p>
        </w:tc>
        <w:tc>
          <w:tcPr>
            <w:tcW w:type="dxa" w:w="5112"/>
            <w:vAlign w:val="top"/>
          </w:tcPr>
          <w:p>
            <w:r/>
            <w:r>
              <w:rPr>
                <w:rFonts w:ascii="Aptos" w:hAnsi="Aptos"/>
                <w:b w:val="0"/>
                <w:sz w:val="16"/>
              </w:rPr>
              <w:t>[TBC - insert named Accountable Owner and role.]</w:t>
            </w:r>
          </w:p>
        </w:tc>
      </w:tr>
      <w:tr>
        <w:tc>
          <w:tcPr>
            <w:tcW w:type="dxa" w:w="5112"/>
            <w:vAlign w:val="top"/>
          </w:tcPr>
          <w:p>
            <w:r/>
            <w:r>
              <w:rPr>
                <w:rFonts w:ascii="Aptos" w:hAnsi="Aptos"/>
                <w:b w:val="0"/>
                <w:sz w:val="16"/>
              </w:rPr>
              <w:t>Approver</w:t>
            </w:r>
          </w:p>
        </w:tc>
        <w:tc>
          <w:tcPr>
            <w:tcW w:type="dxa" w:w="5112"/>
            <w:vAlign w:val="top"/>
          </w:tcPr>
          <w:p>
            <w:r/>
            <w:r>
              <w:rPr>
                <w:rFonts w:ascii="Aptos" w:hAnsi="Aptos"/>
                <w:b w:val="0"/>
                <w:sz w:val="16"/>
              </w:rPr>
              <w:t>[TBC - insert named Approver and role. For Tier 3 this must not be the Accountable Owner.]</w:t>
            </w:r>
          </w:p>
        </w:tc>
      </w:tr>
      <w:tr>
        <w:tc>
          <w:tcPr>
            <w:tcW w:type="dxa" w:w="5112"/>
            <w:vAlign w:val="top"/>
          </w:tcPr>
          <w:p>
            <w:r/>
            <w:r>
              <w:rPr>
                <w:rFonts w:ascii="Aptos" w:hAnsi="Aptos"/>
                <w:b w:val="0"/>
                <w:sz w:val="16"/>
              </w:rPr>
              <w:t>Reviewer(s)</w:t>
            </w:r>
          </w:p>
        </w:tc>
        <w:tc>
          <w:tcPr>
            <w:tcW w:type="dxa" w:w="5112"/>
            <w:vAlign w:val="top"/>
          </w:tcPr>
          <w:p>
            <w:r/>
            <w:r>
              <w:rPr>
                <w:rFonts w:ascii="Aptos" w:hAnsi="Aptos"/>
                <w:b w:val="0"/>
                <w:sz w:val="16"/>
              </w:rPr>
              <w:t>Clinical Safety; Security; Data/AI Ethics; Quality Assurance; Data Science/AI Engineering; Information Governance/Data Protection; Legal/Compliance; Architecture as required.</w:t>
            </w:r>
          </w:p>
        </w:tc>
      </w:tr>
      <w:tr>
        <w:tc>
          <w:tcPr>
            <w:tcW w:type="dxa" w:w="5112"/>
            <w:vAlign w:val="top"/>
          </w:tcPr>
          <w:p>
            <w:r/>
            <w:r>
              <w:rPr>
                <w:rFonts w:ascii="Aptos" w:hAnsi="Aptos"/>
                <w:b w:val="0"/>
                <w:sz w:val="16"/>
              </w:rPr>
              <w:t>Lifecycle Stage</w:t>
            </w:r>
          </w:p>
        </w:tc>
        <w:tc>
          <w:tcPr>
            <w:tcW w:type="dxa" w:w="5112"/>
            <w:vAlign w:val="top"/>
          </w:tcPr>
          <w:p>
            <w:r/>
            <w:r>
              <w:rPr>
                <w:rFonts w:ascii="Aptos" w:hAnsi="Aptos"/>
                <w:b w:val="0"/>
                <w:sz w:val="16"/>
              </w:rPr>
              <w:t>Develop - Alpha progressing towards Beta; production monitoring has not yet commenced.</w:t>
            </w:r>
          </w:p>
        </w:tc>
      </w:tr>
      <w:tr>
        <w:tc>
          <w:tcPr>
            <w:tcW w:type="dxa" w:w="5112"/>
            <w:vAlign w:val="top"/>
          </w:tcPr>
          <w:p>
            <w:r/>
            <w:r>
              <w:rPr>
                <w:rFonts w:ascii="Aptos" w:hAnsi="Aptos"/>
                <w:b w:val="0"/>
                <w:sz w:val="16"/>
              </w:rPr>
              <w:t>Version</w:t>
            </w:r>
          </w:p>
        </w:tc>
        <w:tc>
          <w:tcPr>
            <w:tcW w:type="dxa" w:w="5112"/>
            <w:vAlign w:val="top"/>
          </w:tcPr>
          <w:p>
            <w:r/>
            <w:r>
              <w:rPr>
                <w:rFonts w:ascii="Aptos" w:hAnsi="Aptos"/>
                <w:b w:val="0"/>
                <w:sz w:val="16"/>
              </w:rPr>
              <w:t>0.1</w:t>
            </w:r>
          </w:p>
        </w:tc>
      </w:tr>
      <w:tr>
        <w:tc>
          <w:tcPr>
            <w:tcW w:type="dxa" w:w="5112"/>
            <w:vAlign w:val="top"/>
          </w:tcPr>
          <w:p>
            <w:r/>
            <w:r>
              <w:rPr>
                <w:rFonts w:ascii="Aptos" w:hAnsi="Aptos"/>
                <w:b w:val="0"/>
                <w:sz w:val="16"/>
              </w:rPr>
              <w:t>Date</w:t>
            </w:r>
          </w:p>
        </w:tc>
        <w:tc>
          <w:tcPr>
            <w:tcW w:type="dxa" w:w="5112"/>
            <w:vAlign w:val="top"/>
          </w:tcPr>
          <w:p>
            <w:r/>
            <w:r>
              <w:rPr>
                <w:rFonts w:ascii="Aptos" w:hAnsi="Aptos"/>
                <w:b w:val="0"/>
                <w:sz w:val="16"/>
              </w:rPr>
              <w:t>06.09.2026</w:t>
            </w:r>
          </w:p>
        </w:tc>
      </w:tr>
      <w:tr>
        <w:tc>
          <w:tcPr>
            <w:tcW w:type="dxa" w:w="5112"/>
            <w:vAlign w:val="top"/>
          </w:tcPr>
          <w:p>
            <w:r/>
            <w:r>
              <w:rPr>
                <w:rFonts w:ascii="Aptos" w:hAnsi="Aptos"/>
                <w:b w:val="0"/>
                <w:sz w:val="16"/>
              </w:rPr>
              <w:t>Status</w:t>
            </w:r>
          </w:p>
        </w:tc>
        <w:tc>
          <w:tcPr>
            <w:tcW w:type="dxa" w:w="5112"/>
            <w:vAlign w:val="top"/>
          </w:tcPr>
          <w:p>
            <w:r/>
            <w:r>
              <w:rPr>
                <w:rFonts w:ascii="Aptos" w:hAnsi="Aptos"/>
                <w:b w:val="0"/>
                <w:sz w:val="16"/>
              </w:rPr>
              <w:t>Draft</w:t>
            </w:r>
          </w:p>
        </w:tc>
      </w:tr>
    </w:tbl>
    <w:p/>
    <w:p>
      <w:pPr>
        <w:pStyle w:val="Heading2"/>
      </w:pPr>
      <w:r>
        <w:t>1.2 Summary</w:t>
      </w:r>
    </w:p>
    <w:p>
      <w:pPr>
        <w:pStyle w:val="Question"/>
        <w:spacing w:before="120" w:after="40"/>
      </w:pPr>
      <w:r>
        <w:t>Verification and validation results before release (C6).</w:t>
      </w:r>
    </w:p>
    <w:p>
      <w:pPr>
        <w:spacing w:after="120"/>
      </w:pPr>
      <w:r>
        <w:t>Adaptive Triage is currently in Alpha, therefore final pre-release verification and validation has not yet been completed. The intended V&amp;V evidence set includes functional inference testing, clinical vignette validation, safety testing for high-risk presentations, calibration/discrimination analysis, regression testing, subgroup/fairness analysis, API/integration testing, explainability/reconstruction checks, resilience/failure-mode testing and validation of model/safety controls. Existing Alpha testing results should be linked here as they are formally baselined; Beta release evidence must demonstrate that all pre-stated acceptance criteria have been met before go-live.</w:t>
      </w:r>
    </w:p>
    <w:p>
      <w:pPr>
        <w:pStyle w:val="Question"/>
        <w:spacing w:before="120" w:after="40"/>
      </w:pPr>
      <w:r>
        <w:t>Monitoring metrics, thresholds, and cadence in operation (C10).</w:t>
      </w:r>
    </w:p>
    <w:p>
      <w:pPr>
        <w:spacing w:after="120"/>
      </w:pPr>
      <w:r>
        <w:t>The monitoring design will cover clinical/model performance, safety signals, calibration, drift, subgroup performance, error/failure rates, latency, usage, escalation/override behaviour, complaints/redress and operational health. Thresholds must be approved before Beta go-live and linked to the Risk &amp; Impact Assessment and AI-specific NFRs. Production values are [TBC] because the service is not yet live.</w:t>
      </w:r>
    </w:p>
    <w:p>
      <w:pPr>
        <w:pStyle w:val="Question"/>
        <w:spacing w:before="120" w:after="40"/>
      </w:pPr>
      <w:r>
        <w:t>Observed drift, bias, and fairness signals.</w:t>
      </w:r>
    </w:p>
    <w:p>
      <w:pPr>
        <w:spacing w:after="120"/>
      </w:pPr>
      <w:r>
        <w:t>No production drift, bias or fairness observations exist yet because Adaptive Triage has not entered live operation. Alpha/Beta evaluation should establish the baseline metrics and subgroup performance against which post-go-live drift and fairness signals will be assessed.</w:t>
      </w:r>
    </w:p>
    <w:p>
      <w:pPr>
        <w:pStyle w:val="Question"/>
        <w:spacing w:before="120" w:after="40"/>
      </w:pPr>
      <w:r>
        <w:t>All AI-related incidents and their resolution (C11).</w:t>
      </w:r>
    </w:p>
    <w:p>
      <w:pPr>
        <w:spacing w:after="120"/>
      </w:pPr>
      <w:r>
        <w:t>No production AI incidents are recorded in this Monitoring and Review Record at the current lifecycle stage. Any Alpha/Beta test finding, safety near-miss or operational incident considered material should be recorded in the project incident/hazard process and cross-referenced here. Before go-live, the programme must define the AI/clinical incident classification, severity, escalation and regulatory/customer reporting routes.</w:t>
      </w:r>
    </w:p>
    <w:p>
      <w:pPr>
        <w:pStyle w:val="Question"/>
        <w:spacing w:before="120" w:after="40"/>
      </w:pPr>
      <w:r>
        <w:t>Periodic operational reviews and outcomes.</w:t>
      </w:r>
    </w:p>
    <w:p>
      <w:pPr>
        <w:spacing w:after="120"/>
      </w:pPr>
      <w:r>
        <w:t>Periodic operational reviews will commence when the system enters an operational Beta/live phase. Reviews will consider performance and safety metrics, drift/fairness observations, incidents and near-misses, material changes, user/operator feedback, open risks and any need to suspend, rollback, recalibrate or re-approve the model.</w:t>
      </w:r>
    </w:p>
    <w:p>
      <w:pPr>
        <w:pStyle w:val="Question"/>
        <w:spacing w:before="120" w:after="40"/>
      </w:pPr>
      <w:r>
        <w:t>For Tier 3: red-team test results and post go-live monitoring plan.</w:t>
      </w:r>
    </w:p>
    <w:p>
      <w:pPr>
        <w:spacing w:after="120"/>
      </w:pPr>
      <w:r>
        <w:t>Tier 3 red-team/adversarial testing is required before release but has not yet been completed as a formal assurance activity. A dedicated test plan should cover clinical safety probing, contradictory/incomplete evidence, misuse, malformed or adversarial inputs, bias/subgroup probes, configuration manipulation and relevant technical attack scenarios. A post go-live monitoring plan is defined in this report as a proposed operating model and must be formally approved before Beta/live deployment.</w:t>
      </w:r>
    </w:p>
    <w:p>
      <w:pPr>
        <w:pStyle w:val="Heading1"/>
      </w:pPr>
      <w:r>
        <w:t>2. Verification and Validation Results (C6)</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top"/>
            <w:shd w:fill="D9EAD3"/>
          </w:tcPr>
          <w:p>
            <w:r/>
            <w:r>
              <w:rPr>
                <w:rFonts w:ascii="Aptos" w:hAnsi="Aptos"/>
                <w:b/>
                <w:sz w:val="12"/>
              </w:rPr>
              <w:t>Activity</w:t>
            </w:r>
          </w:p>
        </w:tc>
        <w:tc>
          <w:tcPr>
            <w:tcW w:type="dxa" w:w="2045"/>
            <w:vAlign w:val="top"/>
            <w:shd w:fill="D9EAD3"/>
          </w:tcPr>
          <w:p>
            <w:r/>
            <w:r>
              <w:rPr>
                <w:rFonts w:ascii="Aptos" w:hAnsi="Aptos"/>
                <w:b/>
                <w:sz w:val="12"/>
              </w:rPr>
              <w:t>Scope</w:t>
            </w:r>
          </w:p>
        </w:tc>
        <w:tc>
          <w:tcPr>
            <w:tcW w:type="dxa" w:w="2045"/>
            <w:vAlign w:val="top"/>
            <w:shd w:fill="D9EAD3"/>
          </w:tcPr>
          <w:p>
            <w:r/>
            <w:r>
              <w:rPr>
                <w:rFonts w:ascii="Aptos" w:hAnsi="Aptos"/>
                <w:b/>
                <w:sz w:val="12"/>
              </w:rPr>
              <w:t>Date</w:t>
            </w:r>
          </w:p>
        </w:tc>
        <w:tc>
          <w:tcPr>
            <w:tcW w:type="dxa" w:w="2045"/>
            <w:vAlign w:val="top"/>
            <w:shd w:fill="D9EAD3"/>
          </w:tcPr>
          <w:p>
            <w:r/>
            <w:r>
              <w:rPr>
                <w:rFonts w:ascii="Aptos" w:hAnsi="Aptos"/>
                <w:b/>
                <w:sz w:val="12"/>
              </w:rPr>
              <w:t>Outcome</w:t>
            </w:r>
          </w:p>
        </w:tc>
        <w:tc>
          <w:tcPr>
            <w:tcW w:type="dxa" w:w="2045"/>
            <w:vAlign w:val="top"/>
            <w:shd w:fill="D9EAD3"/>
          </w:tcPr>
          <w:p>
            <w:r/>
            <w:r>
              <w:rPr>
                <w:rFonts w:ascii="Aptos" w:hAnsi="Aptos"/>
                <w:b/>
                <w:sz w:val="12"/>
              </w:rPr>
              <w:t>Evidence link</w:t>
            </w:r>
          </w:p>
        </w:tc>
      </w:tr>
      <w:tr>
        <w:tc>
          <w:tcPr>
            <w:tcW w:type="dxa" w:w="2045"/>
            <w:vAlign w:val="top"/>
          </w:tcPr>
          <w:p>
            <w:r/>
            <w:r>
              <w:rPr>
                <w:rFonts w:ascii="Aptos" w:hAnsi="Aptos"/>
                <w:b w:val="0"/>
                <w:sz w:val="12"/>
              </w:rPr>
              <w:t>Functional accuracy testing</w:t>
            </w:r>
          </w:p>
        </w:tc>
        <w:tc>
          <w:tcPr>
            <w:tcW w:type="dxa" w:w="2045"/>
            <w:vAlign w:val="top"/>
          </w:tcPr>
          <w:p>
            <w:r/>
            <w:r>
              <w:rPr>
                <w:rFonts w:ascii="Aptos" w:hAnsi="Aptos"/>
                <w:b w:val="0"/>
                <w:sz w:val="12"/>
              </w:rPr>
              <w:t>Bayesian inference correctness; probability updates; question selection; stopping logic; disposition/output generation; FHIR/API contract; model/configuration version handling; test datasets and regression suite.</w:t>
            </w:r>
          </w:p>
        </w:tc>
        <w:tc>
          <w:tcPr>
            <w:tcW w:type="dxa" w:w="2045"/>
            <w:vAlign w:val="top"/>
          </w:tcPr>
          <w:p>
            <w:r/>
            <w:r>
              <w:rPr>
                <w:rFonts w:ascii="Aptos" w:hAnsi="Aptos"/>
                <w:b w:val="0"/>
                <w:sz w:val="12"/>
              </w:rPr>
              <w:t>[TBC - record completed test date(s)]</w:t>
            </w:r>
          </w:p>
        </w:tc>
        <w:tc>
          <w:tcPr>
            <w:tcW w:type="dxa" w:w="2045"/>
            <w:vAlign w:val="top"/>
          </w:tcPr>
          <w:p>
            <w:r/>
            <w:r>
              <w:rPr>
                <w:rFonts w:ascii="Aptos" w:hAnsi="Aptos"/>
                <w:b w:val="0"/>
                <w:sz w:val="12"/>
              </w:rPr>
              <w:t>In progress / not yet final. Alpha testing is being used to establish baseline behaviour. Beta go-live requires all approved functional criteria to pass.</w:t>
            </w:r>
          </w:p>
        </w:tc>
        <w:tc>
          <w:tcPr>
            <w:tcW w:type="dxa" w:w="2045"/>
            <w:vAlign w:val="top"/>
          </w:tcPr>
          <w:p>
            <w:r/>
            <w:r>
              <w:rPr>
                <w:rFonts w:ascii="Aptos" w:hAnsi="Aptos"/>
                <w:b w:val="0"/>
                <w:sz w:val="12"/>
              </w:rPr>
              <w:t>[TBC - link Provena/test report/CI evidence]</w:t>
            </w:r>
          </w:p>
        </w:tc>
      </w:tr>
      <w:tr>
        <w:tc>
          <w:tcPr>
            <w:tcW w:type="dxa" w:w="2045"/>
            <w:vAlign w:val="top"/>
          </w:tcPr>
          <w:p>
            <w:r/>
            <w:r>
              <w:rPr>
                <w:rFonts w:ascii="Aptos" w:hAnsi="Aptos"/>
                <w:b w:val="0"/>
                <w:sz w:val="12"/>
              </w:rPr>
              <w:t>Safety testing</w:t>
            </w:r>
          </w:p>
        </w:tc>
        <w:tc>
          <w:tcPr>
            <w:tcW w:type="dxa" w:w="2045"/>
            <w:vAlign w:val="top"/>
          </w:tcPr>
          <w:p>
            <w:r/>
            <w:r>
              <w:rPr>
                <w:rFonts w:ascii="Aptos" w:hAnsi="Aptos"/>
                <w:b w:val="0"/>
                <w:sz w:val="12"/>
              </w:rPr>
              <w:t>High-risk and emergency presentations; unsafe false negatives; safety guardrails; escalation logic; threshold boundaries; incomplete/contradictory evidence; failure/fallback scenarios.</w:t>
            </w:r>
          </w:p>
        </w:tc>
        <w:tc>
          <w:tcPr>
            <w:tcW w:type="dxa" w:w="2045"/>
            <w:vAlign w:val="top"/>
          </w:tcPr>
          <w:p>
            <w:r/>
            <w:r>
              <w:rPr>
                <w:rFonts w:ascii="Aptos" w:hAnsi="Aptos"/>
                <w:b w:val="0"/>
                <w:sz w:val="12"/>
              </w:rPr>
              <w:t>[TBC]</w:t>
            </w:r>
          </w:p>
        </w:tc>
        <w:tc>
          <w:tcPr>
            <w:tcW w:type="dxa" w:w="2045"/>
            <w:vAlign w:val="top"/>
          </w:tcPr>
          <w:p>
            <w:r/>
            <w:r>
              <w:rPr>
                <w:rFonts w:ascii="Aptos" w:hAnsi="Aptos"/>
                <w:b w:val="0"/>
                <w:sz w:val="12"/>
              </w:rPr>
              <w:t>In progress / planned for formal Beta gate. High-risk cases should have risk-weighted acceptance thresholds agreed with Clinical Safety.</w:t>
            </w:r>
          </w:p>
        </w:tc>
        <w:tc>
          <w:tcPr>
            <w:tcW w:type="dxa" w:w="2045"/>
            <w:vAlign w:val="top"/>
          </w:tcPr>
          <w:p>
            <w:r/>
            <w:r>
              <w:rPr>
                <w:rFonts w:ascii="Aptos" w:hAnsi="Aptos"/>
                <w:b w:val="0"/>
                <w:sz w:val="12"/>
              </w:rPr>
              <w:t>[TBC - clinical safety/evaluation evidence]</w:t>
            </w:r>
          </w:p>
        </w:tc>
      </w:tr>
      <w:tr>
        <w:tc>
          <w:tcPr>
            <w:tcW w:type="dxa" w:w="2045"/>
            <w:vAlign w:val="top"/>
          </w:tcPr>
          <w:p>
            <w:r/>
            <w:r>
              <w:rPr>
                <w:rFonts w:ascii="Aptos" w:hAnsi="Aptos"/>
                <w:b w:val="0"/>
                <w:sz w:val="12"/>
              </w:rPr>
              <w:t>Fairness / bias testing</w:t>
            </w:r>
          </w:p>
        </w:tc>
        <w:tc>
          <w:tcPr>
            <w:tcW w:type="dxa" w:w="2045"/>
            <w:vAlign w:val="top"/>
          </w:tcPr>
          <w:p>
            <w:r/>
            <w:r>
              <w:rPr>
                <w:rFonts w:ascii="Aptos" w:hAnsi="Aptos"/>
                <w:b w:val="0"/>
                <w:sz w:val="12"/>
              </w:rPr>
              <w:t>Relevant protected characteristics and clinically important subgroups; comparison of sensitivity, outcome/disposition, calibration, question burden and escalation rates.</w:t>
            </w:r>
          </w:p>
        </w:tc>
        <w:tc>
          <w:tcPr>
            <w:tcW w:type="dxa" w:w="2045"/>
            <w:vAlign w:val="top"/>
          </w:tcPr>
          <w:p>
            <w:r/>
            <w:r>
              <w:rPr>
                <w:rFonts w:ascii="Aptos" w:hAnsi="Aptos"/>
                <w:b w:val="0"/>
                <w:sz w:val="12"/>
              </w:rPr>
              <w:t>[TBC]</w:t>
            </w:r>
          </w:p>
        </w:tc>
        <w:tc>
          <w:tcPr>
            <w:tcW w:type="dxa" w:w="2045"/>
            <w:vAlign w:val="top"/>
          </w:tcPr>
          <w:p>
            <w:r/>
            <w:r>
              <w:rPr>
                <w:rFonts w:ascii="Aptos" w:hAnsi="Aptos"/>
                <w:b w:val="0"/>
                <w:sz w:val="12"/>
              </w:rPr>
              <w:t>Planned. Final pass/fail outcome cannot be stated until subgroup set, thresholds and evaluation datasets are approved and testing completed.</w:t>
            </w:r>
          </w:p>
        </w:tc>
        <w:tc>
          <w:tcPr>
            <w:tcW w:type="dxa" w:w="2045"/>
            <w:vAlign w:val="top"/>
          </w:tcPr>
          <w:p>
            <w:r/>
            <w:r>
              <w:rPr>
                <w:rFonts w:ascii="Aptos" w:hAnsi="Aptos"/>
                <w:b w:val="0"/>
                <w:sz w:val="12"/>
              </w:rPr>
              <w:t>[TBC - fairness/bias evaluation]</w:t>
            </w:r>
          </w:p>
        </w:tc>
      </w:tr>
      <w:tr>
        <w:tc>
          <w:tcPr>
            <w:tcW w:type="dxa" w:w="2045"/>
            <w:vAlign w:val="top"/>
          </w:tcPr>
          <w:p>
            <w:r/>
            <w:r>
              <w:rPr>
                <w:rFonts w:ascii="Aptos" w:hAnsi="Aptos"/>
                <w:b w:val="0"/>
                <w:sz w:val="12"/>
              </w:rPr>
              <w:t>Control effectiveness</w:t>
            </w:r>
          </w:p>
        </w:tc>
        <w:tc>
          <w:tcPr>
            <w:tcW w:type="dxa" w:w="2045"/>
            <w:vAlign w:val="top"/>
          </w:tcPr>
          <w:p>
            <w:r/>
            <w:r>
              <w:rPr>
                <w:rFonts w:ascii="Aptos" w:hAnsi="Aptos"/>
                <w:b w:val="0"/>
                <w:sz w:val="12"/>
              </w:rPr>
              <w:t>Model approval gates; immutable/versioned artefacts; safety thresholds/guardrails; access controls; build-time LLM human/clinical review; logging/reconstruction; input validation; safe fallback.</w:t>
            </w:r>
          </w:p>
        </w:tc>
        <w:tc>
          <w:tcPr>
            <w:tcW w:type="dxa" w:w="2045"/>
            <w:vAlign w:val="top"/>
          </w:tcPr>
          <w:p>
            <w:r/>
            <w:r>
              <w:rPr>
                <w:rFonts w:ascii="Aptos" w:hAnsi="Aptos"/>
                <w:b w:val="0"/>
                <w:sz w:val="12"/>
              </w:rPr>
              <w:t>[TBC]</w:t>
            </w:r>
          </w:p>
        </w:tc>
        <w:tc>
          <w:tcPr>
            <w:tcW w:type="dxa" w:w="2045"/>
            <w:vAlign w:val="top"/>
          </w:tcPr>
          <w:p>
            <w:r/>
            <w:r>
              <w:rPr>
                <w:rFonts w:ascii="Aptos" w:hAnsi="Aptos"/>
                <w:b w:val="0"/>
                <w:sz w:val="12"/>
              </w:rPr>
              <w:t>Partially evidenced through architecture and test design. Formal control-effectiveness test results to be completed before release.</w:t>
            </w:r>
          </w:p>
        </w:tc>
        <w:tc>
          <w:tcPr>
            <w:tcW w:type="dxa" w:w="2045"/>
            <w:vAlign w:val="top"/>
          </w:tcPr>
          <w:p>
            <w:r/>
            <w:r>
              <w:rPr>
                <w:rFonts w:ascii="Aptos" w:hAnsi="Aptos"/>
                <w:b w:val="0"/>
                <w:sz w:val="12"/>
              </w:rPr>
              <w:t>[TBC - Risk Treatment / security / QA evidence]</w:t>
            </w:r>
          </w:p>
        </w:tc>
      </w:tr>
      <w:tr>
        <w:tc>
          <w:tcPr>
            <w:tcW w:type="dxa" w:w="2045"/>
            <w:vAlign w:val="top"/>
          </w:tcPr>
          <w:p>
            <w:r/>
            <w:r>
              <w:rPr>
                <w:rFonts w:ascii="Aptos" w:hAnsi="Aptos"/>
                <w:b w:val="0"/>
                <w:sz w:val="12"/>
              </w:rPr>
              <w:t>Acceptance criteria check</w:t>
            </w:r>
          </w:p>
        </w:tc>
        <w:tc>
          <w:tcPr>
            <w:tcW w:type="dxa" w:w="2045"/>
            <w:vAlign w:val="top"/>
          </w:tcPr>
          <w:p>
            <w:r/>
            <w:r>
              <w:rPr>
                <w:rFonts w:ascii="Aptos" w:hAnsi="Aptos"/>
                <w:b w:val="0"/>
                <w:sz w:val="12"/>
              </w:rPr>
              <w:t>Go/no-go review against the complete pre-stated acceptance criteria in Section 3.</w:t>
            </w:r>
          </w:p>
        </w:tc>
        <w:tc>
          <w:tcPr>
            <w:tcW w:type="dxa" w:w="2045"/>
            <w:vAlign w:val="top"/>
          </w:tcPr>
          <w:p>
            <w:r/>
            <w:r>
              <w:rPr>
                <w:rFonts w:ascii="Aptos" w:hAnsi="Aptos"/>
                <w:b w:val="0"/>
                <w:sz w:val="12"/>
              </w:rPr>
              <w:t>[TBC - immediately prior to release]</w:t>
            </w:r>
          </w:p>
        </w:tc>
        <w:tc>
          <w:tcPr>
            <w:tcW w:type="dxa" w:w="2045"/>
            <w:vAlign w:val="top"/>
          </w:tcPr>
          <w:p>
            <w:r/>
            <w:r>
              <w:rPr>
                <w:rFonts w:ascii="Aptos" w:hAnsi="Aptos"/>
                <w:b w:val="0"/>
                <w:sz w:val="12"/>
              </w:rPr>
              <w:t>Not yet performed. Go-live decision must be No-Go if any mandatory safety, clinical, governance or technical criterion is unmet unless an authorised exception exists.</w:t>
            </w:r>
          </w:p>
        </w:tc>
        <w:tc>
          <w:tcPr>
            <w:tcW w:type="dxa" w:w="2045"/>
            <w:vAlign w:val="top"/>
          </w:tcPr>
          <w:p>
            <w:r/>
            <w:r>
              <w:rPr>
                <w:rFonts w:ascii="Aptos" w:hAnsi="Aptos"/>
                <w:b w:val="0"/>
                <w:sz w:val="12"/>
              </w:rPr>
              <w:t>[TBC - release approval / Approvals &amp; Exceptions Log]</w:t>
            </w:r>
          </w:p>
        </w:tc>
      </w:tr>
      <w:tr>
        <w:tc>
          <w:tcPr>
            <w:tcW w:type="dxa" w:w="2045"/>
            <w:vAlign w:val="top"/>
          </w:tcPr>
          <w:p>
            <w:r/>
            <w:r>
              <w:rPr>
                <w:rFonts w:ascii="Aptos" w:hAnsi="Aptos"/>
                <w:b w:val="0"/>
                <w:sz w:val="12"/>
              </w:rPr>
              <w:t>Human oversight testing</w:t>
            </w:r>
          </w:p>
        </w:tc>
        <w:tc>
          <w:tcPr>
            <w:tcW w:type="dxa" w:w="2045"/>
            <w:vAlign w:val="top"/>
          </w:tcPr>
          <w:p>
            <w:r/>
            <w:r>
              <w:rPr>
                <w:rFonts w:ascii="Aptos" w:hAnsi="Aptos"/>
                <w:b w:val="0"/>
                <w:sz w:val="12"/>
              </w:rPr>
              <w:t>Clinician/model reviewer workflows; DAG/CPT inspection; validation evidence review; safety-setting changes; release approval; incident investigation; rollback; build-time LLM output review.</w:t>
            </w:r>
          </w:p>
        </w:tc>
        <w:tc>
          <w:tcPr>
            <w:tcW w:type="dxa" w:w="2045"/>
            <w:vAlign w:val="top"/>
          </w:tcPr>
          <w:p>
            <w:r/>
            <w:r>
              <w:rPr>
                <w:rFonts w:ascii="Aptos" w:hAnsi="Aptos"/>
                <w:b w:val="0"/>
                <w:sz w:val="12"/>
              </w:rPr>
              <w:t>[TBC]</w:t>
            </w:r>
          </w:p>
        </w:tc>
        <w:tc>
          <w:tcPr>
            <w:tcW w:type="dxa" w:w="2045"/>
            <w:vAlign w:val="top"/>
          </w:tcPr>
          <w:p>
            <w:r/>
            <w:r>
              <w:rPr>
                <w:rFonts w:ascii="Aptos" w:hAnsi="Aptos"/>
                <w:b w:val="0"/>
                <w:sz w:val="12"/>
              </w:rPr>
              <w:t>Planned. Clinical/admin workflows must demonstrate that reviewers can understand evidence, identify the active model/configuration, approve/reject changes and reconstruct relevant decisions.</w:t>
            </w:r>
          </w:p>
        </w:tc>
        <w:tc>
          <w:tcPr>
            <w:tcW w:type="dxa" w:w="2045"/>
            <w:vAlign w:val="top"/>
          </w:tcPr>
          <w:p>
            <w:r/>
            <w:r>
              <w:rPr>
                <w:rFonts w:ascii="Aptos" w:hAnsi="Aptos"/>
                <w:b w:val="0"/>
                <w:sz w:val="12"/>
              </w:rPr>
              <w:t>[TBC - usability / governance workflow test evidence]</w:t>
            </w:r>
          </w:p>
        </w:tc>
      </w:tr>
    </w:tbl>
    <w:p/>
    <w:p>
      <w:pPr>
        <w:pStyle w:val="Heading1"/>
      </w:pPr>
      <w:r>
        <w:t>3. Pre-Stated Acceptance Criteria</w:t>
      </w:r>
    </w:p>
    <w:p>
      <w:r>
        <w:t>The Kainos template requires criteria to be defined before V&amp;V starts. The values below are therefore a proposed acceptance framework, not a claim that final numeric thresholds have already been approved. Where a clinically justified numeric limit has not yet been agreed, the threshold is explicitly [TBC] and must be signed off before the corresponding formal V&amp;V evidence is generated.</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top"/>
            <w:shd w:fill="D9EAD3"/>
          </w:tcPr>
          <w:p>
            <w:r/>
            <w:r>
              <w:rPr>
                <w:rFonts w:ascii="Aptos" w:hAnsi="Aptos"/>
                <w:b/>
                <w:sz w:val="11"/>
              </w:rPr>
              <w:t>Ref</w:t>
            </w:r>
          </w:p>
        </w:tc>
        <w:tc>
          <w:tcPr>
            <w:tcW w:type="dxa" w:w="1704"/>
            <w:vAlign w:val="top"/>
            <w:shd w:fill="D9EAD3"/>
          </w:tcPr>
          <w:p>
            <w:r/>
            <w:r>
              <w:rPr>
                <w:rFonts w:ascii="Aptos" w:hAnsi="Aptos"/>
                <w:b/>
                <w:sz w:val="11"/>
              </w:rPr>
              <w:t>Acceptance criterion</w:t>
            </w:r>
          </w:p>
        </w:tc>
        <w:tc>
          <w:tcPr>
            <w:tcW w:type="dxa" w:w="1704"/>
            <w:vAlign w:val="top"/>
            <w:shd w:fill="D9EAD3"/>
          </w:tcPr>
          <w:p>
            <w:r/>
            <w:r>
              <w:rPr>
                <w:rFonts w:ascii="Aptos" w:hAnsi="Aptos"/>
                <w:b/>
                <w:sz w:val="11"/>
              </w:rPr>
              <w:t>Measure / threshold</w:t>
            </w:r>
          </w:p>
        </w:tc>
        <w:tc>
          <w:tcPr>
            <w:tcW w:type="dxa" w:w="1704"/>
            <w:vAlign w:val="top"/>
            <w:shd w:fill="D9EAD3"/>
          </w:tcPr>
          <w:p>
            <w:r/>
            <w:r>
              <w:rPr>
                <w:rFonts w:ascii="Aptos" w:hAnsi="Aptos"/>
                <w:b/>
                <w:sz w:val="11"/>
              </w:rPr>
              <w:t>Linked risk / NFR</w:t>
            </w:r>
          </w:p>
        </w:tc>
        <w:tc>
          <w:tcPr>
            <w:tcW w:type="dxa" w:w="1704"/>
            <w:vAlign w:val="top"/>
            <w:shd w:fill="D9EAD3"/>
          </w:tcPr>
          <w:p>
            <w:r/>
            <w:r>
              <w:rPr>
                <w:rFonts w:ascii="Aptos" w:hAnsi="Aptos"/>
                <w:b/>
                <w:sz w:val="11"/>
              </w:rPr>
              <w:t>Set by</w:t>
            </w:r>
          </w:p>
        </w:tc>
        <w:tc>
          <w:tcPr>
            <w:tcW w:type="dxa" w:w="1704"/>
            <w:vAlign w:val="top"/>
            <w:shd w:fill="D9EAD3"/>
          </w:tcPr>
          <w:p>
            <w:r/>
            <w:r>
              <w:rPr>
                <w:rFonts w:ascii="Aptos" w:hAnsi="Aptos"/>
                <w:b/>
                <w:sz w:val="11"/>
              </w:rPr>
              <w:t>Date set</w:t>
            </w:r>
          </w:p>
        </w:tc>
      </w:tr>
      <w:tr>
        <w:tc>
          <w:tcPr>
            <w:tcW w:type="dxa" w:w="1704"/>
            <w:vAlign w:val="top"/>
          </w:tcPr>
          <w:p>
            <w:r/>
            <w:r>
              <w:rPr>
                <w:rFonts w:ascii="Aptos" w:hAnsi="Aptos"/>
                <w:b w:val="0"/>
                <w:sz w:val="11"/>
              </w:rPr>
              <w:t>AC1</w:t>
            </w:r>
          </w:p>
        </w:tc>
        <w:tc>
          <w:tcPr>
            <w:tcW w:type="dxa" w:w="1704"/>
            <w:vAlign w:val="top"/>
          </w:tcPr>
          <w:p>
            <w:r/>
            <w:r>
              <w:rPr>
                <w:rFonts w:ascii="Aptos" w:hAnsi="Aptos"/>
                <w:b w:val="0"/>
                <w:sz w:val="11"/>
              </w:rPr>
              <w:t>High-risk / emergency safety detection</w:t>
            </w:r>
          </w:p>
        </w:tc>
        <w:tc>
          <w:tcPr>
            <w:tcW w:type="dxa" w:w="1704"/>
            <w:vAlign w:val="top"/>
          </w:tcPr>
          <w:p>
            <w:r/>
            <w:r>
              <w:rPr>
                <w:rFonts w:ascii="Aptos" w:hAnsi="Aptos"/>
                <w:b w:val="0"/>
                <w:sz w:val="11"/>
              </w:rPr>
              <w:t>For the approved high-risk vignette/reference set, sensitivity/false-negative tolerance must meet the clinically approved safety threshold. [TBC exact metric and numeric threshold.]</w:t>
            </w:r>
          </w:p>
        </w:tc>
        <w:tc>
          <w:tcPr>
            <w:tcW w:type="dxa" w:w="1704"/>
            <w:vAlign w:val="top"/>
          </w:tcPr>
          <w:p>
            <w:r/>
            <w:r>
              <w:rPr>
                <w:rFonts w:ascii="Aptos" w:hAnsi="Aptos"/>
                <w:b w:val="0"/>
                <w:sz w:val="11"/>
              </w:rPr>
              <w:t>R2/R9; Clinical Safety NFR</w:t>
            </w:r>
          </w:p>
        </w:tc>
        <w:tc>
          <w:tcPr>
            <w:tcW w:type="dxa" w:w="1704"/>
            <w:vAlign w:val="top"/>
          </w:tcPr>
          <w:p>
            <w:r/>
            <w:r>
              <w:rPr>
                <w:rFonts w:ascii="Aptos" w:hAnsi="Aptos"/>
                <w:b w:val="0"/>
                <w:sz w:val="11"/>
              </w:rPr>
              <w:t>Clinical Safety / Clinical Lead</w:t>
            </w:r>
          </w:p>
        </w:tc>
        <w:tc>
          <w:tcPr>
            <w:tcW w:type="dxa" w:w="1704"/>
            <w:vAlign w:val="top"/>
          </w:tcPr>
          <w:p>
            <w:r/>
            <w:r>
              <w:rPr>
                <w:rFonts w:ascii="Aptos" w:hAnsi="Aptos"/>
                <w:b w:val="0"/>
                <w:sz w:val="11"/>
              </w:rPr>
              <w:t>[TBC before formal V&amp;V]</w:t>
            </w:r>
          </w:p>
        </w:tc>
      </w:tr>
      <w:tr>
        <w:tc>
          <w:tcPr>
            <w:tcW w:type="dxa" w:w="1704"/>
            <w:vAlign w:val="top"/>
          </w:tcPr>
          <w:p>
            <w:r/>
            <w:r>
              <w:rPr>
                <w:rFonts w:ascii="Aptos" w:hAnsi="Aptos"/>
                <w:b w:val="0"/>
                <w:sz w:val="11"/>
              </w:rPr>
              <w:t>AC2</w:t>
            </w:r>
          </w:p>
        </w:tc>
        <w:tc>
          <w:tcPr>
            <w:tcW w:type="dxa" w:w="1704"/>
            <w:vAlign w:val="top"/>
          </w:tcPr>
          <w:p>
            <w:r/>
            <w:r>
              <w:rPr>
                <w:rFonts w:ascii="Aptos" w:hAnsi="Aptos"/>
                <w:b w:val="0"/>
                <w:sz w:val="11"/>
              </w:rPr>
              <w:t>Disposition / triage outcome performance</w:t>
            </w:r>
          </w:p>
        </w:tc>
        <w:tc>
          <w:tcPr>
            <w:tcW w:type="dxa" w:w="1704"/>
            <w:vAlign w:val="top"/>
          </w:tcPr>
          <w:p>
            <w:r/>
            <w:r>
              <w:rPr>
                <w:rFonts w:ascii="Aptos" w:hAnsi="Aptos"/>
                <w:b w:val="0"/>
                <w:sz w:val="11"/>
              </w:rPr>
              <w:t>Outcome/disposition performance against approved labelled evaluation data/vignettes must meet the clinically approved threshold, with error analysis demonstrating no unacceptable safety pattern. [TBC metric/threshold.]</w:t>
            </w:r>
          </w:p>
        </w:tc>
        <w:tc>
          <w:tcPr>
            <w:tcW w:type="dxa" w:w="1704"/>
            <w:vAlign w:val="top"/>
          </w:tcPr>
          <w:p>
            <w:r/>
            <w:r>
              <w:rPr>
                <w:rFonts w:ascii="Aptos" w:hAnsi="Aptos"/>
                <w:b w:val="0"/>
                <w:sz w:val="11"/>
              </w:rPr>
              <w:t>R2; Model performance NFR</w:t>
            </w:r>
          </w:p>
        </w:tc>
        <w:tc>
          <w:tcPr>
            <w:tcW w:type="dxa" w:w="1704"/>
            <w:vAlign w:val="top"/>
          </w:tcPr>
          <w:p>
            <w:r/>
            <w:r>
              <w:rPr>
                <w:rFonts w:ascii="Aptos" w:hAnsi="Aptos"/>
                <w:b w:val="0"/>
                <w:sz w:val="11"/>
              </w:rPr>
              <w:t>Clinical / Data Science</w:t>
            </w:r>
          </w:p>
        </w:tc>
        <w:tc>
          <w:tcPr>
            <w:tcW w:type="dxa" w:w="1704"/>
            <w:vAlign w:val="top"/>
          </w:tcPr>
          <w:p>
            <w:r/>
            <w:r>
              <w:rPr>
                <w:rFonts w:ascii="Aptos" w:hAnsi="Aptos"/>
                <w:b w:val="0"/>
                <w:sz w:val="11"/>
              </w:rPr>
              <w:t>[TBC]</w:t>
            </w:r>
          </w:p>
        </w:tc>
      </w:tr>
      <w:tr>
        <w:tc>
          <w:tcPr>
            <w:tcW w:type="dxa" w:w="1704"/>
            <w:vAlign w:val="top"/>
          </w:tcPr>
          <w:p>
            <w:r/>
            <w:r>
              <w:rPr>
                <w:rFonts w:ascii="Aptos" w:hAnsi="Aptos"/>
                <w:b w:val="0"/>
                <w:sz w:val="11"/>
              </w:rPr>
              <w:t>AC3</w:t>
            </w:r>
          </w:p>
        </w:tc>
        <w:tc>
          <w:tcPr>
            <w:tcW w:type="dxa" w:w="1704"/>
            <w:vAlign w:val="top"/>
          </w:tcPr>
          <w:p>
            <w:r/>
            <w:r>
              <w:rPr>
                <w:rFonts w:ascii="Aptos" w:hAnsi="Aptos"/>
                <w:b w:val="0"/>
                <w:sz w:val="11"/>
              </w:rPr>
              <w:t>Calibration</w:t>
            </w:r>
          </w:p>
        </w:tc>
        <w:tc>
          <w:tcPr>
            <w:tcW w:type="dxa" w:w="1704"/>
            <w:vAlign w:val="top"/>
          </w:tcPr>
          <w:p>
            <w:r/>
            <w:r>
              <w:rPr>
                <w:rFonts w:ascii="Aptos" w:hAnsi="Aptos"/>
                <w:b w:val="0"/>
                <w:sz w:val="11"/>
              </w:rPr>
              <w:t>Predicted probabilities must be acceptably calibrated overall and for clinically important risk bands; threshold defined using an approved calibration measure (e.g. Brier/ECE/calibration slope). [TBC numeric threshold.]</w:t>
            </w:r>
          </w:p>
        </w:tc>
        <w:tc>
          <w:tcPr>
            <w:tcW w:type="dxa" w:w="1704"/>
            <w:vAlign w:val="top"/>
          </w:tcPr>
          <w:p>
            <w:r/>
            <w:r>
              <w:rPr>
                <w:rFonts w:ascii="Aptos" w:hAnsi="Aptos"/>
                <w:b w:val="0"/>
                <w:sz w:val="11"/>
              </w:rPr>
              <w:t>R2/R5; Model performance / drift NFR</w:t>
            </w:r>
          </w:p>
        </w:tc>
        <w:tc>
          <w:tcPr>
            <w:tcW w:type="dxa" w:w="1704"/>
            <w:vAlign w:val="top"/>
          </w:tcPr>
          <w:p>
            <w:r/>
            <w:r>
              <w:rPr>
                <w:rFonts w:ascii="Aptos" w:hAnsi="Aptos"/>
                <w:b w:val="0"/>
                <w:sz w:val="11"/>
              </w:rPr>
              <w:t>Data Science / Clinical</w:t>
            </w:r>
          </w:p>
        </w:tc>
        <w:tc>
          <w:tcPr>
            <w:tcW w:type="dxa" w:w="1704"/>
            <w:vAlign w:val="top"/>
          </w:tcPr>
          <w:p>
            <w:r/>
            <w:r>
              <w:rPr>
                <w:rFonts w:ascii="Aptos" w:hAnsi="Aptos"/>
                <w:b w:val="0"/>
                <w:sz w:val="11"/>
              </w:rPr>
              <w:t>[TBC]</w:t>
            </w:r>
          </w:p>
        </w:tc>
      </w:tr>
      <w:tr>
        <w:tc>
          <w:tcPr>
            <w:tcW w:type="dxa" w:w="1704"/>
            <w:vAlign w:val="top"/>
          </w:tcPr>
          <w:p>
            <w:r/>
            <w:r>
              <w:rPr>
                <w:rFonts w:ascii="Aptos" w:hAnsi="Aptos"/>
                <w:b w:val="0"/>
                <w:sz w:val="11"/>
              </w:rPr>
              <w:t>AC4</w:t>
            </w:r>
          </w:p>
        </w:tc>
        <w:tc>
          <w:tcPr>
            <w:tcW w:type="dxa" w:w="1704"/>
            <w:vAlign w:val="top"/>
          </w:tcPr>
          <w:p>
            <w:r/>
            <w:r>
              <w:rPr>
                <w:rFonts w:ascii="Aptos" w:hAnsi="Aptos"/>
                <w:b w:val="0"/>
                <w:sz w:val="11"/>
              </w:rPr>
              <w:t>Fairness / subgroup safety</w:t>
            </w:r>
          </w:p>
        </w:tc>
        <w:tc>
          <w:tcPr>
            <w:tcW w:type="dxa" w:w="1704"/>
            <w:vAlign w:val="top"/>
          </w:tcPr>
          <w:p>
            <w:r/>
            <w:r>
              <w:rPr>
                <w:rFonts w:ascii="Aptos" w:hAnsi="Aptos"/>
                <w:b w:val="0"/>
                <w:sz w:val="11"/>
              </w:rPr>
              <w:t>No relevant subgroup may show an unacceptable clinically material degradation in safety/performance compared with the approved reference; define metric and maximum disparity before testing. [TBC subgroup set and threshold.]</w:t>
            </w:r>
          </w:p>
        </w:tc>
        <w:tc>
          <w:tcPr>
            <w:tcW w:type="dxa" w:w="1704"/>
            <w:vAlign w:val="top"/>
          </w:tcPr>
          <w:p>
            <w:r/>
            <w:r>
              <w:rPr>
                <w:rFonts w:ascii="Aptos" w:hAnsi="Aptos"/>
                <w:b w:val="0"/>
                <w:sz w:val="11"/>
              </w:rPr>
              <w:t>R1/R8; Fairness NFR</w:t>
            </w:r>
          </w:p>
        </w:tc>
        <w:tc>
          <w:tcPr>
            <w:tcW w:type="dxa" w:w="1704"/>
            <w:vAlign w:val="top"/>
          </w:tcPr>
          <w:p>
            <w:r/>
            <w:r>
              <w:rPr>
                <w:rFonts w:ascii="Aptos" w:hAnsi="Aptos"/>
                <w:b w:val="0"/>
                <w:sz w:val="11"/>
              </w:rPr>
              <w:t>Data/AI Ethics / Clinical / Data Science</w:t>
            </w:r>
          </w:p>
        </w:tc>
        <w:tc>
          <w:tcPr>
            <w:tcW w:type="dxa" w:w="1704"/>
            <w:vAlign w:val="top"/>
          </w:tcPr>
          <w:p>
            <w:r/>
            <w:r>
              <w:rPr>
                <w:rFonts w:ascii="Aptos" w:hAnsi="Aptos"/>
                <w:b w:val="0"/>
                <w:sz w:val="11"/>
              </w:rPr>
              <w:t>[TBC]</w:t>
            </w:r>
          </w:p>
        </w:tc>
      </w:tr>
      <w:tr>
        <w:tc>
          <w:tcPr>
            <w:tcW w:type="dxa" w:w="1704"/>
            <w:vAlign w:val="top"/>
          </w:tcPr>
          <w:p>
            <w:r/>
            <w:r>
              <w:rPr>
                <w:rFonts w:ascii="Aptos" w:hAnsi="Aptos"/>
                <w:b w:val="0"/>
                <w:sz w:val="11"/>
              </w:rPr>
              <w:t>AC5</w:t>
            </w:r>
          </w:p>
        </w:tc>
        <w:tc>
          <w:tcPr>
            <w:tcW w:type="dxa" w:w="1704"/>
            <w:vAlign w:val="top"/>
          </w:tcPr>
          <w:p>
            <w:r/>
            <w:r>
              <w:rPr>
                <w:rFonts w:ascii="Aptos" w:hAnsi="Aptos"/>
                <w:b w:val="0"/>
                <w:sz w:val="11"/>
              </w:rPr>
              <w:t>Question burden / adaptive efficiency</w:t>
            </w:r>
          </w:p>
        </w:tc>
        <w:tc>
          <w:tcPr>
            <w:tcW w:type="dxa" w:w="1704"/>
            <w:vAlign w:val="top"/>
          </w:tcPr>
          <w:p>
            <w:r/>
            <w:r>
              <w:rPr>
                <w:rFonts w:ascii="Aptos" w:hAnsi="Aptos"/>
                <w:b w:val="0"/>
                <w:sz w:val="11"/>
              </w:rPr>
              <w:t>Adaptive assessment must demonstrate an agreed reduction in unnecessary/question burden relative to the selected deterministic baseline without breaching safety criteria. [TBC business/clinical threshold.]</w:t>
            </w:r>
          </w:p>
        </w:tc>
        <w:tc>
          <w:tcPr>
            <w:tcW w:type="dxa" w:w="1704"/>
            <w:vAlign w:val="top"/>
          </w:tcPr>
          <w:p>
            <w:r/>
            <w:r>
              <w:rPr>
                <w:rFonts w:ascii="Aptos" w:hAnsi="Aptos"/>
                <w:b w:val="0"/>
                <w:sz w:val="11"/>
              </w:rPr>
              <w:t>Business success / usability NFR</w:t>
            </w:r>
          </w:p>
        </w:tc>
        <w:tc>
          <w:tcPr>
            <w:tcW w:type="dxa" w:w="1704"/>
            <w:vAlign w:val="top"/>
          </w:tcPr>
          <w:p>
            <w:r/>
            <w:r>
              <w:rPr>
                <w:rFonts w:ascii="Aptos" w:hAnsi="Aptos"/>
                <w:b w:val="0"/>
                <w:sz w:val="11"/>
              </w:rPr>
              <w:t>Product / Clinical</w:t>
            </w:r>
          </w:p>
        </w:tc>
        <w:tc>
          <w:tcPr>
            <w:tcW w:type="dxa" w:w="1704"/>
            <w:vAlign w:val="top"/>
          </w:tcPr>
          <w:p>
            <w:r/>
            <w:r>
              <w:rPr>
                <w:rFonts w:ascii="Aptos" w:hAnsi="Aptos"/>
                <w:b w:val="0"/>
                <w:sz w:val="11"/>
              </w:rPr>
              <w:t>[TBC]</w:t>
            </w:r>
          </w:p>
        </w:tc>
      </w:tr>
      <w:tr>
        <w:tc>
          <w:tcPr>
            <w:tcW w:type="dxa" w:w="1704"/>
            <w:vAlign w:val="top"/>
          </w:tcPr>
          <w:p>
            <w:r/>
            <w:r>
              <w:rPr>
                <w:rFonts w:ascii="Aptos" w:hAnsi="Aptos"/>
                <w:b w:val="0"/>
                <w:sz w:val="11"/>
              </w:rPr>
              <w:t>AC6</w:t>
            </w:r>
          </w:p>
        </w:tc>
        <w:tc>
          <w:tcPr>
            <w:tcW w:type="dxa" w:w="1704"/>
            <w:vAlign w:val="top"/>
          </w:tcPr>
          <w:p>
            <w:r/>
            <w:r>
              <w:rPr>
                <w:rFonts w:ascii="Aptos" w:hAnsi="Aptos"/>
                <w:b w:val="0"/>
                <w:sz w:val="11"/>
              </w:rPr>
              <w:t>Inference reproducibility</w:t>
            </w:r>
          </w:p>
        </w:tc>
        <w:tc>
          <w:tcPr>
            <w:tcW w:type="dxa" w:w="1704"/>
            <w:vAlign w:val="top"/>
          </w:tcPr>
          <w:p>
            <w:r/>
            <w:r>
              <w:rPr>
                <w:rFonts w:ascii="Aptos" w:hAnsi="Aptos"/>
                <w:b w:val="0"/>
                <w:sz w:val="11"/>
              </w:rPr>
              <w:t>Given the same approved model/configuration and identical evidence state, the runtime probabilistic engine must produce reproducible inference/output behaviour within defined numerical tolerance.</w:t>
            </w:r>
          </w:p>
        </w:tc>
        <w:tc>
          <w:tcPr>
            <w:tcW w:type="dxa" w:w="1704"/>
            <w:vAlign w:val="top"/>
          </w:tcPr>
          <w:p>
            <w:r/>
            <w:r>
              <w:rPr>
                <w:rFonts w:ascii="Aptos" w:hAnsi="Aptos"/>
                <w:b w:val="0"/>
                <w:sz w:val="11"/>
              </w:rPr>
              <w:t>R2/R13; Explainability NFR</w:t>
            </w:r>
          </w:p>
        </w:tc>
        <w:tc>
          <w:tcPr>
            <w:tcW w:type="dxa" w:w="1704"/>
            <w:vAlign w:val="top"/>
          </w:tcPr>
          <w:p>
            <w:r/>
            <w:r>
              <w:rPr>
                <w:rFonts w:ascii="Aptos" w:hAnsi="Aptos"/>
                <w:b w:val="0"/>
                <w:sz w:val="11"/>
              </w:rPr>
              <w:t>Engineering / Data Science / QA</w:t>
            </w:r>
          </w:p>
        </w:tc>
        <w:tc>
          <w:tcPr>
            <w:tcW w:type="dxa" w:w="1704"/>
            <w:vAlign w:val="top"/>
          </w:tcPr>
          <w:p>
            <w:r/>
            <w:r>
              <w:rPr>
                <w:rFonts w:ascii="Aptos" w:hAnsi="Aptos"/>
                <w:b w:val="0"/>
                <w:sz w:val="11"/>
              </w:rPr>
              <w:t>[TBC]</w:t>
            </w:r>
          </w:p>
        </w:tc>
      </w:tr>
      <w:tr>
        <w:tc>
          <w:tcPr>
            <w:tcW w:type="dxa" w:w="1704"/>
            <w:vAlign w:val="top"/>
          </w:tcPr>
          <w:p>
            <w:r/>
            <w:r>
              <w:rPr>
                <w:rFonts w:ascii="Aptos" w:hAnsi="Aptos"/>
                <w:b w:val="0"/>
                <w:sz w:val="11"/>
              </w:rPr>
              <w:t>AC7</w:t>
            </w:r>
          </w:p>
        </w:tc>
        <w:tc>
          <w:tcPr>
            <w:tcW w:type="dxa" w:w="1704"/>
            <w:vAlign w:val="top"/>
          </w:tcPr>
          <w:p>
            <w:r/>
            <w:r>
              <w:rPr>
                <w:rFonts w:ascii="Aptos" w:hAnsi="Aptos"/>
                <w:b w:val="0"/>
                <w:sz w:val="11"/>
              </w:rPr>
              <w:t>Audit reconstruction</w:t>
            </w:r>
          </w:p>
        </w:tc>
        <w:tc>
          <w:tcPr>
            <w:tcW w:type="dxa" w:w="1704"/>
            <w:vAlign w:val="top"/>
          </w:tcPr>
          <w:p>
            <w:r/>
            <w:r>
              <w:rPr>
                <w:rFonts w:ascii="Aptos" w:hAnsi="Aptos"/>
                <w:b w:val="0"/>
                <w:sz w:val="11"/>
              </w:rPr>
              <w:t>For 100% of sampled test interactions, reviewers must be able to identify the deployed model/configuration and reconstruct the material evidence, question/decision path, safety rules and resulting output from retained evidence.</w:t>
            </w:r>
          </w:p>
        </w:tc>
        <w:tc>
          <w:tcPr>
            <w:tcW w:type="dxa" w:w="1704"/>
            <w:vAlign w:val="top"/>
          </w:tcPr>
          <w:p>
            <w:r/>
            <w:r>
              <w:rPr>
                <w:rFonts w:ascii="Aptos" w:hAnsi="Aptos"/>
                <w:b w:val="0"/>
                <w:sz w:val="11"/>
              </w:rPr>
              <w:t>R13; C7 / Explainability NFR</w:t>
            </w:r>
          </w:p>
        </w:tc>
        <w:tc>
          <w:tcPr>
            <w:tcW w:type="dxa" w:w="1704"/>
            <w:vAlign w:val="top"/>
          </w:tcPr>
          <w:p>
            <w:r/>
            <w:r>
              <w:rPr>
                <w:rFonts w:ascii="Aptos" w:hAnsi="Aptos"/>
                <w:b w:val="0"/>
                <w:sz w:val="11"/>
              </w:rPr>
              <w:t>Architecture / QA / Clinical Safety</w:t>
            </w:r>
          </w:p>
        </w:tc>
        <w:tc>
          <w:tcPr>
            <w:tcW w:type="dxa" w:w="1704"/>
            <w:vAlign w:val="top"/>
          </w:tcPr>
          <w:p>
            <w:r/>
            <w:r>
              <w:rPr>
                <w:rFonts w:ascii="Aptos" w:hAnsi="Aptos"/>
                <w:b w:val="0"/>
                <w:sz w:val="11"/>
              </w:rPr>
              <w:t>[TBC]</w:t>
            </w:r>
          </w:p>
        </w:tc>
      </w:tr>
      <w:tr>
        <w:tc>
          <w:tcPr>
            <w:tcW w:type="dxa" w:w="1704"/>
            <w:vAlign w:val="top"/>
          </w:tcPr>
          <w:p>
            <w:r/>
            <w:r>
              <w:rPr>
                <w:rFonts w:ascii="Aptos" w:hAnsi="Aptos"/>
                <w:b w:val="0"/>
                <w:sz w:val="11"/>
              </w:rPr>
              <w:t>AC8</w:t>
            </w:r>
          </w:p>
        </w:tc>
        <w:tc>
          <w:tcPr>
            <w:tcW w:type="dxa" w:w="1704"/>
            <w:vAlign w:val="top"/>
          </w:tcPr>
          <w:p>
            <w:r/>
            <w:r>
              <w:rPr>
                <w:rFonts w:ascii="Aptos" w:hAnsi="Aptos"/>
                <w:b w:val="0"/>
                <w:sz w:val="11"/>
              </w:rPr>
              <w:t>Unapproved model/configuration prevention</w:t>
            </w:r>
          </w:p>
        </w:tc>
        <w:tc>
          <w:tcPr>
            <w:tcW w:type="dxa" w:w="1704"/>
            <w:vAlign w:val="top"/>
          </w:tcPr>
          <w:p>
            <w:r/>
            <w:r>
              <w:rPr>
                <w:rFonts w:ascii="Aptos" w:hAnsi="Aptos"/>
                <w:b w:val="0"/>
                <w:sz w:val="11"/>
              </w:rPr>
              <w:t>100% of deployment tests must demonstrate that a model or safety configuration not in Approved/Released state cannot be promoted to active runtime.</w:t>
            </w:r>
          </w:p>
        </w:tc>
        <w:tc>
          <w:tcPr>
            <w:tcW w:type="dxa" w:w="1704"/>
            <w:vAlign w:val="top"/>
          </w:tcPr>
          <w:p>
            <w:r/>
            <w:r>
              <w:rPr>
                <w:rFonts w:ascii="Aptos" w:hAnsi="Aptos"/>
                <w:b w:val="0"/>
                <w:sz w:val="11"/>
              </w:rPr>
              <w:t>R10/R12; Governance/Security NFR</w:t>
            </w:r>
          </w:p>
        </w:tc>
        <w:tc>
          <w:tcPr>
            <w:tcW w:type="dxa" w:w="1704"/>
            <w:vAlign w:val="top"/>
          </w:tcPr>
          <w:p>
            <w:r/>
            <w:r>
              <w:rPr>
                <w:rFonts w:ascii="Aptos" w:hAnsi="Aptos"/>
                <w:b w:val="0"/>
                <w:sz w:val="11"/>
              </w:rPr>
              <w:t>Engineering / Security / QA</w:t>
            </w:r>
          </w:p>
        </w:tc>
        <w:tc>
          <w:tcPr>
            <w:tcW w:type="dxa" w:w="1704"/>
            <w:vAlign w:val="top"/>
          </w:tcPr>
          <w:p>
            <w:r/>
            <w:r>
              <w:rPr>
                <w:rFonts w:ascii="Aptos" w:hAnsi="Aptos"/>
                <w:b w:val="0"/>
                <w:sz w:val="11"/>
              </w:rPr>
              <w:t>[TBC]</w:t>
            </w:r>
          </w:p>
        </w:tc>
      </w:tr>
      <w:tr>
        <w:tc>
          <w:tcPr>
            <w:tcW w:type="dxa" w:w="1704"/>
            <w:vAlign w:val="top"/>
          </w:tcPr>
          <w:p>
            <w:r/>
            <w:r>
              <w:rPr>
                <w:rFonts w:ascii="Aptos" w:hAnsi="Aptos"/>
                <w:b w:val="0"/>
                <w:sz w:val="11"/>
              </w:rPr>
              <w:t>AC9</w:t>
            </w:r>
          </w:p>
        </w:tc>
        <w:tc>
          <w:tcPr>
            <w:tcW w:type="dxa" w:w="1704"/>
            <w:vAlign w:val="top"/>
          </w:tcPr>
          <w:p>
            <w:r/>
            <w:r>
              <w:rPr>
                <w:rFonts w:ascii="Aptos" w:hAnsi="Aptos"/>
                <w:b w:val="0"/>
                <w:sz w:val="11"/>
              </w:rPr>
              <w:t>Build-time LLM clinical control</w:t>
            </w:r>
          </w:p>
        </w:tc>
        <w:tc>
          <w:tcPr>
            <w:tcW w:type="dxa" w:w="1704"/>
            <w:vAlign w:val="top"/>
          </w:tcPr>
          <w:p>
            <w:r/>
            <w:r>
              <w:rPr>
                <w:rFonts w:ascii="Aptos" w:hAnsi="Aptos"/>
                <w:b w:val="0"/>
                <w:sz w:val="11"/>
              </w:rPr>
              <w:t>100% of clinically material LLM-assisted build outputs entering the approved model must have traceable source/provenance and required human/clinician review/approval; no runtime triage decision may depend directly on a general-purpose LLM.</w:t>
            </w:r>
          </w:p>
        </w:tc>
        <w:tc>
          <w:tcPr>
            <w:tcW w:type="dxa" w:w="1704"/>
            <w:vAlign w:val="top"/>
          </w:tcPr>
          <w:p>
            <w:r/>
            <w:r>
              <w:rPr>
                <w:rFonts w:ascii="Aptos" w:hAnsi="Aptos"/>
                <w:b w:val="0"/>
                <w:sz w:val="11"/>
              </w:rPr>
              <w:t>R11; AI governance NFR</w:t>
            </w:r>
          </w:p>
        </w:tc>
        <w:tc>
          <w:tcPr>
            <w:tcW w:type="dxa" w:w="1704"/>
            <w:vAlign w:val="top"/>
          </w:tcPr>
          <w:p>
            <w:r/>
            <w:r>
              <w:rPr>
                <w:rFonts w:ascii="Aptos" w:hAnsi="Aptos"/>
                <w:b w:val="0"/>
                <w:sz w:val="11"/>
              </w:rPr>
              <w:t>Clinical / AI Engineering / QA</w:t>
            </w:r>
          </w:p>
        </w:tc>
        <w:tc>
          <w:tcPr>
            <w:tcW w:type="dxa" w:w="1704"/>
            <w:vAlign w:val="top"/>
          </w:tcPr>
          <w:p>
            <w:r/>
            <w:r>
              <w:rPr>
                <w:rFonts w:ascii="Aptos" w:hAnsi="Aptos"/>
                <w:b w:val="0"/>
                <w:sz w:val="11"/>
              </w:rPr>
              <w:t>[TBC]</w:t>
            </w:r>
          </w:p>
        </w:tc>
      </w:tr>
      <w:tr>
        <w:tc>
          <w:tcPr>
            <w:tcW w:type="dxa" w:w="1704"/>
            <w:vAlign w:val="top"/>
          </w:tcPr>
          <w:p>
            <w:r/>
            <w:r>
              <w:rPr>
                <w:rFonts w:ascii="Aptos" w:hAnsi="Aptos"/>
                <w:b w:val="0"/>
                <w:sz w:val="11"/>
              </w:rPr>
              <w:t>AC10</w:t>
            </w:r>
          </w:p>
        </w:tc>
        <w:tc>
          <w:tcPr>
            <w:tcW w:type="dxa" w:w="1704"/>
            <w:vAlign w:val="top"/>
          </w:tcPr>
          <w:p>
            <w:r/>
            <w:r>
              <w:rPr>
                <w:rFonts w:ascii="Aptos" w:hAnsi="Aptos"/>
                <w:b w:val="0"/>
                <w:sz w:val="11"/>
              </w:rPr>
              <w:t>Runtime API validation and safe failure</w:t>
            </w:r>
          </w:p>
        </w:tc>
        <w:tc>
          <w:tcPr>
            <w:tcW w:type="dxa" w:w="1704"/>
            <w:vAlign w:val="top"/>
          </w:tcPr>
          <w:p>
            <w:r/>
            <w:r>
              <w:rPr>
                <w:rFonts w:ascii="Aptos" w:hAnsi="Aptos"/>
                <w:b w:val="0"/>
                <w:sz w:val="11"/>
              </w:rPr>
              <w:t>Malformed, incomplete or invalid API inputs must be rejected or handled through defined safe behaviour; no tested invalid input may silently produce an unsafe clinical output.</w:t>
            </w:r>
          </w:p>
        </w:tc>
        <w:tc>
          <w:tcPr>
            <w:tcW w:type="dxa" w:w="1704"/>
            <w:vAlign w:val="top"/>
          </w:tcPr>
          <w:p>
            <w:r/>
            <w:r>
              <w:rPr>
                <w:rFonts w:ascii="Aptos" w:hAnsi="Aptos"/>
                <w:b w:val="0"/>
                <w:sz w:val="11"/>
              </w:rPr>
              <w:t>R4/R14; API/safety NFR</w:t>
            </w:r>
          </w:p>
        </w:tc>
        <w:tc>
          <w:tcPr>
            <w:tcW w:type="dxa" w:w="1704"/>
            <w:vAlign w:val="top"/>
          </w:tcPr>
          <w:p>
            <w:r/>
            <w:r>
              <w:rPr>
                <w:rFonts w:ascii="Aptos" w:hAnsi="Aptos"/>
                <w:b w:val="0"/>
                <w:sz w:val="11"/>
              </w:rPr>
              <w:t>Engineering / QA / Clinical Safety</w:t>
            </w:r>
          </w:p>
        </w:tc>
        <w:tc>
          <w:tcPr>
            <w:tcW w:type="dxa" w:w="1704"/>
            <w:vAlign w:val="top"/>
          </w:tcPr>
          <w:p>
            <w:r/>
            <w:r>
              <w:rPr>
                <w:rFonts w:ascii="Aptos" w:hAnsi="Aptos"/>
                <w:b w:val="0"/>
                <w:sz w:val="11"/>
              </w:rPr>
              <w:t>[TBC]</w:t>
            </w:r>
          </w:p>
        </w:tc>
      </w:tr>
      <w:tr>
        <w:tc>
          <w:tcPr>
            <w:tcW w:type="dxa" w:w="1704"/>
            <w:vAlign w:val="top"/>
          </w:tcPr>
          <w:p>
            <w:r/>
            <w:r>
              <w:rPr>
                <w:rFonts w:ascii="Aptos" w:hAnsi="Aptos"/>
                <w:b w:val="0"/>
                <w:sz w:val="11"/>
              </w:rPr>
              <w:t>AC11</w:t>
            </w:r>
          </w:p>
        </w:tc>
        <w:tc>
          <w:tcPr>
            <w:tcW w:type="dxa" w:w="1704"/>
            <w:vAlign w:val="top"/>
          </w:tcPr>
          <w:p>
            <w:r/>
            <w:r>
              <w:rPr>
                <w:rFonts w:ascii="Aptos" w:hAnsi="Aptos"/>
                <w:b w:val="0"/>
                <w:sz w:val="11"/>
              </w:rPr>
              <w:t>Latency</w:t>
            </w:r>
          </w:p>
        </w:tc>
        <w:tc>
          <w:tcPr>
            <w:tcW w:type="dxa" w:w="1704"/>
            <w:vAlign w:val="top"/>
          </w:tcPr>
          <w:p>
            <w:r/>
            <w:r>
              <w:rPr>
                <w:rFonts w:ascii="Aptos" w:hAnsi="Aptos"/>
                <w:b w:val="0"/>
                <w:sz w:val="11"/>
              </w:rPr>
              <w:t>Runtime performance must meet the approved service target under representative load. Current programme target/reference is approximately 300 ms for the triage API path, subject to final end-to-end SLO agreement. [TBC exact P95/P99 threshold for Adaptive Triage.]</w:t>
            </w:r>
          </w:p>
        </w:tc>
        <w:tc>
          <w:tcPr>
            <w:tcW w:type="dxa" w:w="1704"/>
            <w:vAlign w:val="top"/>
          </w:tcPr>
          <w:p>
            <w:r/>
            <w:r>
              <w:rPr>
                <w:rFonts w:ascii="Aptos" w:hAnsi="Aptos"/>
                <w:b w:val="0"/>
                <w:sz w:val="11"/>
              </w:rPr>
              <w:t>Standard performance NFR</w:t>
            </w:r>
          </w:p>
        </w:tc>
        <w:tc>
          <w:tcPr>
            <w:tcW w:type="dxa" w:w="1704"/>
            <w:vAlign w:val="top"/>
          </w:tcPr>
          <w:p>
            <w:r/>
            <w:r>
              <w:rPr>
                <w:rFonts w:ascii="Aptos" w:hAnsi="Aptos"/>
                <w:b w:val="0"/>
                <w:sz w:val="11"/>
              </w:rPr>
              <w:t>Engineering / Platform</w:t>
            </w:r>
          </w:p>
        </w:tc>
        <w:tc>
          <w:tcPr>
            <w:tcW w:type="dxa" w:w="1704"/>
            <w:vAlign w:val="top"/>
          </w:tcPr>
          <w:p>
            <w:r/>
            <w:r>
              <w:rPr>
                <w:rFonts w:ascii="Aptos" w:hAnsi="Aptos"/>
                <w:b w:val="0"/>
                <w:sz w:val="11"/>
              </w:rPr>
              <w:t>[TBC]</w:t>
            </w:r>
          </w:p>
        </w:tc>
      </w:tr>
      <w:tr>
        <w:tc>
          <w:tcPr>
            <w:tcW w:type="dxa" w:w="1704"/>
            <w:vAlign w:val="top"/>
          </w:tcPr>
          <w:p>
            <w:r/>
            <w:r>
              <w:rPr>
                <w:rFonts w:ascii="Aptos" w:hAnsi="Aptos"/>
                <w:b w:val="0"/>
                <w:sz w:val="11"/>
              </w:rPr>
              <w:t>AC12</w:t>
            </w:r>
          </w:p>
        </w:tc>
        <w:tc>
          <w:tcPr>
            <w:tcW w:type="dxa" w:w="1704"/>
            <w:vAlign w:val="top"/>
          </w:tcPr>
          <w:p>
            <w:r/>
            <w:r>
              <w:rPr>
                <w:rFonts w:ascii="Aptos" w:hAnsi="Aptos"/>
                <w:b w:val="0"/>
                <w:sz w:val="11"/>
              </w:rPr>
              <w:t>Resilience / dependency failure</w:t>
            </w:r>
          </w:p>
        </w:tc>
        <w:tc>
          <w:tcPr>
            <w:tcW w:type="dxa" w:w="1704"/>
            <w:vAlign w:val="top"/>
          </w:tcPr>
          <w:p>
            <w:r/>
            <w:r>
              <w:rPr>
                <w:rFonts w:ascii="Aptos" w:hAnsi="Aptos"/>
                <w:b w:val="0"/>
                <w:sz w:val="11"/>
              </w:rPr>
              <w:t>Loss/degradation of non-essential dependencies must not result in uncontrolled clinical decisioning. Critical dependency failures must produce approved fail-safe/fallback behaviour.</w:t>
            </w:r>
          </w:p>
        </w:tc>
        <w:tc>
          <w:tcPr>
            <w:tcW w:type="dxa" w:w="1704"/>
            <w:vAlign w:val="top"/>
          </w:tcPr>
          <w:p>
            <w:r/>
            <w:r>
              <w:rPr>
                <w:rFonts w:ascii="Aptos" w:hAnsi="Aptos"/>
                <w:b w:val="0"/>
                <w:sz w:val="11"/>
              </w:rPr>
              <w:t>R14; Reliability NFR</w:t>
            </w:r>
          </w:p>
        </w:tc>
        <w:tc>
          <w:tcPr>
            <w:tcW w:type="dxa" w:w="1704"/>
            <w:vAlign w:val="top"/>
          </w:tcPr>
          <w:p>
            <w:r/>
            <w:r>
              <w:rPr>
                <w:rFonts w:ascii="Aptos" w:hAnsi="Aptos"/>
                <w:b w:val="0"/>
                <w:sz w:val="11"/>
              </w:rPr>
              <w:t>Architecture / Platform / Clinical Safety</w:t>
            </w:r>
          </w:p>
        </w:tc>
        <w:tc>
          <w:tcPr>
            <w:tcW w:type="dxa" w:w="1704"/>
            <w:vAlign w:val="top"/>
          </w:tcPr>
          <w:p>
            <w:r/>
            <w:r>
              <w:rPr>
                <w:rFonts w:ascii="Aptos" w:hAnsi="Aptos"/>
                <w:b w:val="0"/>
                <w:sz w:val="11"/>
              </w:rPr>
              <w:t>[TBC]</w:t>
            </w:r>
          </w:p>
        </w:tc>
      </w:tr>
      <w:tr>
        <w:tc>
          <w:tcPr>
            <w:tcW w:type="dxa" w:w="1704"/>
            <w:vAlign w:val="top"/>
          </w:tcPr>
          <w:p>
            <w:r/>
            <w:r>
              <w:rPr>
                <w:rFonts w:ascii="Aptos" w:hAnsi="Aptos"/>
                <w:b w:val="0"/>
                <w:sz w:val="11"/>
              </w:rPr>
              <w:t>AC13</w:t>
            </w:r>
          </w:p>
        </w:tc>
        <w:tc>
          <w:tcPr>
            <w:tcW w:type="dxa" w:w="1704"/>
            <w:vAlign w:val="top"/>
          </w:tcPr>
          <w:p>
            <w:r/>
            <w:r>
              <w:rPr>
                <w:rFonts w:ascii="Aptos" w:hAnsi="Aptos"/>
                <w:b w:val="0"/>
                <w:sz w:val="11"/>
              </w:rPr>
              <w:t>Adversarial / red-team acceptance</w:t>
            </w:r>
          </w:p>
        </w:tc>
        <w:tc>
          <w:tcPr>
            <w:tcW w:type="dxa" w:w="1704"/>
            <w:vAlign w:val="top"/>
          </w:tcPr>
          <w:p>
            <w:r/>
            <w:r>
              <w:rPr>
                <w:rFonts w:ascii="Aptos" w:hAnsi="Aptos"/>
                <w:b w:val="0"/>
                <w:sz w:val="11"/>
              </w:rPr>
              <w:t>No unresolved Critical/High red-team finding affecting clinical safety, sensitive-data exposure, model/configuration integrity or intended-use control may remain at release without formal risk acceptance/exception.</w:t>
            </w:r>
          </w:p>
        </w:tc>
        <w:tc>
          <w:tcPr>
            <w:tcW w:type="dxa" w:w="1704"/>
            <w:vAlign w:val="top"/>
          </w:tcPr>
          <w:p>
            <w:r/>
            <w:r>
              <w:rPr>
                <w:rFonts w:ascii="Aptos" w:hAnsi="Aptos"/>
                <w:b w:val="0"/>
                <w:sz w:val="11"/>
              </w:rPr>
              <w:t>R3/R4/R7/R10/R11/R15; Robustness/Security NFR</w:t>
            </w:r>
          </w:p>
        </w:tc>
        <w:tc>
          <w:tcPr>
            <w:tcW w:type="dxa" w:w="1704"/>
            <w:vAlign w:val="top"/>
          </w:tcPr>
          <w:p>
            <w:r/>
            <w:r>
              <w:rPr>
                <w:rFonts w:ascii="Aptos" w:hAnsi="Aptos"/>
                <w:b w:val="0"/>
                <w:sz w:val="11"/>
              </w:rPr>
              <w:t>Security / QA / Clinical Safety</w:t>
            </w:r>
          </w:p>
        </w:tc>
        <w:tc>
          <w:tcPr>
            <w:tcW w:type="dxa" w:w="1704"/>
            <w:vAlign w:val="top"/>
          </w:tcPr>
          <w:p>
            <w:r/>
            <w:r>
              <w:rPr>
                <w:rFonts w:ascii="Aptos" w:hAnsi="Aptos"/>
                <w:b w:val="0"/>
                <w:sz w:val="11"/>
              </w:rPr>
              <w:t>[TBC]</w:t>
            </w:r>
          </w:p>
        </w:tc>
      </w:tr>
      <w:tr>
        <w:tc>
          <w:tcPr>
            <w:tcW w:type="dxa" w:w="1704"/>
            <w:vAlign w:val="top"/>
          </w:tcPr>
          <w:p>
            <w:r/>
            <w:r>
              <w:rPr>
                <w:rFonts w:ascii="Aptos" w:hAnsi="Aptos"/>
                <w:b w:val="0"/>
                <w:sz w:val="11"/>
              </w:rPr>
              <w:t>AC14</w:t>
            </w:r>
          </w:p>
        </w:tc>
        <w:tc>
          <w:tcPr>
            <w:tcW w:type="dxa" w:w="1704"/>
            <w:vAlign w:val="top"/>
          </w:tcPr>
          <w:p>
            <w:r/>
            <w:r>
              <w:rPr>
                <w:rFonts w:ascii="Aptos" w:hAnsi="Aptos"/>
                <w:b w:val="0"/>
                <w:sz w:val="11"/>
              </w:rPr>
              <w:t>Clinical release approval</w:t>
            </w:r>
          </w:p>
        </w:tc>
        <w:tc>
          <w:tcPr>
            <w:tcW w:type="dxa" w:w="1704"/>
            <w:vAlign w:val="top"/>
          </w:tcPr>
          <w:p>
            <w:r/>
            <w:r>
              <w:rPr>
                <w:rFonts w:ascii="Aptos" w:hAnsi="Aptos"/>
                <w:b w:val="0"/>
                <w:sz w:val="11"/>
              </w:rPr>
              <w:t>A named clinical approver/CSO-approved governance process must confirm the model version, evidence pack, safety configuration and residual risk are acceptable before release.</w:t>
            </w:r>
          </w:p>
        </w:tc>
        <w:tc>
          <w:tcPr>
            <w:tcW w:type="dxa" w:w="1704"/>
            <w:vAlign w:val="top"/>
          </w:tcPr>
          <w:p>
            <w:r/>
            <w:r>
              <w:rPr>
                <w:rFonts w:ascii="Aptos" w:hAnsi="Aptos"/>
                <w:b w:val="0"/>
                <w:sz w:val="11"/>
              </w:rPr>
              <w:t>C8 / C13; governance requirement</w:t>
            </w:r>
          </w:p>
        </w:tc>
        <w:tc>
          <w:tcPr>
            <w:tcW w:type="dxa" w:w="1704"/>
            <w:vAlign w:val="top"/>
          </w:tcPr>
          <w:p>
            <w:r/>
            <w:r>
              <w:rPr>
                <w:rFonts w:ascii="Aptos" w:hAnsi="Aptos"/>
                <w:b w:val="0"/>
                <w:sz w:val="11"/>
              </w:rPr>
              <w:t>Clinical / Accountable Approver</w:t>
            </w:r>
          </w:p>
        </w:tc>
        <w:tc>
          <w:tcPr>
            <w:tcW w:type="dxa" w:w="1704"/>
            <w:vAlign w:val="top"/>
          </w:tcPr>
          <w:p>
            <w:r/>
            <w:r>
              <w:rPr>
                <w:rFonts w:ascii="Aptos" w:hAnsi="Aptos"/>
                <w:b w:val="0"/>
                <w:sz w:val="11"/>
              </w:rPr>
              <w:t>[TBC]</w:t>
            </w:r>
          </w:p>
        </w:tc>
      </w:tr>
    </w:tbl>
    <w:p/>
    <w:p>
      <w:pPr>
        <w:pStyle w:val="Heading1"/>
      </w:pPr>
      <w:r>
        <w:t>4. Monitoring Metrics and Thresholds (C10)</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top"/>
            <w:shd w:fill="D9EAD3"/>
          </w:tcPr>
          <w:p>
            <w:r/>
            <w:r>
              <w:rPr>
                <w:rFonts w:ascii="Aptos" w:hAnsi="Aptos"/>
                <w:b/>
                <w:sz w:val="11"/>
              </w:rPr>
              <w:t>Metric</w:t>
            </w:r>
          </w:p>
        </w:tc>
        <w:tc>
          <w:tcPr>
            <w:tcW w:type="dxa" w:w="2045"/>
            <w:vAlign w:val="top"/>
            <w:shd w:fill="D9EAD3"/>
          </w:tcPr>
          <w:p>
            <w:r/>
            <w:r>
              <w:rPr>
                <w:rFonts w:ascii="Aptos" w:hAnsi="Aptos"/>
                <w:b/>
                <w:sz w:val="11"/>
              </w:rPr>
              <w:t>Description</w:t>
            </w:r>
          </w:p>
        </w:tc>
        <w:tc>
          <w:tcPr>
            <w:tcW w:type="dxa" w:w="2045"/>
            <w:vAlign w:val="top"/>
            <w:shd w:fill="D9EAD3"/>
          </w:tcPr>
          <w:p>
            <w:r/>
            <w:r>
              <w:rPr>
                <w:rFonts w:ascii="Aptos" w:hAnsi="Aptos"/>
                <w:b/>
                <w:sz w:val="11"/>
              </w:rPr>
              <w:t>Threshold</w:t>
            </w:r>
          </w:p>
        </w:tc>
        <w:tc>
          <w:tcPr>
            <w:tcW w:type="dxa" w:w="2045"/>
            <w:vAlign w:val="top"/>
            <w:shd w:fill="D9EAD3"/>
          </w:tcPr>
          <w:p>
            <w:r/>
            <w:r>
              <w:rPr>
                <w:rFonts w:ascii="Aptos" w:hAnsi="Aptos"/>
                <w:b/>
                <w:sz w:val="11"/>
              </w:rPr>
              <w:t>Alerting</w:t>
            </w:r>
          </w:p>
        </w:tc>
        <w:tc>
          <w:tcPr>
            <w:tcW w:type="dxa" w:w="2045"/>
            <w:vAlign w:val="top"/>
            <w:shd w:fill="D9EAD3"/>
          </w:tcPr>
          <w:p>
            <w:r/>
            <w:r>
              <w:rPr>
                <w:rFonts w:ascii="Aptos" w:hAnsi="Aptos"/>
                <w:b/>
                <w:sz w:val="11"/>
              </w:rPr>
              <w:t>Owner</w:t>
            </w:r>
          </w:p>
        </w:tc>
      </w:tr>
      <w:tr>
        <w:tc>
          <w:tcPr>
            <w:tcW w:type="dxa" w:w="2045"/>
            <w:vAlign w:val="top"/>
          </w:tcPr>
          <w:p>
            <w:r/>
            <w:r>
              <w:rPr>
                <w:rFonts w:ascii="Aptos" w:hAnsi="Aptos"/>
                <w:b w:val="0"/>
                <w:sz w:val="11"/>
              </w:rPr>
              <w:t>Clinical safety outcome indicator</w:t>
            </w:r>
          </w:p>
        </w:tc>
        <w:tc>
          <w:tcPr>
            <w:tcW w:type="dxa" w:w="2045"/>
            <w:vAlign w:val="top"/>
          </w:tcPr>
          <w:p>
            <w:r/>
            <w:r>
              <w:rPr>
                <w:rFonts w:ascii="Aptos" w:hAnsi="Aptos"/>
                <w:b w:val="0"/>
                <w:sz w:val="11"/>
              </w:rPr>
              <w:t>Rate of clinically significant under-triage / high-risk false negatives identified through linked outcomes, audit sampling, incidents or validated follow-up.</w:t>
            </w:r>
          </w:p>
        </w:tc>
        <w:tc>
          <w:tcPr>
            <w:tcW w:type="dxa" w:w="2045"/>
            <w:vAlign w:val="top"/>
          </w:tcPr>
          <w:p>
            <w:r/>
            <w:r>
              <w:rPr>
                <w:rFonts w:ascii="Aptos" w:hAnsi="Aptos"/>
                <w:b w:val="0"/>
                <w:sz w:val="11"/>
              </w:rPr>
              <w:t>Alert at any serious safety event; statistical trend threshold [TBC]</w:t>
            </w:r>
          </w:p>
        </w:tc>
        <w:tc>
          <w:tcPr>
            <w:tcW w:type="dxa" w:w="2045"/>
            <w:vAlign w:val="top"/>
          </w:tcPr>
          <w:p>
            <w:r/>
            <w:r>
              <w:rPr>
                <w:rFonts w:ascii="Aptos" w:hAnsi="Aptos"/>
                <w:b w:val="0"/>
                <w:sz w:val="11"/>
              </w:rPr>
              <w:t>Immediate clinical safety escalation for serious event; dashboard/alert for trend</w:t>
            </w:r>
          </w:p>
        </w:tc>
        <w:tc>
          <w:tcPr>
            <w:tcW w:type="dxa" w:w="2045"/>
            <w:vAlign w:val="top"/>
          </w:tcPr>
          <w:p>
            <w:r/>
            <w:r>
              <w:rPr>
                <w:rFonts w:ascii="Aptos" w:hAnsi="Aptos"/>
                <w:b w:val="0"/>
                <w:sz w:val="11"/>
              </w:rPr>
              <w:t>Clinical Safety / Clinical Lead</w:t>
            </w:r>
          </w:p>
        </w:tc>
      </w:tr>
      <w:tr>
        <w:tc>
          <w:tcPr>
            <w:tcW w:type="dxa" w:w="2045"/>
            <w:vAlign w:val="top"/>
          </w:tcPr>
          <w:p>
            <w:r/>
            <w:r>
              <w:rPr>
                <w:rFonts w:ascii="Aptos" w:hAnsi="Aptos"/>
                <w:b w:val="0"/>
                <w:sz w:val="11"/>
              </w:rPr>
              <w:t>Disposition / outcome quality</w:t>
            </w:r>
          </w:p>
        </w:tc>
        <w:tc>
          <w:tcPr>
            <w:tcW w:type="dxa" w:w="2045"/>
            <w:vAlign w:val="top"/>
          </w:tcPr>
          <w:p>
            <w:r/>
            <w:r>
              <w:rPr>
                <w:rFonts w:ascii="Aptos" w:hAnsi="Aptos"/>
                <w:b w:val="0"/>
                <w:sz w:val="11"/>
              </w:rPr>
              <w:t>Performance against available labelled/linked outcomes and periodic reviewed samples.</w:t>
            </w:r>
          </w:p>
        </w:tc>
        <w:tc>
          <w:tcPr>
            <w:tcW w:type="dxa" w:w="2045"/>
            <w:vAlign w:val="top"/>
          </w:tcPr>
          <w:p>
            <w:r/>
            <w:r>
              <w:rPr>
                <w:rFonts w:ascii="Aptos" w:hAnsi="Aptos"/>
                <w:b w:val="0"/>
                <w:sz w:val="11"/>
              </w:rPr>
              <w:t>Approved deterioration threshold from Beta baseline [TBC]</w:t>
            </w:r>
          </w:p>
        </w:tc>
        <w:tc>
          <w:tcPr>
            <w:tcW w:type="dxa" w:w="2045"/>
            <w:vAlign w:val="top"/>
          </w:tcPr>
          <w:p>
            <w:r/>
            <w:r>
              <w:rPr>
                <w:rFonts w:ascii="Aptos" w:hAnsi="Aptos"/>
                <w:b w:val="0"/>
                <w:sz w:val="11"/>
              </w:rPr>
              <w:t>Model monitoring alert + review queue</w:t>
            </w:r>
          </w:p>
        </w:tc>
        <w:tc>
          <w:tcPr>
            <w:tcW w:type="dxa" w:w="2045"/>
            <w:vAlign w:val="top"/>
          </w:tcPr>
          <w:p>
            <w:r/>
            <w:r>
              <w:rPr>
                <w:rFonts w:ascii="Aptos" w:hAnsi="Aptos"/>
                <w:b w:val="0"/>
                <w:sz w:val="11"/>
              </w:rPr>
              <w:t>Clinical / Data Science</w:t>
            </w:r>
          </w:p>
        </w:tc>
      </w:tr>
      <w:tr>
        <w:tc>
          <w:tcPr>
            <w:tcW w:type="dxa" w:w="2045"/>
            <w:vAlign w:val="top"/>
          </w:tcPr>
          <w:p>
            <w:r/>
            <w:r>
              <w:rPr>
                <w:rFonts w:ascii="Aptos" w:hAnsi="Aptos"/>
                <w:b w:val="0"/>
                <w:sz w:val="11"/>
              </w:rPr>
              <w:t>Calibration</w:t>
            </w:r>
          </w:p>
        </w:tc>
        <w:tc>
          <w:tcPr>
            <w:tcW w:type="dxa" w:w="2045"/>
            <w:vAlign w:val="top"/>
          </w:tcPr>
          <w:p>
            <w:r/>
            <w:r>
              <w:rPr>
                <w:rFonts w:ascii="Aptos" w:hAnsi="Aptos"/>
                <w:b w:val="0"/>
                <w:sz w:val="11"/>
              </w:rPr>
              <w:t>Calibration of posterior/risk estimates over time and by clinically important bands.</w:t>
            </w:r>
          </w:p>
        </w:tc>
        <w:tc>
          <w:tcPr>
            <w:tcW w:type="dxa" w:w="2045"/>
            <w:vAlign w:val="top"/>
          </w:tcPr>
          <w:p>
            <w:r/>
            <w:r>
              <w:rPr>
                <w:rFonts w:ascii="Aptos" w:hAnsi="Aptos"/>
                <w:b w:val="0"/>
                <w:sz w:val="11"/>
              </w:rPr>
              <w:t>Trigger when approved calibration metric exceeds tolerance or materially shifts from baseline [TBC]</w:t>
            </w:r>
          </w:p>
        </w:tc>
        <w:tc>
          <w:tcPr>
            <w:tcW w:type="dxa" w:w="2045"/>
            <w:vAlign w:val="top"/>
          </w:tcPr>
          <w:p>
            <w:r/>
            <w:r>
              <w:rPr>
                <w:rFonts w:ascii="Aptos" w:hAnsi="Aptos"/>
                <w:b w:val="0"/>
                <w:sz w:val="11"/>
              </w:rPr>
              <w:t>Data Science/Clinical monitoring alert</w:t>
            </w:r>
          </w:p>
        </w:tc>
        <w:tc>
          <w:tcPr>
            <w:tcW w:type="dxa" w:w="2045"/>
            <w:vAlign w:val="top"/>
          </w:tcPr>
          <w:p>
            <w:r/>
            <w:r>
              <w:rPr>
                <w:rFonts w:ascii="Aptos" w:hAnsi="Aptos"/>
                <w:b w:val="0"/>
                <w:sz w:val="11"/>
              </w:rPr>
              <w:t>Data Science</w:t>
            </w:r>
          </w:p>
        </w:tc>
      </w:tr>
      <w:tr>
        <w:tc>
          <w:tcPr>
            <w:tcW w:type="dxa" w:w="2045"/>
            <w:vAlign w:val="top"/>
          </w:tcPr>
          <w:p>
            <w:r/>
            <w:r>
              <w:rPr>
                <w:rFonts w:ascii="Aptos" w:hAnsi="Aptos"/>
                <w:b w:val="0"/>
                <w:sz w:val="11"/>
              </w:rPr>
              <w:t>High-risk sensitivity</w:t>
            </w:r>
          </w:p>
        </w:tc>
        <w:tc>
          <w:tcPr>
            <w:tcW w:type="dxa" w:w="2045"/>
            <w:vAlign w:val="top"/>
          </w:tcPr>
          <w:p>
            <w:r/>
            <w:r>
              <w:rPr>
                <w:rFonts w:ascii="Aptos" w:hAnsi="Aptos"/>
                <w:b w:val="0"/>
                <w:sz w:val="11"/>
              </w:rPr>
              <w:t>Sensitivity for defined high-risk/emergency cohorts when outcome evidence is available.</w:t>
            </w:r>
          </w:p>
        </w:tc>
        <w:tc>
          <w:tcPr>
            <w:tcW w:type="dxa" w:w="2045"/>
            <w:vAlign w:val="top"/>
          </w:tcPr>
          <w:p>
            <w:r/>
            <w:r>
              <w:rPr>
                <w:rFonts w:ascii="Aptos" w:hAnsi="Aptos"/>
                <w:b w:val="0"/>
                <w:sz w:val="11"/>
              </w:rPr>
              <w:t>Must not fall below approved safety floor [TBC]</w:t>
            </w:r>
          </w:p>
        </w:tc>
        <w:tc>
          <w:tcPr>
            <w:tcW w:type="dxa" w:w="2045"/>
            <w:vAlign w:val="top"/>
          </w:tcPr>
          <w:p>
            <w:r/>
            <w:r>
              <w:rPr>
                <w:rFonts w:ascii="Aptos" w:hAnsi="Aptos"/>
                <w:b w:val="0"/>
                <w:sz w:val="11"/>
              </w:rPr>
              <w:t>Immediate clinical/model governance escalation</w:t>
            </w:r>
          </w:p>
        </w:tc>
        <w:tc>
          <w:tcPr>
            <w:tcW w:type="dxa" w:w="2045"/>
            <w:vAlign w:val="top"/>
          </w:tcPr>
          <w:p>
            <w:r/>
            <w:r>
              <w:rPr>
                <w:rFonts w:ascii="Aptos" w:hAnsi="Aptos"/>
                <w:b w:val="0"/>
                <w:sz w:val="11"/>
              </w:rPr>
              <w:t>Clinical Safety / Data Science</w:t>
            </w:r>
          </w:p>
        </w:tc>
      </w:tr>
      <w:tr>
        <w:tc>
          <w:tcPr>
            <w:tcW w:type="dxa" w:w="2045"/>
            <w:vAlign w:val="top"/>
          </w:tcPr>
          <w:p>
            <w:r/>
            <w:r>
              <w:rPr>
                <w:rFonts w:ascii="Aptos" w:hAnsi="Aptos"/>
                <w:b w:val="0"/>
                <w:sz w:val="11"/>
              </w:rPr>
              <w:t>Question burden</w:t>
            </w:r>
          </w:p>
        </w:tc>
        <w:tc>
          <w:tcPr>
            <w:tcW w:type="dxa" w:w="2045"/>
            <w:vAlign w:val="top"/>
          </w:tcPr>
          <w:p>
            <w:r/>
            <w:r>
              <w:rPr>
                <w:rFonts w:ascii="Aptos" w:hAnsi="Aptos"/>
                <w:b w:val="0"/>
                <w:sz w:val="11"/>
              </w:rPr>
              <w:t>Median/mean questions or interaction steps, stratified by pathway/presentation/channel where useful.</w:t>
            </w:r>
          </w:p>
        </w:tc>
        <w:tc>
          <w:tcPr>
            <w:tcW w:type="dxa" w:w="2045"/>
            <w:vAlign w:val="top"/>
          </w:tcPr>
          <w:p>
            <w:r/>
            <w:r>
              <w:rPr>
                <w:rFonts w:ascii="Aptos" w:hAnsi="Aptos"/>
                <w:b w:val="0"/>
                <w:sz w:val="11"/>
              </w:rPr>
              <w:t>Material increase from approved baseline or evidence of unsafe premature stopping [TBC]</w:t>
            </w:r>
          </w:p>
        </w:tc>
        <w:tc>
          <w:tcPr>
            <w:tcW w:type="dxa" w:w="2045"/>
            <w:vAlign w:val="top"/>
          </w:tcPr>
          <w:p>
            <w:r/>
            <w:r>
              <w:rPr>
                <w:rFonts w:ascii="Aptos" w:hAnsi="Aptos"/>
                <w:b w:val="0"/>
                <w:sz w:val="11"/>
              </w:rPr>
              <w:t>Product/Data Science alert</w:t>
            </w:r>
          </w:p>
        </w:tc>
        <w:tc>
          <w:tcPr>
            <w:tcW w:type="dxa" w:w="2045"/>
            <w:vAlign w:val="top"/>
          </w:tcPr>
          <w:p>
            <w:r/>
            <w:r>
              <w:rPr>
                <w:rFonts w:ascii="Aptos" w:hAnsi="Aptos"/>
                <w:b w:val="0"/>
                <w:sz w:val="11"/>
              </w:rPr>
              <w:t>Product / Data Science</w:t>
            </w:r>
          </w:p>
        </w:tc>
      </w:tr>
      <w:tr>
        <w:tc>
          <w:tcPr>
            <w:tcW w:type="dxa" w:w="2045"/>
            <w:vAlign w:val="top"/>
          </w:tcPr>
          <w:p>
            <w:r/>
            <w:r>
              <w:rPr>
                <w:rFonts w:ascii="Aptos" w:hAnsi="Aptos"/>
                <w:b w:val="0"/>
                <w:sz w:val="11"/>
              </w:rPr>
              <w:t>Latency</w:t>
            </w:r>
          </w:p>
        </w:tc>
        <w:tc>
          <w:tcPr>
            <w:tcW w:type="dxa" w:w="2045"/>
            <w:vAlign w:val="top"/>
          </w:tcPr>
          <w:p>
            <w:r/>
            <w:r>
              <w:rPr>
                <w:rFonts w:ascii="Aptos" w:hAnsi="Aptos"/>
                <w:b w:val="0"/>
                <w:sz w:val="11"/>
              </w:rPr>
              <w:t>Runtime P95/P99 latency for inference/API.</w:t>
            </w:r>
          </w:p>
        </w:tc>
        <w:tc>
          <w:tcPr>
            <w:tcW w:type="dxa" w:w="2045"/>
            <w:vAlign w:val="top"/>
          </w:tcPr>
          <w:p>
            <w:r/>
            <w:r>
              <w:rPr>
                <w:rFonts w:ascii="Aptos" w:hAnsi="Aptos"/>
                <w:b w:val="0"/>
                <w:sz w:val="11"/>
              </w:rPr>
              <w:t>Service SLO [TBC]; investigate breach of agreed threshold</w:t>
            </w:r>
          </w:p>
        </w:tc>
        <w:tc>
          <w:tcPr>
            <w:tcW w:type="dxa" w:w="2045"/>
            <w:vAlign w:val="top"/>
          </w:tcPr>
          <w:p>
            <w:r/>
            <w:r>
              <w:rPr>
                <w:rFonts w:ascii="Aptos" w:hAnsi="Aptos"/>
                <w:b w:val="0"/>
                <w:sz w:val="11"/>
              </w:rPr>
              <w:t>CloudWatch/service alert</w:t>
            </w:r>
          </w:p>
        </w:tc>
        <w:tc>
          <w:tcPr>
            <w:tcW w:type="dxa" w:w="2045"/>
            <w:vAlign w:val="top"/>
          </w:tcPr>
          <w:p>
            <w:r/>
            <w:r>
              <w:rPr>
                <w:rFonts w:ascii="Aptos" w:hAnsi="Aptos"/>
                <w:b w:val="0"/>
                <w:sz w:val="11"/>
              </w:rPr>
              <w:t>Platform / Engineering</w:t>
            </w:r>
          </w:p>
        </w:tc>
      </w:tr>
      <w:tr>
        <w:tc>
          <w:tcPr>
            <w:tcW w:type="dxa" w:w="2045"/>
            <w:vAlign w:val="top"/>
          </w:tcPr>
          <w:p>
            <w:r/>
            <w:r>
              <w:rPr>
                <w:rFonts w:ascii="Aptos" w:hAnsi="Aptos"/>
                <w:b w:val="0"/>
                <w:sz w:val="11"/>
              </w:rPr>
              <w:t>Error / failure rate</w:t>
            </w:r>
          </w:p>
        </w:tc>
        <w:tc>
          <w:tcPr>
            <w:tcW w:type="dxa" w:w="2045"/>
            <w:vAlign w:val="top"/>
          </w:tcPr>
          <w:p>
            <w:r/>
            <w:r>
              <w:rPr>
                <w:rFonts w:ascii="Aptos" w:hAnsi="Aptos"/>
                <w:b w:val="0"/>
                <w:sz w:val="11"/>
              </w:rPr>
              <w:t>API errors, inference failures, invalid model/config loading, timeout/fallback events.</w:t>
            </w:r>
          </w:p>
        </w:tc>
        <w:tc>
          <w:tcPr>
            <w:tcW w:type="dxa" w:w="2045"/>
            <w:vAlign w:val="top"/>
          </w:tcPr>
          <w:p>
            <w:r/>
            <w:r>
              <w:rPr>
                <w:rFonts w:ascii="Aptos" w:hAnsi="Aptos"/>
                <w:b w:val="0"/>
                <w:sz w:val="11"/>
              </w:rPr>
              <w:t>Threshold [TBC]; critical model-loading/inference integrity error = immediate</w:t>
            </w:r>
          </w:p>
        </w:tc>
        <w:tc>
          <w:tcPr>
            <w:tcW w:type="dxa" w:w="2045"/>
            <w:vAlign w:val="top"/>
          </w:tcPr>
          <w:p>
            <w:r/>
            <w:r>
              <w:rPr>
                <w:rFonts w:ascii="Aptos" w:hAnsi="Aptos"/>
                <w:b w:val="0"/>
                <w:sz w:val="11"/>
              </w:rPr>
              <w:t>Operational alerting</w:t>
            </w:r>
          </w:p>
        </w:tc>
        <w:tc>
          <w:tcPr>
            <w:tcW w:type="dxa" w:w="2045"/>
            <w:vAlign w:val="top"/>
          </w:tcPr>
          <w:p>
            <w:r/>
            <w:r>
              <w:rPr>
                <w:rFonts w:ascii="Aptos" w:hAnsi="Aptos"/>
                <w:b w:val="0"/>
                <w:sz w:val="11"/>
              </w:rPr>
              <w:t>Engineering / Platform</w:t>
            </w:r>
          </w:p>
        </w:tc>
      </w:tr>
      <w:tr>
        <w:tc>
          <w:tcPr>
            <w:tcW w:type="dxa" w:w="2045"/>
            <w:vAlign w:val="top"/>
          </w:tcPr>
          <w:p>
            <w:r/>
            <w:r>
              <w:rPr>
                <w:rFonts w:ascii="Aptos" w:hAnsi="Aptos"/>
                <w:b w:val="0"/>
                <w:sz w:val="11"/>
              </w:rPr>
              <w:t>Drift indicator</w:t>
            </w:r>
          </w:p>
        </w:tc>
        <w:tc>
          <w:tcPr>
            <w:tcW w:type="dxa" w:w="2045"/>
            <w:vAlign w:val="top"/>
          </w:tcPr>
          <w:p>
            <w:r/>
            <w:r>
              <w:rPr>
                <w:rFonts w:ascii="Aptos" w:hAnsi="Aptos"/>
                <w:b w:val="0"/>
                <w:sz w:val="11"/>
              </w:rPr>
              <w:t>Change in input feature/evidence distribution, outcome distribution, calibration or model performance compared with approved baseline.</w:t>
            </w:r>
          </w:p>
        </w:tc>
        <w:tc>
          <w:tcPr>
            <w:tcW w:type="dxa" w:w="2045"/>
            <w:vAlign w:val="top"/>
          </w:tcPr>
          <w:p>
            <w:r/>
            <w:r>
              <w:rPr>
                <w:rFonts w:ascii="Aptos" w:hAnsi="Aptos"/>
                <w:b w:val="0"/>
                <w:sz w:val="11"/>
              </w:rPr>
              <w:t>Risk-based threshold per monitored variable/cohort [TBC]</w:t>
            </w:r>
          </w:p>
        </w:tc>
        <w:tc>
          <w:tcPr>
            <w:tcW w:type="dxa" w:w="2045"/>
            <w:vAlign w:val="top"/>
          </w:tcPr>
          <w:p>
            <w:r/>
            <w:r>
              <w:rPr>
                <w:rFonts w:ascii="Aptos" w:hAnsi="Aptos"/>
                <w:b w:val="0"/>
                <w:sz w:val="11"/>
              </w:rPr>
              <w:t>Data Science alert + scheduled review</w:t>
            </w:r>
          </w:p>
        </w:tc>
        <w:tc>
          <w:tcPr>
            <w:tcW w:type="dxa" w:w="2045"/>
            <w:vAlign w:val="top"/>
          </w:tcPr>
          <w:p>
            <w:r/>
            <w:r>
              <w:rPr>
                <w:rFonts w:ascii="Aptos" w:hAnsi="Aptos"/>
                <w:b w:val="0"/>
                <w:sz w:val="11"/>
              </w:rPr>
              <w:t>Data Science</w:t>
            </w:r>
          </w:p>
        </w:tc>
      </w:tr>
      <w:tr>
        <w:tc>
          <w:tcPr>
            <w:tcW w:type="dxa" w:w="2045"/>
            <w:vAlign w:val="top"/>
          </w:tcPr>
          <w:p>
            <w:r/>
            <w:r>
              <w:rPr>
                <w:rFonts w:ascii="Aptos" w:hAnsi="Aptos"/>
                <w:b w:val="0"/>
                <w:sz w:val="11"/>
              </w:rPr>
              <w:t>Fairness indicator</w:t>
            </w:r>
          </w:p>
        </w:tc>
        <w:tc>
          <w:tcPr>
            <w:tcW w:type="dxa" w:w="2045"/>
            <w:vAlign w:val="top"/>
          </w:tcPr>
          <w:p>
            <w:r/>
            <w:r>
              <w:rPr>
                <w:rFonts w:ascii="Aptos" w:hAnsi="Aptos"/>
                <w:b w:val="0"/>
                <w:sz w:val="11"/>
              </w:rPr>
              <w:t>Safety/performance/calibration/question-burden disparities across approved subgroups.</w:t>
            </w:r>
          </w:p>
        </w:tc>
        <w:tc>
          <w:tcPr>
            <w:tcW w:type="dxa" w:w="2045"/>
            <w:vAlign w:val="top"/>
          </w:tcPr>
          <w:p>
            <w:r/>
            <w:r>
              <w:rPr>
                <w:rFonts w:ascii="Aptos" w:hAnsi="Aptos"/>
                <w:b w:val="0"/>
                <w:sz w:val="11"/>
              </w:rPr>
              <w:t>Maximum clinically acceptable disparity [TBC]</w:t>
            </w:r>
          </w:p>
        </w:tc>
        <w:tc>
          <w:tcPr>
            <w:tcW w:type="dxa" w:w="2045"/>
            <w:vAlign w:val="top"/>
          </w:tcPr>
          <w:p>
            <w:r/>
            <w:r>
              <w:rPr>
                <w:rFonts w:ascii="Aptos" w:hAnsi="Aptos"/>
                <w:b w:val="0"/>
                <w:sz w:val="11"/>
              </w:rPr>
              <w:t>Data/AI Ethics + Clinical alert/review</w:t>
            </w:r>
          </w:p>
        </w:tc>
        <w:tc>
          <w:tcPr>
            <w:tcW w:type="dxa" w:w="2045"/>
            <w:vAlign w:val="top"/>
          </w:tcPr>
          <w:p>
            <w:r/>
            <w:r>
              <w:rPr>
                <w:rFonts w:ascii="Aptos" w:hAnsi="Aptos"/>
                <w:b w:val="0"/>
                <w:sz w:val="11"/>
              </w:rPr>
              <w:t>Data/AI Ethics / Clinical / Data Science</w:t>
            </w:r>
          </w:p>
        </w:tc>
      </w:tr>
      <w:tr>
        <w:tc>
          <w:tcPr>
            <w:tcW w:type="dxa" w:w="2045"/>
            <w:vAlign w:val="top"/>
          </w:tcPr>
          <w:p>
            <w:r/>
            <w:r>
              <w:rPr>
                <w:rFonts w:ascii="Aptos" w:hAnsi="Aptos"/>
                <w:b w:val="0"/>
                <w:sz w:val="11"/>
              </w:rPr>
              <w:t>Usage volume</w:t>
            </w:r>
          </w:p>
        </w:tc>
        <w:tc>
          <w:tcPr>
            <w:tcW w:type="dxa" w:w="2045"/>
            <w:vAlign w:val="top"/>
          </w:tcPr>
          <w:p>
            <w:r/>
            <w:r>
              <w:rPr>
                <w:rFonts w:ascii="Aptos" w:hAnsi="Aptos"/>
                <w:b w:val="0"/>
                <w:sz w:val="11"/>
              </w:rPr>
              <w:t>Interactions by channel, cohort, model version and time period.</w:t>
            </w:r>
          </w:p>
        </w:tc>
        <w:tc>
          <w:tcPr>
            <w:tcW w:type="dxa" w:w="2045"/>
            <w:vAlign w:val="top"/>
          </w:tcPr>
          <w:p>
            <w:r/>
            <w:r>
              <w:rPr>
                <w:rFonts w:ascii="Aptos" w:hAnsi="Aptos"/>
                <w:b w:val="0"/>
                <w:sz w:val="11"/>
              </w:rPr>
              <w:t>Unexpected surge/drop relative to service baseline [TBC]</w:t>
            </w:r>
          </w:p>
        </w:tc>
        <w:tc>
          <w:tcPr>
            <w:tcW w:type="dxa" w:w="2045"/>
            <w:vAlign w:val="top"/>
          </w:tcPr>
          <w:p>
            <w:r/>
            <w:r>
              <w:rPr>
                <w:rFonts w:ascii="Aptos" w:hAnsi="Aptos"/>
                <w:b w:val="0"/>
                <w:sz w:val="11"/>
              </w:rPr>
              <w:t>Operational/product dashboard alert</w:t>
            </w:r>
          </w:p>
        </w:tc>
        <w:tc>
          <w:tcPr>
            <w:tcW w:type="dxa" w:w="2045"/>
            <w:vAlign w:val="top"/>
          </w:tcPr>
          <w:p>
            <w:r/>
            <w:r>
              <w:rPr>
                <w:rFonts w:ascii="Aptos" w:hAnsi="Aptos"/>
                <w:b w:val="0"/>
                <w:sz w:val="11"/>
              </w:rPr>
              <w:t>Product / Operations</w:t>
            </w:r>
          </w:p>
        </w:tc>
      </w:tr>
      <w:tr>
        <w:tc>
          <w:tcPr>
            <w:tcW w:type="dxa" w:w="2045"/>
            <w:vAlign w:val="top"/>
          </w:tcPr>
          <w:p>
            <w:r/>
            <w:r>
              <w:rPr>
                <w:rFonts w:ascii="Aptos" w:hAnsi="Aptos"/>
                <w:b w:val="0"/>
                <w:sz w:val="11"/>
              </w:rPr>
              <w:t>User feedback / redress</w:t>
            </w:r>
          </w:p>
        </w:tc>
        <w:tc>
          <w:tcPr>
            <w:tcW w:type="dxa" w:w="2045"/>
            <w:vAlign w:val="top"/>
          </w:tcPr>
          <w:p>
            <w:r/>
            <w:r>
              <w:rPr>
                <w:rFonts w:ascii="Aptos" w:hAnsi="Aptos"/>
                <w:b w:val="0"/>
                <w:sz w:val="11"/>
              </w:rPr>
              <w:t>Complaints, reported unsafe outcomes, confusion, escalation and support cases linked to Adaptive Triage.</w:t>
            </w:r>
          </w:p>
        </w:tc>
        <w:tc>
          <w:tcPr>
            <w:tcW w:type="dxa" w:w="2045"/>
            <w:vAlign w:val="top"/>
          </w:tcPr>
          <w:p>
            <w:r/>
            <w:r>
              <w:rPr>
                <w:rFonts w:ascii="Aptos" w:hAnsi="Aptos"/>
                <w:b w:val="0"/>
                <w:sz w:val="11"/>
              </w:rPr>
              <w:t>Any serious safety complaint immediate; trend threshold [TBC]</w:t>
            </w:r>
          </w:p>
        </w:tc>
        <w:tc>
          <w:tcPr>
            <w:tcW w:type="dxa" w:w="2045"/>
            <w:vAlign w:val="top"/>
          </w:tcPr>
          <w:p>
            <w:r/>
            <w:r>
              <w:rPr>
                <w:rFonts w:ascii="Aptos" w:hAnsi="Aptos"/>
                <w:b w:val="0"/>
                <w:sz w:val="11"/>
              </w:rPr>
              <w:t>Support/clinical safety escalation</w:t>
            </w:r>
          </w:p>
        </w:tc>
        <w:tc>
          <w:tcPr>
            <w:tcW w:type="dxa" w:w="2045"/>
            <w:vAlign w:val="top"/>
          </w:tcPr>
          <w:p>
            <w:r/>
            <w:r>
              <w:rPr>
                <w:rFonts w:ascii="Aptos" w:hAnsi="Aptos"/>
                <w:b w:val="0"/>
                <w:sz w:val="11"/>
              </w:rPr>
              <w:t>Product / Clinical Safety</w:t>
            </w:r>
          </w:p>
        </w:tc>
      </w:tr>
      <w:tr>
        <w:tc>
          <w:tcPr>
            <w:tcW w:type="dxa" w:w="2045"/>
            <w:vAlign w:val="top"/>
          </w:tcPr>
          <w:p>
            <w:r/>
            <w:r>
              <w:rPr>
                <w:rFonts w:ascii="Aptos" w:hAnsi="Aptos"/>
                <w:b w:val="0"/>
                <w:sz w:val="11"/>
              </w:rPr>
              <w:t>User/operator override rate</w:t>
            </w:r>
          </w:p>
        </w:tc>
        <w:tc>
          <w:tcPr>
            <w:tcW w:type="dxa" w:w="2045"/>
            <w:vAlign w:val="top"/>
          </w:tcPr>
          <w:p>
            <w:r/>
            <w:r>
              <w:rPr>
                <w:rFonts w:ascii="Aptos" w:hAnsi="Aptos"/>
                <w:b w:val="0"/>
                <w:sz w:val="11"/>
              </w:rPr>
              <w:t>Frequency with which authorised human/clinical operators reject, override or roll back model/configuration outcomes where such workflow exists.</w:t>
            </w:r>
          </w:p>
        </w:tc>
        <w:tc>
          <w:tcPr>
            <w:tcW w:type="dxa" w:w="2045"/>
            <w:vAlign w:val="top"/>
          </w:tcPr>
          <w:p>
            <w:r/>
            <w:r>
              <w:rPr>
                <w:rFonts w:ascii="Aptos" w:hAnsi="Aptos"/>
                <w:b w:val="0"/>
                <w:sz w:val="11"/>
              </w:rPr>
              <w:t>Unexpected increase from baseline [TBC]</w:t>
            </w:r>
          </w:p>
        </w:tc>
        <w:tc>
          <w:tcPr>
            <w:tcW w:type="dxa" w:w="2045"/>
            <w:vAlign w:val="top"/>
          </w:tcPr>
          <w:p>
            <w:r/>
            <w:r>
              <w:rPr>
                <w:rFonts w:ascii="Aptos" w:hAnsi="Aptos"/>
                <w:b w:val="0"/>
                <w:sz w:val="11"/>
              </w:rPr>
              <w:t>Governance dashboard/review</w:t>
            </w:r>
          </w:p>
        </w:tc>
        <w:tc>
          <w:tcPr>
            <w:tcW w:type="dxa" w:w="2045"/>
            <w:vAlign w:val="top"/>
          </w:tcPr>
          <w:p>
            <w:r/>
            <w:r>
              <w:rPr>
                <w:rFonts w:ascii="Aptos" w:hAnsi="Aptos"/>
                <w:b w:val="0"/>
                <w:sz w:val="11"/>
              </w:rPr>
              <w:t>Clinical Governance / Product</w:t>
            </w:r>
          </w:p>
        </w:tc>
      </w:tr>
      <w:tr>
        <w:tc>
          <w:tcPr>
            <w:tcW w:type="dxa" w:w="2045"/>
            <w:vAlign w:val="top"/>
          </w:tcPr>
          <w:p>
            <w:r/>
            <w:r>
              <w:rPr>
                <w:rFonts w:ascii="Aptos" w:hAnsi="Aptos"/>
                <w:b w:val="0"/>
                <w:sz w:val="11"/>
              </w:rPr>
              <w:t>Escalation frequency</w:t>
            </w:r>
          </w:p>
        </w:tc>
        <w:tc>
          <w:tcPr>
            <w:tcW w:type="dxa" w:w="2045"/>
            <w:vAlign w:val="top"/>
          </w:tcPr>
          <w:p>
            <w:r/>
            <w:r>
              <w:rPr>
                <w:rFonts w:ascii="Aptos" w:hAnsi="Aptos"/>
                <w:b w:val="0"/>
                <w:sz w:val="11"/>
              </w:rPr>
              <w:t>Frequency of safety-rule escalations, fallbacks, out-of-scope handling and manual/alternative-route escalation.</w:t>
            </w:r>
          </w:p>
        </w:tc>
        <w:tc>
          <w:tcPr>
            <w:tcW w:type="dxa" w:w="2045"/>
            <w:vAlign w:val="top"/>
          </w:tcPr>
          <w:p>
            <w:r/>
            <w:r>
              <w:rPr>
                <w:rFonts w:ascii="Aptos" w:hAnsi="Aptos"/>
                <w:b w:val="0"/>
                <w:sz w:val="11"/>
              </w:rPr>
              <w:t>Unexpected change from approved baseline [TBC]</w:t>
            </w:r>
          </w:p>
        </w:tc>
        <w:tc>
          <w:tcPr>
            <w:tcW w:type="dxa" w:w="2045"/>
            <w:vAlign w:val="top"/>
          </w:tcPr>
          <w:p>
            <w:r/>
            <w:r>
              <w:rPr>
                <w:rFonts w:ascii="Aptos" w:hAnsi="Aptos"/>
                <w:b w:val="0"/>
                <w:sz w:val="11"/>
              </w:rPr>
              <w:t>Clinical/Product dashboard</w:t>
            </w:r>
          </w:p>
        </w:tc>
        <w:tc>
          <w:tcPr>
            <w:tcW w:type="dxa" w:w="2045"/>
            <w:vAlign w:val="top"/>
          </w:tcPr>
          <w:p>
            <w:r/>
            <w:r>
              <w:rPr>
                <w:rFonts w:ascii="Aptos" w:hAnsi="Aptos"/>
                <w:b w:val="0"/>
                <w:sz w:val="11"/>
              </w:rPr>
              <w:t>Clinical / Product</w:t>
            </w:r>
          </w:p>
        </w:tc>
      </w:tr>
      <w:tr>
        <w:tc>
          <w:tcPr>
            <w:tcW w:type="dxa" w:w="2045"/>
            <w:vAlign w:val="top"/>
          </w:tcPr>
          <w:p>
            <w:r/>
            <w:r>
              <w:rPr>
                <w:rFonts w:ascii="Aptos" w:hAnsi="Aptos"/>
                <w:b w:val="0"/>
                <w:sz w:val="11"/>
              </w:rPr>
              <w:t>Model/configuration integrity</w:t>
            </w:r>
          </w:p>
        </w:tc>
        <w:tc>
          <w:tcPr>
            <w:tcW w:type="dxa" w:w="2045"/>
            <w:vAlign w:val="top"/>
          </w:tcPr>
          <w:p>
            <w:r/>
            <w:r>
              <w:rPr>
                <w:rFonts w:ascii="Aptos" w:hAnsi="Aptos"/>
                <w:b w:val="0"/>
                <w:sz w:val="11"/>
              </w:rPr>
              <w:t>Active model/version matches approved release; configuration hash/version and approval state valid.</w:t>
            </w:r>
          </w:p>
        </w:tc>
        <w:tc>
          <w:tcPr>
            <w:tcW w:type="dxa" w:w="2045"/>
            <w:vAlign w:val="top"/>
          </w:tcPr>
          <w:p>
            <w:r/>
            <w:r>
              <w:rPr>
                <w:rFonts w:ascii="Aptos" w:hAnsi="Aptos"/>
                <w:b w:val="0"/>
                <w:sz w:val="11"/>
              </w:rPr>
              <w:t>Any mismatch = Critical</w:t>
            </w:r>
          </w:p>
        </w:tc>
        <w:tc>
          <w:tcPr>
            <w:tcW w:type="dxa" w:w="2045"/>
            <w:vAlign w:val="top"/>
          </w:tcPr>
          <w:p>
            <w:r/>
            <w:r>
              <w:rPr>
                <w:rFonts w:ascii="Aptos" w:hAnsi="Aptos"/>
                <w:b w:val="0"/>
                <w:sz w:val="11"/>
              </w:rPr>
              <w:t>Immediate platform/security/clinical alert</w:t>
            </w:r>
          </w:p>
        </w:tc>
        <w:tc>
          <w:tcPr>
            <w:tcW w:type="dxa" w:w="2045"/>
            <w:vAlign w:val="top"/>
          </w:tcPr>
          <w:p>
            <w:r/>
            <w:r>
              <w:rPr>
                <w:rFonts w:ascii="Aptos" w:hAnsi="Aptos"/>
                <w:b w:val="0"/>
                <w:sz w:val="11"/>
              </w:rPr>
              <w:t>Platform / Security / Model Governance</w:t>
            </w:r>
          </w:p>
        </w:tc>
      </w:tr>
      <w:tr>
        <w:tc>
          <w:tcPr>
            <w:tcW w:type="dxa" w:w="2045"/>
            <w:vAlign w:val="top"/>
          </w:tcPr>
          <w:p>
            <w:r/>
            <w:r>
              <w:rPr>
                <w:rFonts w:ascii="Aptos" w:hAnsi="Aptos"/>
                <w:b w:val="0"/>
                <w:sz w:val="11"/>
              </w:rPr>
              <w:t>Audit reconstruction completeness</w:t>
            </w:r>
          </w:p>
        </w:tc>
        <w:tc>
          <w:tcPr>
            <w:tcW w:type="dxa" w:w="2045"/>
            <w:vAlign w:val="top"/>
          </w:tcPr>
          <w:p>
            <w:r/>
            <w:r>
              <w:rPr>
                <w:rFonts w:ascii="Aptos" w:hAnsi="Aptos"/>
                <w:b w:val="0"/>
                <w:sz w:val="11"/>
              </w:rPr>
              <w:t>Sampled interactions have complete required audit fields and can be reconstructed.</w:t>
            </w:r>
          </w:p>
        </w:tc>
        <w:tc>
          <w:tcPr>
            <w:tcW w:type="dxa" w:w="2045"/>
            <w:vAlign w:val="top"/>
          </w:tcPr>
          <w:p>
            <w:r/>
            <w:r>
              <w:rPr>
                <w:rFonts w:ascii="Aptos" w:hAnsi="Aptos"/>
                <w:b w:val="0"/>
                <w:sz w:val="11"/>
              </w:rPr>
              <w:t>Target 100% of sampled required fields/interactions; any systematic gap triggers investigation</w:t>
            </w:r>
          </w:p>
        </w:tc>
        <w:tc>
          <w:tcPr>
            <w:tcW w:type="dxa" w:w="2045"/>
            <w:vAlign w:val="top"/>
          </w:tcPr>
          <w:p>
            <w:r/>
            <w:r>
              <w:rPr>
                <w:rFonts w:ascii="Aptos" w:hAnsi="Aptos"/>
                <w:b w:val="0"/>
                <w:sz w:val="11"/>
              </w:rPr>
              <w:t>QA/operations review</w:t>
            </w:r>
          </w:p>
        </w:tc>
        <w:tc>
          <w:tcPr>
            <w:tcW w:type="dxa" w:w="2045"/>
            <w:vAlign w:val="top"/>
          </w:tcPr>
          <w:p>
            <w:r/>
            <w:r>
              <w:rPr>
                <w:rFonts w:ascii="Aptos" w:hAnsi="Aptos"/>
                <w:b w:val="0"/>
                <w:sz w:val="11"/>
              </w:rPr>
              <w:t>QA / Architecture</w:t>
            </w:r>
          </w:p>
        </w:tc>
      </w:tr>
      <w:tr>
        <w:tc>
          <w:tcPr>
            <w:tcW w:type="dxa" w:w="2045"/>
            <w:vAlign w:val="top"/>
          </w:tcPr>
          <w:p>
            <w:r/>
            <w:r>
              <w:rPr>
                <w:rFonts w:ascii="Aptos" w:hAnsi="Aptos"/>
                <w:b w:val="0"/>
                <w:sz w:val="11"/>
              </w:rPr>
              <w:t>Build-time AI governance</w:t>
            </w:r>
          </w:p>
        </w:tc>
        <w:tc>
          <w:tcPr>
            <w:tcW w:type="dxa" w:w="2045"/>
            <w:vAlign w:val="top"/>
          </w:tcPr>
          <w:p>
            <w:r/>
            <w:r>
              <w:rPr>
                <w:rFonts w:ascii="Aptos" w:hAnsi="Aptos"/>
                <w:b w:val="0"/>
                <w:sz w:val="11"/>
              </w:rPr>
              <w:t>Use of approved Bedrock models/tools only; clinically material outputs have required review/provenance.</w:t>
            </w:r>
          </w:p>
        </w:tc>
        <w:tc>
          <w:tcPr>
            <w:tcW w:type="dxa" w:w="2045"/>
            <w:vAlign w:val="top"/>
          </w:tcPr>
          <w:p>
            <w:r/>
            <w:r>
              <w:rPr>
                <w:rFonts w:ascii="Aptos" w:hAnsi="Aptos"/>
                <w:b w:val="0"/>
                <w:sz w:val="11"/>
              </w:rPr>
              <w:t>Any unauthorised model/data use or missing required clinical review = breach</w:t>
            </w:r>
          </w:p>
        </w:tc>
        <w:tc>
          <w:tcPr>
            <w:tcW w:type="dxa" w:w="2045"/>
            <w:vAlign w:val="top"/>
          </w:tcPr>
          <w:p>
            <w:r/>
            <w:r>
              <w:rPr>
                <w:rFonts w:ascii="Aptos" w:hAnsi="Aptos"/>
                <w:b w:val="0"/>
                <w:sz w:val="11"/>
              </w:rPr>
              <w:t>AI governance/security alert</w:t>
            </w:r>
          </w:p>
        </w:tc>
        <w:tc>
          <w:tcPr>
            <w:tcW w:type="dxa" w:w="2045"/>
            <w:vAlign w:val="top"/>
          </w:tcPr>
          <w:p>
            <w:r/>
            <w:r>
              <w:rPr>
                <w:rFonts w:ascii="Aptos" w:hAnsi="Aptos"/>
                <w:b w:val="0"/>
                <w:sz w:val="11"/>
              </w:rPr>
              <w:t>AI Engineering / Clinical / Security</w:t>
            </w:r>
          </w:p>
        </w:tc>
      </w:tr>
      <w:tr>
        <w:tc>
          <w:tcPr>
            <w:tcW w:type="dxa" w:w="2045"/>
            <w:vAlign w:val="top"/>
          </w:tcPr>
          <w:p>
            <w:r/>
            <w:r>
              <w:rPr>
                <w:rFonts w:ascii="Aptos" w:hAnsi="Aptos"/>
                <w:b w:val="0"/>
                <w:sz w:val="11"/>
              </w:rPr>
              <w:t>Cost / consumption</w:t>
            </w:r>
          </w:p>
        </w:tc>
        <w:tc>
          <w:tcPr>
            <w:tcW w:type="dxa" w:w="2045"/>
            <w:vAlign w:val="top"/>
          </w:tcPr>
          <w:p>
            <w:r/>
            <w:r>
              <w:rPr>
                <w:rFonts w:ascii="Aptos" w:hAnsi="Aptos"/>
                <w:b w:val="0"/>
                <w:sz w:val="11"/>
              </w:rPr>
              <w:t>AWS service cost and build-time model consumption; runtime has no general-purpose LLM token dependency under current design.</w:t>
            </w:r>
          </w:p>
        </w:tc>
        <w:tc>
          <w:tcPr>
            <w:tcW w:type="dxa" w:w="2045"/>
            <w:vAlign w:val="top"/>
          </w:tcPr>
          <w:p>
            <w:r/>
            <w:r>
              <w:rPr>
                <w:rFonts w:ascii="Aptos" w:hAnsi="Aptos"/>
                <w:b w:val="0"/>
                <w:sz w:val="11"/>
              </w:rPr>
              <w:t>Budget/service thresholds [TBC]</w:t>
            </w:r>
          </w:p>
        </w:tc>
        <w:tc>
          <w:tcPr>
            <w:tcW w:type="dxa" w:w="2045"/>
            <w:vAlign w:val="top"/>
          </w:tcPr>
          <w:p>
            <w:r/>
            <w:r>
              <w:rPr>
                <w:rFonts w:ascii="Aptos" w:hAnsi="Aptos"/>
                <w:b w:val="0"/>
                <w:sz w:val="11"/>
              </w:rPr>
              <w:t>FinOps/Product alert</w:t>
            </w:r>
          </w:p>
        </w:tc>
        <w:tc>
          <w:tcPr>
            <w:tcW w:type="dxa" w:w="2045"/>
            <w:vAlign w:val="top"/>
          </w:tcPr>
          <w:p>
            <w:r/>
            <w:r>
              <w:rPr>
                <w:rFonts w:ascii="Aptos" w:hAnsi="Aptos"/>
                <w:b w:val="0"/>
                <w:sz w:val="11"/>
              </w:rPr>
              <w:t>Product / Platform</w:t>
            </w:r>
          </w:p>
        </w:tc>
      </w:tr>
    </w:tbl>
    <w:p/>
    <w:p>
      <w:pPr>
        <w:pStyle w:val="Heading2"/>
      </w:pPr>
      <w:r>
        <w:t>4.1 Monitoring Cadence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D9EAD3"/>
          </w:tcPr>
          <w:p>
            <w:r/>
            <w:r>
              <w:rPr>
                <w:rFonts w:ascii="Aptos" w:hAnsi="Aptos"/>
                <w:b/>
                <w:sz w:val="14"/>
              </w:rPr>
              <w:t>Item</w:t>
            </w:r>
          </w:p>
        </w:tc>
        <w:tc>
          <w:tcPr>
            <w:tcW w:type="dxa" w:w="5112"/>
            <w:vAlign w:val="top"/>
            <w:shd w:fill="D9EAD3"/>
          </w:tcPr>
          <w:p>
            <w:r/>
            <w:r>
              <w:rPr>
                <w:rFonts w:ascii="Aptos" w:hAnsi="Aptos"/>
                <w:b/>
                <w:sz w:val="14"/>
              </w:rPr>
              <w:t>Cadence</w:t>
            </w:r>
          </w:p>
        </w:tc>
      </w:tr>
      <w:tr>
        <w:tc>
          <w:tcPr>
            <w:tcW w:type="dxa" w:w="5112"/>
            <w:vAlign w:val="top"/>
          </w:tcPr>
          <w:p>
            <w:r/>
            <w:r>
              <w:rPr>
                <w:rFonts w:ascii="Aptos" w:hAnsi="Aptos"/>
                <w:b w:val="0"/>
                <w:sz w:val="14"/>
              </w:rPr>
              <w:t>Automated metric review</w:t>
            </w:r>
          </w:p>
        </w:tc>
        <w:tc>
          <w:tcPr>
            <w:tcW w:type="dxa" w:w="5112"/>
            <w:vAlign w:val="top"/>
          </w:tcPr>
          <w:p>
            <w:r/>
            <w:r>
              <w:rPr>
                <w:rFonts w:ascii="Aptos" w:hAnsi="Aptos"/>
                <w:b w:val="0"/>
                <w:sz w:val="14"/>
              </w:rPr>
              <w:t>Continuous collection with automated alerting; daily review of critical operational/safety dashboards during early Beta, moving to risk-based cadence once stable.</w:t>
            </w:r>
          </w:p>
        </w:tc>
      </w:tr>
      <w:tr>
        <w:tc>
          <w:tcPr>
            <w:tcW w:type="dxa" w:w="5112"/>
            <w:vAlign w:val="top"/>
          </w:tcPr>
          <w:p>
            <w:r/>
            <w:r>
              <w:rPr>
                <w:rFonts w:ascii="Aptos" w:hAnsi="Aptos"/>
                <w:b w:val="0"/>
                <w:sz w:val="14"/>
              </w:rPr>
              <w:t>Sampled output review</w:t>
            </w:r>
          </w:p>
        </w:tc>
        <w:tc>
          <w:tcPr>
            <w:tcW w:type="dxa" w:w="5112"/>
            <w:vAlign w:val="top"/>
          </w:tcPr>
          <w:p>
            <w:r/>
            <w:r>
              <w:rPr>
                <w:rFonts w:ascii="Aptos" w:hAnsi="Aptos"/>
                <w:b w:val="0"/>
                <w:sz w:val="14"/>
              </w:rPr>
              <w:t>Initial Beta: at least weekly clinically reviewed sample, with sample size and stratification defined before go-live. Increase frequency after incidents, material changes or emerging drift. [TBC exact sample size.]</w:t>
            </w:r>
          </w:p>
        </w:tc>
      </w:tr>
      <w:tr>
        <w:tc>
          <w:tcPr>
            <w:tcW w:type="dxa" w:w="5112"/>
            <w:vAlign w:val="top"/>
          </w:tcPr>
          <w:p>
            <w:r/>
            <w:r>
              <w:rPr>
                <w:rFonts w:ascii="Aptos" w:hAnsi="Aptos"/>
                <w:b w:val="0"/>
                <w:sz w:val="14"/>
              </w:rPr>
              <w:t>Operational review meeting</w:t>
            </w:r>
          </w:p>
        </w:tc>
        <w:tc>
          <w:tcPr>
            <w:tcW w:type="dxa" w:w="5112"/>
            <w:vAlign w:val="top"/>
          </w:tcPr>
          <w:p>
            <w:r/>
            <w:r>
              <w:rPr>
                <w:rFonts w:ascii="Aptos" w:hAnsi="Aptos"/>
                <w:b w:val="0"/>
                <w:sz w:val="14"/>
              </w:rPr>
              <w:t>Initial Beta: weekly multidisciplinary review covering Clinical Safety, Product, Data Science/AI Engineering, QA and Operations; consider moving to fortnightly/monthly after an agreed stable period.</w:t>
            </w:r>
          </w:p>
        </w:tc>
      </w:tr>
      <w:tr>
        <w:tc>
          <w:tcPr>
            <w:tcW w:type="dxa" w:w="5112"/>
            <w:vAlign w:val="top"/>
          </w:tcPr>
          <w:p>
            <w:r/>
            <w:r>
              <w:rPr>
                <w:rFonts w:ascii="Aptos" w:hAnsi="Aptos"/>
                <w:b w:val="0"/>
                <w:sz w:val="14"/>
              </w:rPr>
              <w:t>Model performance / fairness review</w:t>
            </w:r>
          </w:p>
        </w:tc>
        <w:tc>
          <w:tcPr>
            <w:tcW w:type="dxa" w:w="5112"/>
            <w:vAlign w:val="top"/>
          </w:tcPr>
          <w:p>
            <w:r/>
            <w:r>
              <w:rPr>
                <w:rFonts w:ascii="Aptos" w:hAnsi="Aptos"/>
                <w:b w:val="0"/>
                <w:sz w:val="14"/>
              </w:rPr>
              <w:t>At least monthly during early live operation and after sufficient new outcome data; more frequently where high-risk signals emerge.</w:t>
            </w:r>
          </w:p>
        </w:tc>
      </w:tr>
      <w:tr>
        <w:tc>
          <w:tcPr>
            <w:tcW w:type="dxa" w:w="5112"/>
            <w:vAlign w:val="top"/>
          </w:tcPr>
          <w:p>
            <w:r/>
            <w:r>
              <w:rPr>
                <w:rFonts w:ascii="Aptos" w:hAnsi="Aptos"/>
                <w:b w:val="0"/>
                <w:sz w:val="14"/>
              </w:rPr>
              <w:t>Formal periodic assurance review</w:t>
            </w:r>
          </w:p>
        </w:tc>
        <w:tc>
          <w:tcPr>
            <w:tcW w:type="dxa" w:w="5112"/>
            <w:vAlign w:val="top"/>
          </w:tcPr>
          <w:p>
            <w:r/>
            <w:r>
              <w:rPr>
                <w:rFonts w:ascii="Aptos" w:hAnsi="Aptos"/>
                <w:b w:val="0"/>
                <w:sz w:val="14"/>
              </w:rPr>
              <w:t>Quarterly during early operational deployment, and at minimum annually thereafter, subject to Tier 3 risk and organisational governance.</w:t>
            </w:r>
          </w:p>
        </w:tc>
      </w:tr>
      <w:tr>
        <w:tc>
          <w:tcPr>
            <w:tcW w:type="dxa" w:w="5112"/>
            <w:vAlign w:val="top"/>
          </w:tcPr>
          <w:p>
            <w:r/>
            <w:r>
              <w:rPr>
                <w:rFonts w:ascii="Aptos" w:hAnsi="Aptos"/>
                <w:b w:val="0"/>
                <w:sz w:val="14"/>
              </w:rPr>
              <w:t>Management review feed</w:t>
            </w:r>
          </w:p>
        </w:tc>
        <w:tc>
          <w:tcPr>
            <w:tcW w:type="dxa" w:w="5112"/>
            <w:vAlign w:val="top"/>
          </w:tcPr>
          <w:p>
            <w:r/>
            <w:r>
              <w:rPr>
                <w:rFonts w:ascii="Aptos" w:hAnsi="Aptos"/>
                <w:b w:val="0"/>
                <w:sz w:val="14"/>
              </w:rPr>
              <w:t>Material monitoring findings, incidents, residual-risk changes, performance/fairness trends and major actions should feed the Kainos AI Governance/ISO 42001 management review process and NHS England governance as applicable.</w:t>
            </w:r>
          </w:p>
        </w:tc>
      </w:tr>
    </w:tbl>
    <w:p/>
    <w:p>
      <w:pPr>
        <w:pStyle w:val="Heading1"/>
      </w:pPr>
      <w:r>
        <w:t>5. Drift, Bias, and Fairness Observations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top"/>
            <w:shd w:fill="D9EAD3"/>
          </w:tcPr>
          <w:p>
            <w:r/>
            <w:r>
              <w:rPr>
                <w:rFonts w:ascii="Aptos" w:hAnsi="Aptos"/>
                <w:b/>
                <w:sz w:val="13"/>
              </w:rPr>
              <w:t>Date</w:t>
            </w:r>
          </w:p>
        </w:tc>
        <w:tc>
          <w:tcPr>
            <w:tcW w:type="dxa" w:w="1704"/>
            <w:vAlign w:val="top"/>
            <w:shd w:fill="D9EAD3"/>
          </w:tcPr>
          <w:p>
            <w:r/>
            <w:r>
              <w:rPr>
                <w:rFonts w:ascii="Aptos" w:hAnsi="Aptos"/>
                <w:b/>
                <w:sz w:val="13"/>
              </w:rPr>
              <w:t>Observation</w:t>
            </w:r>
          </w:p>
        </w:tc>
        <w:tc>
          <w:tcPr>
            <w:tcW w:type="dxa" w:w="1704"/>
            <w:vAlign w:val="top"/>
            <w:shd w:fill="D9EAD3"/>
          </w:tcPr>
          <w:p>
            <w:r/>
            <w:r>
              <w:rPr>
                <w:rFonts w:ascii="Aptos" w:hAnsi="Aptos"/>
                <w:b/>
                <w:sz w:val="13"/>
              </w:rPr>
              <w:t>Source / metric</w:t>
            </w:r>
          </w:p>
        </w:tc>
        <w:tc>
          <w:tcPr>
            <w:tcW w:type="dxa" w:w="1704"/>
            <w:vAlign w:val="top"/>
            <w:shd w:fill="D9EAD3"/>
          </w:tcPr>
          <w:p>
            <w:r/>
            <w:r>
              <w:rPr>
                <w:rFonts w:ascii="Aptos" w:hAnsi="Aptos"/>
                <w:b/>
                <w:sz w:val="13"/>
              </w:rPr>
              <w:t>Action taken</w:t>
            </w:r>
          </w:p>
        </w:tc>
        <w:tc>
          <w:tcPr>
            <w:tcW w:type="dxa" w:w="1704"/>
            <w:vAlign w:val="top"/>
            <w:shd w:fill="D9EAD3"/>
          </w:tcPr>
          <w:p>
            <w:r/>
            <w:r>
              <w:rPr>
                <w:rFonts w:ascii="Aptos" w:hAnsi="Aptos"/>
                <w:b/>
                <w:sz w:val="13"/>
              </w:rPr>
              <w:t>Owner</w:t>
            </w:r>
          </w:p>
        </w:tc>
        <w:tc>
          <w:tcPr>
            <w:tcW w:type="dxa" w:w="1704"/>
            <w:vAlign w:val="top"/>
            <w:shd w:fill="D9EAD3"/>
          </w:tcPr>
          <w:p>
            <w:r/>
            <w:r>
              <w:rPr>
                <w:rFonts w:ascii="Aptos" w:hAnsi="Aptos"/>
                <w:b/>
                <w:sz w:val="13"/>
              </w:rPr>
              <w:t>Status</w:t>
            </w:r>
          </w:p>
        </w:tc>
      </w:tr>
      <w:tr>
        <w:tc>
          <w:tcPr>
            <w:tcW w:type="dxa" w:w="1704"/>
            <w:vAlign w:val="top"/>
          </w:tcPr>
          <w:p>
            <w:r/>
            <w:r>
              <w:rPr>
                <w:rFonts w:ascii="Aptos" w:hAnsi="Aptos"/>
                <w:b w:val="0"/>
                <w:sz w:val="13"/>
              </w:rPr>
              <w:t>Current position</w:t>
            </w:r>
          </w:p>
        </w:tc>
        <w:tc>
          <w:tcPr>
            <w:tcW w:type="dxa" w:w="1704"/>
            <w:vAlign w:val="top"/>
          </w:tcPr>
          <w:p>
            <w:r/>
            <w:r>
              <w:rPr>
                <w:rFonts w:ascii="Aptos" w:hAnsi="Aptos"/>
                <w:b w:val="0"/>
                <w:sz w:val="13"/>
              </w:rPr>
              <w:t>No production observations available</w:t>
            </w:r>
          </w:p>
        </w:tc>
        <w:tc>
          <w:tcPr>
            <w:tcW w:type="dxa" w:w="1704"/>
            <w:vAlign w:val="top"/>
          </w:tcPr>
          <w:p>
            <w:r/>
            <w:r>
              <w:rPr>
                <w:rFonts w:ascii="Aptos" w:hAnsi="Aptos"/>
                <w:b w:val="0"/>
                <w:sz w:val="13"/>
              </w:rPr>
              <w:t>Adaptive Triage has not yet entered live operation</w:t>
            </w:r>
          </w:p>
        </w:tc>
        <w:tc>
          <w:tcPr>
            <w:tcW w:type="dxa" w:w="1704"/>
            <w:vAlign w:val="top"/>
          </w:tcPr>
          <w:p>
            <w:r/>
            <w:r>
              <w:rPr>
                <w:rFonts w:ascii="Aptos" w:hAnsi="Aptos"/>
                <w:b w:val="0"/>
                <w:sz w:val="13"/>
              </w:rPr>
              <w:t>Establish Alpha/Beta baseline and approved subgroup/drift metrics before go-live</w:t>
            </w:r>
          </w:p>
        </w:tc>
        <w:tc>
          <w:tcPr>
            <w:tcW w:type="dxa" w:w="1704"/>
            <w:vAlign w:val="top"/>
          </w:tcPr>
          <w:p>
            <w:r/>
            <w:r>
              <w:rPr>
                <w:rFonts w:ascii="Aptos" w:hAnsi="Aptos"/>
                <w:b w:val="0"/>
                <w:sz w:val="13"/>
              </w:rPr>
              <w:t>Data Science / Clinical / Data Ethics</w:t>
            </w:r>
          </w:p>
        </w:tc>
        <w:tc>
          <w:tcPr>
            <w:tcW w:type="dxa" w:w="1704"/>
            <w:vAlign w:val="top"/>
          </w:tcPr>
          <w:p>
            <w:r/>
            <w:r>
              <w:rPr>
                <w:rFonts w:ascii="Aptos" w:hAnsi="Aptos"/>
                <w:b w:val="0"/>
                <w:sz w:val="13"/>
              </w:rPr>
              <w:t>Open - preparatory</w:t>
            </w:r>
          </w:p>
        </w:tc>
      </w:tr>
      <w:tr>
        <w:tc>
          <w:tcPr>
            <w:tcW w:type="dxa" w:w="1704"/>
            <w:vAlign w:val="top"/>
          </w:tcPr>
          <w:p>
            <w:r/>
            <w:r>
              <w:rPr>
                <w:rFonts w:ascii="Aptos" w:hAnsi="Aptos"/>
                <w:b w:val="0"/>
                <w:sz w:val="13"/>
              </w:rPr>
              <w:t>Post go-live entry format</w:t>
            </w:r>
          </w:p>
        </w:tc>
        <w:tc>
          <w:tcPr>
            <w:tcW w:type="dxa" w:w="1704"/>
            <w:vAlign w:val="top"/>
          </w:tcPr>
          <w:p>
            <w:r/>
            <w:r>
              <w:rPr>
                <w:rFonts w:ascii="Aptos" w:hAnsi="Aptos"/>
                <w:b w:val="0"/>
                <w:sz w:val="13"/>
              </w:rPr>
              <w:t>Record each material drift, bias, fairness or human-factor signal separately</w:t>
            </w:r>
          </w:p>
        </w:tc>
        <w:tc>
          <w:tcPr>
            <w:tcW w:type="dxa" w:w="1704"/>
            <w:vAlign w:val="top"/>
          </w:tcPr>
          <w:p>
            <w:r/>
            <w:r>
              <w:rPr>
                <w:rFonts w:ascii="Aptos" w:hAnsi="Aptos"/>
                <w:b w:val="0"/>
                <w:sz w:val="13"/>
              </w:rPr>
              <w:t>Metric/dashboard/audit/complaint/incident reference</w:t>
            </w:r>
          </w:p>
        </w:tc>
        <w:tc>
          <w:tcPr>
            <w:tcW w:type="dxa" w:w="1704"/>
            <w:vAlign w:val="top"/>
          </w:tcPr>
          <w:p>
            <w:r/>
            <w:r>
              <w:rPr>
                <w:rFonts w:ascii="Aptos" w:hAnsi="Aptos"/>
                <w:b w:val="0"/>
                <w:sz w:val="13"/>
              </w:rPr>
              <w:t>Investigate root cause; determine whether data/model/configuration change, additional testing, rollback or risk reassessment is required</w:t>
            </w:r>
          </w:p>
        </w:tc>
        <w:tc>
          <w:tcPr>
            <w:tcW w:type="dxa" w:w="1704"/>
            <w:vAlign w:val="top"/>
          </w:tcPr>
          <w:p>
            <w:r/>
            <w:r>
              <w:rPr>
                <w:rFonts w:ascii="Aptos" w:hAnsi="Aptos"/>
                <w:b w:val="0"/>
                <w:sz w:val="13"/>
              </w:rPr>
              <w:t>Named owner</w:t>
            </w:r>
          </w:p>
        </w:tc>
        <w:tc>
          <w:tcPr>
            <w:tcW w:type="dxa" w:w="1704"/>
            <w:vAlign w:val="top"/>
          </w:tcPr>
          <w:p>
            <w:r/>
            <w:r>
              <w:rPr>
                <w:rFonts w:ascii="Aptos" w:hAnsi="Aptos"/>
                <w:b w:val="0"/>
                <w:sz w:val="13"/>
              </w:rPr>
              <w:t>Open/Closed</w:t>
            </w:r>
          </w:p>
        </w:tc>
      </w:tr>
    </w:tbl>
    <w:p/>
    <w:p>
      <w:pPr>
        <w:pStyle w:val="Heading1"/>
      </w:pPr>
      <w:r>
        <w:t>6. Incident Log (C11)</w:t>
      </w:r>
    </w:p>
    <w:tbl>
      <w:tblPr>
        <w:tblStyle w:val="TableGrid"/>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rPr>
          <w:tblHeader w:val="true"/>
        </w:trPr>
        <w:tc>
          <w:tcPr>
            <w:tcW w:type="dxa" w:w="1278"/>
            <w:vAlign w:val="top"/>
            <w:shd w:fill="D9EAD3"/>
          </w:tcPr>
          <w:p>
            <w:r/>
            <w:r>
              <w:rPr>
                <w:rFonts w:ascii="Aptos" w:hAnsi="Aptos"/>
                <w:b/>
                <w:sz w:val="11"/>
              </w:rPr>
              <w:t>ID</w:t>
            </w:r>
          </w:p>
        </w:tc>
        <w:tc>
          <w:tcPr>
            <w:tcW w:type="dxa" w:w="1278"/>
            <w:vAlign w:val="top"/>
            <w:shd w:fill="D9EAD3"/>
          </w:tcPr>
          <w:p>
            <w:r/>
            <w:r>
              <w:rPr>
                <w:rFonts w:ascii="Aptos" w:hAnsi="Aptos"/>
                <w:b/>
                <w:sz w:val="11"/>
              </w:rPr>
              <w:t>Date</w:t>
            </w:r>
          </w:p>
        </w:tc>
        <w:tc>
          <w:tcPr>
            <w:tcW w:type="dxa" w:w="1278"/>
            <w:vAlign w:val="top"/>
            <w:shd w:fill="D9EAD3"/>
          </w:tcPr>
          <w:p>
            <w:r/>
            <w:r>
              <w:rPr>
                <w:rFonts w:ascii="Aptos" w:hAnsi="Aptos"/>
                <w:b/>
                <w:sz w:val="11"/>
              </w:rPr>
              <w:t>Summary</w:t>
            </w:r>
          </w:p>
        </w:tc>
        <w:tc>
          <w:tcPr>
            <w:tcW w:type="dxa" w:w="1278"/>
            <w:vAlign w:val="top"/>
            <w:shd w:fill="D9EAD3"/>
          </w:tcPr>
          <w:p>
            <w:r/>
            <w:r>
              <w:rPr>
                <w:rFonts w:ascii="Aptos" w:hAnsi="Aptos"/>
                <w:b/>
                <w:sz w:val="11"/>
              </w:rPr>
              <w:t>Severity</w:t>
            </w:r>
          </w:p>
        </w:tc>
        <w:tc>
          <w:tcPr>
            <w:tcW w:type="dxa" w:w="1278"/>
            <w:vAlign w:val="top"/>
            <w:shd w:fill="D9EAD3"/>
          </w:tcPr>
          <w:p>
            <w:r/>
            <w:r>
              <w:rPr>
                <w:rFonts w:ascii="Aptos" w:hAnsi="Aptos"/>
                <w:b/>
                <w:sz w:val="11"/>
              </w:rPr>
              <w:t>Root cause</w:t>
            </w:r>
          </w:p>
        </w:tc>
        <w:tc>
          <w:tcPr>
            <w:tcW w:type="dxa" w:w="1278"/>
            <w:vAlign w:val="top"/>
            <w:shd w:fill="D9EAD3"/>
          </w:tcPr>
          <w:p>
            <w:r/>
            <w:r>
              <w:rPr>
                <w:rFonts w:ascii="Aptos" w:hAnsi="Aptos"/>
                <w:b/>
                <w:sz w:val="11"/>
              </w:rPr>
              <w:t>Regulatory Notification Required?</w:t>
            </w:r>
          </w:p>
        </w:tc>
        <w:tc>
          <w:tcPr>
            <w:tcW w:type="dxa" w:w="1278"/>
            <w:vAlign w:val="top"/>
            <w:shd w:fill="D9EAD3"/>
          </w:tcPr>
          <w:p>
            <w:r/>
            <w:r>
              <w:rPr>
                <w:rFonts w:ascii="Aptos" w:hAnsi="Aptos"/>
                <w:b/>
                <w:sz w:val="11"/>
              </w:rPr>
              <w:t>Action</w:t>
            </w:r>
          </w:p>
        </w:tc>
        <w:tc>
          <w:tcPr>
            <w:tcW w:type="dxa" w:w="1278"/>
            <w:vAlign w:val="top"/>
            <w:shd w:fill="D9EAD3"/>
          </w:tcPr>
          <w:p>
            <w:r/>
            <w:r>
              <w:rPr>
                <w:rFonts w:ascii="Aptos" w:hAnsi="Aptos"/>
                <w:b/>
                <w:sz w:val="11"/>
              </w:rPr>
              <w:t>Status / Ref</w:t>
            </w:r>
          </w:p>
        </w:tc>
      </w:tr>
      <w:tr>
        <w:tc>
          <w:tcPr>
            <w:tcW w:type="dxa" w:w="1278"/>
            <w:vAlign w:val="top"/>
          </w:tcPr>
          <w:p>
            <w:r/>
            <w:r>
              <w:rPr>
                <w:rFonts w:ascii="Aptos" w:hAnsi="Aptos"/>
                <w:b w:val="0"/>
                <w:sz w:val="11"/>
              </w:rPr>
              <w:t>Current position</w:t>
            </w:r>
          </w:p>
        </w:tc>
        <w:tc>
          <w:tcPr>
            <w:tcW w:type="dxa" w:w="1278"/>
            <w:vAlign w:val="top"/>
          </w:tcPr>
          <w:p>
            <w:r/>
            <w:r>
              <w:rPr>
                <w:rFonts w:ascii="Aptos" w:hAnsi="Aptos"/>
                <w:b w:val="0"/>
                <w:sz w:val="11"/>
              </w:rPr>
              <w:t>N/A - pre-live</w:t>
            </w:r>
          </w:p>
        </w:tc>
        <w:tc>
          <w:tcPr>
            <w:tcW w:type="dxa" w:w="1278"/>
            <w:vAlign w:val="top"/>
          </w:tcPr>
          <w:p>
            <w:r/>
            <w:r>
              <w:rPr>
                <w:rFonts w:ascii="Aptos" w:hAnsi="Aptos"/>
                <w:b w:val="0"/>
                <w:sz w:val="11"/>
              </w:rPr>
              <w:t>No production AI incident is recorded in this artefact at the current Alpha stage.</w:t>
            </w:r>
          </w:p>
        </w:tc>
        <w:tc>
          <w:tcPr>
            <w:tcW w:type="dxa" w:w="1278"/>
            <w:vAlign w:val="top"/>
          </w:tcPr>
          <w:p>
            <w:r/>
            <w:r>
              <w:rPr>
                <w:rFonts w:ascii="Aptos" w:hAnsi="Aptos"/>
                <w:b w:val="0"/>
                <w:sz w:val="11"/>
              </w:rPr>
              <w:t>N/A</w:t>
            </w:r>
          </w:p>
        </w:tc>
        <w:tc>
          <w:tcPr>
            <w:tcW w:type="dxa" w:w="1278"/>
            <w:vAlign w:val="top"/>
          </w:tcPr>
          <w:p>
            <w:r/>
            <w:r>
              <w:rPr>
                <w:rFonts w:ascii="Aptos" w:hAnsi="Aptos"/>
                <w:b w:val="0"/>
                <w:sz w:val="11"/>
              </w:rPr>
              <w:t>N/A</w:t>
            </w:r>
          </w:p>
        </w:tc>
        <w:tc>
          <w:tcPr>
            <w:tcW w:type="dxa" w:w="1278"/>
            <w:vAlign w:val="top"/>
          </w:tcPr>
          <w:p>
            <w:r/>
            <w:r>
              <w:rPr>
                <w:rFonts w:ascii="Aptos" w:hAnsi="Aptos"/>
                <w:b w:val="0"/>
                <w:sz w:val="11"/>
              </w:rPr>
              <w:t>Any material Alpha/Beta safety finding or near-miss should be entered once classified as an AI/clinical incident.</w:t>
            </w:r>
          </w:p>
        </w:tc>
        <w:tc>
          <w:tcPr>
            <w:tcW w:type="dxa" w:w="1278"/>
            <w:vAlign w:val="top"/>
          </w:tcPr>
          <w:p>
            <w:r/>
            <w:r>
              <w:rPr>
                <w:rFonts w:ascii="Aptos" w:hAnsi="Aptos"/>
                <w:b w:val="0"/>
                <w:sz w:val="11"/>
              </w:rPr>
              <w:t>N/A</w:t>
            </w:r>
          </w:p>
        </w:tc>
        <w:tc>
          <w:tcPr>
            <w:tcW w:type="dxa" w:w="1278"/>
            <w:vAlign w:val="top"/>
          </w:tcPr>
          <w:p>
            <w:r/>
            <w:r>
              <w:rPr>
                <w:rFonts w:ascii="Aptos" w:hAnsi="Aptos"/>
                <w:b w:val="0"/>
                <w:sz w:val="11"/>
              </w:rPr>
              <w:t>Reference project incident/hazard record where applicable</w:t>
            </w:r>
          </w:p>
        </w:tc>
      </w:tr>
      <w:tr>
        <w:tc>
          <w:tcPr>
            <w:tcW w:type="dxa" w:w="1278"/>
            <w:vAlign w:val="top"/>
          </w:tcPr>
          <w:p>
            <w:r/>
            <w:r>
              <w:rPr>
                <w:rFonts w:ascii="Aptos" w:hAnsi="Aptos"/>
                <w:b w:val="0"/>
                <w:sz w:val="11"/>
              </w:rPr>
              <w:t>Future incident entry</w:t>
            </w:r>
          </w:p>
        </w:tc>
        <w:tc>
          <w:tcPr>
            <w:tcW w:type="dxa" w:w="1278"/>
            <w:vAlign w:val="top"/>
          </w:tcPr>
          <w:p>
            <w:r/>
            <w:r>
              <w:rPr>
                <w:rFonts w:ascii="Aptos" w:hAnsi="Aptos"/>
                <w:b w:val="0"/>
                <w:sz w:val="11"/>
              </w:rPr>
              <w:t>[dd.mm.yy]</w:t>
            </w:r>
          </w:p>
        </w:tc>
        <w:tc>
          <w:tcPr>
            <w:tcW w:type="dxa" w:w="1278"/>
            <w:vAlign w:val="top"/>
          </w:tcPr>
          <w:p>
            <w:r/>
            <w:r>
              <w:rPr>
                <w:rFonts w:ascii="Aptos" w:hAnsi="Aptos"/>
                <w:b w:val="0"/>
                <w:sz w:val="11"/>
              </w:rPr>
              <w:t>[Short description of AI/model/data/safety incident or near-miss]</w:t>
            </w:r>
          </w:p>
        </w:tc>
        <w:tc>
          <w:tcPr>
            <w:tcW w:type="dxa" w:w="1278"/>
            <w:vAlign w:val="top"/>
          </w:tcPr>
          <w:p>
            <w:r/>
            <w:r>
              <w:rPr>
                <w:rFonts w:ascii="Aptos" w:hAnsi="Aptos"/>
                <w:b w:val="0"/>
                <w:sz w:val="11"/>
              </w:rPr>
              <w:t>[Low/Medium/High/Critical]</w:t>
            </w:r>
          </w:p>
        </w:tc>
        <w:tc>
          <w:tcPr>
            <w:tcW w:type="dxa" w:w="1278"/>
            <w:vAlign w:val="top"/>
          </w:tcPr>
          <w:p>
            <w:r/>
            <w:r>
              <w:rPr>
                <w:rFonts w:ascii="Aptos" w:hAnsi="Aptos"/>
                <w:b w:val="0"/>
                <w:sz w:val="11"/>
              </w:rPr>
              <w:t>[Root cause]</w:t>
            </w:r>
          </w:p>
        </w:tc>
        <w:tc>
          <w:tcPr>
            <w:tcW w:type="dxa" w:w="1278"/>
            <w:vAlign w:val="top"/>
          </w:tcPr>
          <w:p>
            <w:r/>
            <w:r>
              <w:rPr>
                <w:rFonts w:ascii="Aptos" w:hAnsi="Aptos"/>
                <w:b w:val="0"/>
                <w:sz w:val="11"/>
              </w:rPr>
              <w:t>[Yes/No/TBC against applicable reporting rules]</w:t>
            </w:r>
          </w:p>
        </w:tc>
        <w:tc>
          <w:tcPr>
            <w:tcW w:type="dxa" w:w="1278"/>
            <w:vAlign w:val="top"/>
          </w:tcPr>
          <w:p>
            <w:r/>
            <w:r>
              <w:rPr>
                <w:rFonts w:ascii="Aptos" w:hAnsi="Aptos"/>
                <w:b w:val="0"/>
                <w:sz w:val="11"/>
              </w:rPr>
              <w:t>[Containment, rollback, remediation, re-test, risk reassessment]</w:t>
            </w:r>
          </w:p>
        </w:tc>
        <w:tc>
          <w:tcPr>
            <w:tcW w:type="dxa" w:w="1278"/>
            <w:vAlign w:val="top"/>
          </w:tcPr>
          <w:p>
            <w:r/>
            <w:r>
              <w:rPr>
                <w:rFonts w:ascii="Aptos" w:hAnsi="Aptos"/>
                <w:b w:val="0"/>
                <w:sz w:val="11"/>
              </w:rPr>
              <w:t>[Open/Closed + incident ticket]</w:t>
            </w:r>
          </w:p>
        </w:tc>
      </w:tr>
    </w:tbl>
    <w:p/>
    <w:p>
      <w:pPr>
        <w:pStyle w:val="Heading2"/>
      </w:pPr>
      <w:r>
        <w:t>6.1 Regulatory Reporting</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vAlign w:val="top"/>
            <w:shd w:fill="D9EAD3"/>
          </w:tcPr>
          <w:p>
            <w:r/>
            <w:r>
              <w:rPr>
                <w:rFonts w:ascii="Aptos" w:hAnsi="Aptos"/>
                <w:b/>
                <w:sz w:val="14"/>
              </w:rPr>
              <w:t>Authority / framework</w:t>
            </w:r>
          </w:p>
        </w:tc>
        <w:tc>
          <w:tcPr>
            <w:tcW w:type="dxa" w:w="3408"/>
            <w:vAlign w:val="top"/>
            <w:shd w:fill="D9EAD3"/>
          </w:tcPr>
          <w:p>
            <w:r/>
            <w:r>
              <w:rPr>
                <w:rFonts w:ascii="Aptos" w:hAnsi="Aptos"/>
                <w:b/>
                <w:sz w:val="14"/>
              </w:rPr>
              <w:t>Reporting trigger</w:t>
            </w:r>
          </w:p>
        </w:tc>
        <w:tc>
          <w:tcPr>
            <w:tcW w:type="dxa" w:w="3408"/>
            <w:vAlign w:val="top"/>
            <w:shd w:fill="D9EAD3"/>
          </w:tcPr>
          <w:p>
            <w:r/>
            <w:r>
              <w:rPr>
                <w:rFonts w:ascii="Aptos" w:hAnsi="Aptos"/>
                <w:b/>
                <w:sz w:val="14"/>
              </w:rPr>
              <w:t>Reported?</w:t>
            </w:r>
          </w:p>
        </w:tc>
      </w:tr>
      <w:tr>
        <w:tc>
          <w:tcPr>
            <w:tcW w:type="dxa" w:w="3408"/>
            <w:vAlign w:val="top"/>
          </w:tcPr>
          <w:p>
            <w:r/>
            <w:r>
              <w:rPr>
                <w:rFonts w:ascii="Aptos" w:hAnsi="Aptos"/>
                <w:b w:val="0"/>
                <w:sz w:val="14"/>
              </w:rPr>
              <w:t>ICO (UK GDPR)</w:t>
            </w:r>
          </w:p>
        </w:tc>
        <w:tc>
          <w:tcPr>
            <w:tcW w:type="dxa" w:w="3408"/>
            <w:vAlign w:val="top"/>
          </w:tcPr>
          <w:p>
            <w:r/>
            <w:r>
              <w:rPr>
                <w:rFonts w:ascii="Aptos" w:hAnsi="Aptos"/>
                <w:b w:val="0"/>
                <w:sz w:val="14"/>
              </w:rPr>
              <w:t>Where an incident constitutes a reportable personal data breach, follow the NHS England/Kainos incident and data-protection process, including the applicable 72-hour regulatory window.</w:t>
            </w:r>
          </w:p>
        </w:tc>
        <w:tc>
          <w:tcPr>
            <w:tcW w:type="dxa" w:w="3408"/>
            <w:vAlign w:val="top"/>
          </w:tcPr>
          <w:p>
            <w:r/>
            <w:r>
              <w:rPr>
                <w:rFonts w:ascii="Aptos" w:hAnsi="Aptos"/>
                <w:b w:val="0"/>
                <w:sz w:val="14"/>
              </w:rPr>
              <w:t>N/A currently - no recorded production incident</w:t>
            </w:r>
          </w:p>
        </w:tc>
      </w:tr>
      <w:tr>
        <w:tc>
          <w:tcPr>
            <w:tcW w:type="dxa" w:w="3408"/>
            <w:vAlign w:val="top"/>
          </w:tcPr>
          <w:p>
            <w:r/>
            <w:r>
              <w:rPr>
                <w:rFonts w:ascii="Aptos" w:hAnsi="Aptos"/>
                <w:b w:val="0"/>
                <w:sz w:val="14"/>
              </w:rPr>
              <w:t>EU AI Act post-market</w:t>
            </w:r>
          </w:p>
        </w:tc>
        <w:tc>
          <w:tcPr>
            <w:tcW w:type="dxa" w:w="3408"/>
            <w:vAlign w:val="top"/>
          </w:tcPr>
          <w:p>
            <w:r/>
            <w:r>
              <w:rPr>
                <w:rFonts w:ascii="Aptos" w:hAnsi="Aptos"/>
                <w:b w:val="0"/>
                <w:sz w:val="14"/>
              </w:rPr>
              <w:t>If/when the system is in territorial/material scope and an event meets the applicable serious-incident reporting definition, follow Legal/Compliance advice and the required reporting window.</w:t>
            </w:r>
          </w:p>
        </w:tc>
        <w:tc>
          <w:tcPr>
            <w:tcW w:type="dxa" w:w="3408"/>
            <w:vAlign w:val="top"/>
          </w:tcPr>
          <w:p>
            <w:r/>
            <w:r>
              <w:rPr>
                <w:rFonts w:ascii="Aptos" w:hAnsi="Aptos"/>
                <w:b w:val="0"/>
                <w:sz w:val="14"/>
              </w:rPr>
              <w:t>[TBC applicability]; no recorded incident</w:t>
            </w:r>
          </w:p>
        </w:tc>
      </w:tr>
      <w:tr>
        <w:tc>
          <w:tcPr>
            <w:tcW w:type="dxa" w:w="3408"/>
            <w:vAlign w:val="top"/>
          </w:tcPr>
          <w:p>
            <w:r/>
            <w:r>
              <w:rPr>
                <w:rFonts w:ascii="Aptos" w:hAnsi="Aptos"/>
                <w:b w:val="0"/>
                <w:sz w:val="14"/>
              </w:rPr>
              <w:t>MHRA / medical-device regulatory reporting</w:t>
            </w:r>
          </w:p>
        </w:tc>
        <w:tc>
          <w:tcPr>
            <w:tcW w:type="dxa" w:w="3408"/>
            <w:vAlign w:val="top"/>
          </w:tcPr>
          <w:p>
            <w:r/>
            <w:r>
              <w:rPr>
                <w:rFonts w:ascii="Aptos" w:hAnsi="Aptos"/>
                <w:b w:val="0"/>
                <w:sz w:val="14"/>
              </w:rPr>
              <w:t>Where the deployed Adaptive Triage capability is regulated as medical device software and an event meets vigilance/reporting criteria, follow the approved medical-device post-market/vigilance process.</w:t>
            </w:r>
          </w:p>
        </w:tc>
        <w:tc>
          <w:tcPr>
            <w:tcW w:type="dxa" w:w="3408"/>
            <w:vAlign w:val="top"/>
          </w:tcPr>
          <w:p>
            <w:r/>
            <w:r>
              <w:rPr>
                <w:rFonts w:ascii="Aptos" w:hAnsi="Aptos"/>
                <w:b w:val="0"/>
                <w:sz w:val="14"/>
              </w:rPr>
              <w:t>[TBC exact regulatory status/reporting process]; no recorded incident</w:t>
            </w:r>
          </w:p>
        </w:tc>
      </w:tr>
      <w:tr>
        <w:tc>
          <w:tcPr>
            <w:tcW w:type="dxa" w:w="3408"/>
            <w:vAlign w:val="top"/>
          </w:tcPr>
          <w:p>
            <w:r/>
            <w:r>
              <w:rPr>
                <w:rFonts w:ascii="Aptos" w:hAnsi="Aptos"/>
                <w:b w:val="0"/>
                <w:sz w:val="14"/>
              </w:rPr>
              <w:t>Clinical Safety / NHS governance</w:t>
            </w:r>
          </w:p>
        </w:tc>
        <w:tc>
          <w:tcPr>
            <w:tcW w:type="dxa" w:w="3408"/>
            <w:vAlign w:val="top"/>
          </w:tcPr>
          <w:p>
            <w:r/>
            <w:r>
              <w:rPr>
                <w:rFonts w:ascii="Aptos" w:hAnsi="Aptos"/>
                <w:b w:val="0"/>
                <w:sz w:val="14"/>
              </w:rPr>
              <w:t>Report serious clinical safety incidents according to the approved DCB0129/DCB0160-aligned clinical safety process and NHS England incident governance.</w:t>
            </w:r>
          </w:p>
        </w:tc>
        <w:tc>
          <w:tcPr>
            <w:tcW w:type="dxa" w:w="3408"/>
            <w:vAlign w:val="top"/>
          </w:tcPr>
          <w:p>
            <w:r/>
            <w:r>
              <w:rPr>
                <w:rFonts w:ascii="Aptos" w:hAnsi="Aptos"/>
                <w:b w:val="0"/>
                <w:sz w:val="14"/>
              </w:rPr>
              <w:t>No recorded production incident</w:t>
            </w:r>
          </w:p>
        </w:tc>
      </w:tr>
      <w:tr>
        <w:tc>
          <w:tcPr>
            <w:tcW w:type="dxa" w:w="3408"/>
            <w:vAlign w:val="top"/>
          </w:tcPr>
          <w:p>
            <w:r/>
            <w:r>
              <w:rPr>
                <w:rFonts w:ascii="Aptos" w:hAnsi="Aptos"/>
                <w:b w:val="0"/>
                <w:sz w:val="14"/>
              </w:rPr>
              <w:t>Client / customer</w:t>
            </w:r>
          </w:p>
        </w:tc>
        <w:tc>
          <w:tcPr>
            <w:tcW w:type="dxa" w:w="3408"/>
            <w:vAlign w:val="top"/>
          </w:tcPr>
          <w:p>
            <w:r/>
            <w:r>
              <w:rPr>
                <w:rFonts w:ascii="Aptos" w:hAnsi="Aptos"/>
                <w:b w:val="0"/>
                <w:sz w:val="14"/>
              </w:rPr>
              <w:t>Report incidents to NHS England according to contractual/service/clinical governance SLAs and agreed escalation routes.</w:t>
            </w:r>
          </w:p>
        </w:tc>
        <w:tc>
          <w:tcPr>
            <w:tcW w:type="dxa" w:w="3408"/>
            <w:vAlign w:val="top"/>
          </w:tcPr>
          <w:p>
            <w:r/>
            <w:r>
              <w:rPr>
                <w:rFonts w:ascii="Aptos" w:hAnsi="Aptos"/>
                <w:b w:val="0"/>
                <w:sz w:val="14"/>
              </w:rPr>
              <w:t>No recorded production incident</w:t>
            </w:r>
          </w:p>
        </w:tc>
      </w:tr>
    </w:tbl>
    <w:p/>
    <w:p>
      <w:pPr>
        <w:pStyle w:val="Heading1"/>
      </w:pPr>
      <w:r>
        <w:t>7. Periodic Operational Review</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top"/>
            <w:shd w:fill="D9EAD3"/>
          </w:tcPr>
          <w:p>
            <w:r/>
            <w:r>
              <w:rPr>
                <w:rFonts w:ascii="Aptos" w:hAnsi="Aptos"/>
                <w:b/>
                <w:sz w:val="13"/>
              </w:rPr>
              <w:t>Review date</w:t>
            </w:r>
          </w:p>
        </w:tc>
        <w:tc>
          <w:tcPr>
            <w:tcW w:type="dxa" w:w="2045"/>
            <w:vAlign w:val="top"/>
            <w:shd w:fill="D9EAD3"/>
          </w:tcPr>
          <w:p>
            <w:r/>
            <w:r>
              <w:rPr>
                <w:rFonts w:ascii="Aptos" w:hAnsi="Aptos"/>
                <w:b/>
                <w:sz w:val="13"/>
              </w:rPr>
              <w:t>Attendees</w:t>
            </w:r>
          </w:p>
        </w:tc>
        <w:tc>
          <w:tcPr>
            <w:tcW w:type="dxa" w:w="2045"/>
            <w:vAlign w:val="top"/>
            <w:shd w:fill="D9EAD3"/>
          </w:tcPr>
          <w:p>
            <w:r/>
            <w:r>
              <w:rPr>
                <w:rFonts w:ascii="Aptos" w:hAnsi="Aptos"/>
                <w:b/>
                <w:sz w:val="13"/>
              </w:rPr>
              <w:t>Period covered</w:t>
            </w:r>
          </w:p>
        </w:tc>
        <w:tc>
          <w:tcPr>
            <w:tcW w:type="dxa" w:w="2045"/>
            <w:vAlign w:val="top"/>
            <w:shd w:fill="D9EAD3"/>
          </w:tcPr>
          <w:p>
            <w:r/>
            <w:r>
              <w:rPr>
                <w:rFonts w:ascii="Aptos" w:hAnsi="Aptos"/>
                <w:b/>
                <w:sz w:val="13"/>
              </w:rPr>
              <w:t>Outcome / actions</w:t>
            </w:r>
          </w:p>
        </w:tc>
        <w:tc>
          <w:tcPr>
            <w:tcW w:type="dxa" w:w="2045"/>
            <w:vAlign w:val="top"/>
            <w:shd w:fill="D9EAD3"/>
          </w:tcPr>
          <w:p>
            <w:r/>
            <w:r>
              <w:rPr>
                <w:rFonts w:ascii="Aptos" w:hAnsi="Aptos"/>
                <w:b/>
                <w:sz w:val="13"/>
              </w:rPr>
              <w:t>Next review</w:t>
            </w:r>
          </w:p>
        </w:tc>
      </w:tr>
      <w:tr>
        <w:tc>
          <w:tcPr>
            <w:tcW w:type="dxa" w:w="2045"/>
            <w:vAlign w:val="top"/>
          </w:tcPr>
          <w:p>
            <w:r/>
            <w:r>
              <w:rPr>
                <w:rFonts w:ascii="Aptos" w:hAnsi="Aptos"/>
                <w:b w:val="0"/>
                <w:sz w:val="13"/>
              </w:rPr>
              <w:t>Not yet commenced</w:t>
            </w:r>
          </w:p>
        </w:tc>
        <w:tc>
          <w:tcPr>
            <w:tcW w:type="dxa" w:w="2045"/>
            <w:vAlign w:val="top"/>
          </w:tcPr>
          <w:p>
            <w:r/>
            <w:r>
              <w:rPr>
                <w:rFonts w:ascii="Aptos" w:hAnsi="Aptos"/>
                <w:b w:val="0"/>
                <w:sz w:val="13"/>
              </w:rPr>
              <w:t>Adaptive Triage Product/Delivery, Clinical Safety, Clinical reviewers, Data Science/AI Engineering, QA, Platform/Ops, Security, AI Ethics/IG as required</w:t>
            </w:r>
          </w:p>
        </w:tc>
        <w:tc>
          <w:tcPr>
            <w:tcW w:type="dxa" w:w="2045"/>
            <w:vAlign w:val="top"/>
          </w:tcPr>
          <w:p>
            <w:r/>
            <w:r>
              <w:rPr>
                <w:rFonts w:ascii="Aptos" w:hAnsi="Aptos"/>
                <w:b w:val="0"/>
                <w:sz w:val="13"/>
              </w:rPr>
              <w:t>Pre-live</w:t>
            </w:r>
          </w:p>
        </w:tc>
        <w:tc>
          <w:tcPr>
            <w:tcW w:type="dxa" w:w="2045"/>
            <w:vAlign w:val="top"/>
          </w:tcPr>
          <w:p>
            <w:r/>
            <w:r>
              <w:rPr>
                <w:rFonts w:ascii="Aptos" w:hAnsi="Aptos"/>
                <w:b w:val="0"/>
                <w:sz w:val="13"/>
              </w:rPr>
              <w:t>No operational review evidence yet because the service is in Alpha. Before Beta go-live, establish the meeting cadence, dashboard/evidence pack and decision/escalation process.</w:t>
            </w:r>
          </w:p>
        </w:tc>
        <w:tc>
          <w:tcPr>
            <w:tcW w:type="dxa" w:w="2045"/>
            <w:vAlign w:val="top"/>
          </w:tcPr>
          <w:p>
            <w:r/>
            <w:r>
              <w:rPr>
                <w:rFonts w:ascii="Aptos" w:hAnsi="Aptos"/>
                <w:b w:val="0"/>
                <w:sz w:val="13"/>
              </w:rPr>
              <w:t>First review during controlled Beta [TBC date]</w:t>
            </w:r>
          </w:p>
        </w:tc>
      </w:tr>
      <w:tr>
        <w:tc>
          <w:tcPr>
            <w:tcW w:type="dxa" w:w="2045"/>
            <w:vAlign w:val="top"/>
          </w:tcPr>
          <w:p>
            <w:r/>
            <w:r>
              <w:rPr>
                <w:rFonts w:ascii="Aptos" w:hAnsi="Aptos"/>
                <w:b w:val="0"/>
                <w:sz w:val="13"/>
              </w:rPr>
              <w:t>Planned review content</w:t>
            </w:r>
          </w:p>
        </w:tc>
        <w:tc>
          <w:tcPr>
            <w:tcW w:type="dxa" w:w="2045"/>
            <w:vAlign w:val="top"/>
          </w:tcPr>
          <w:p>
            <w:r/>
            <w:r>
              <w:rPr>
                <w:rFonts w:ascii="Aptos" w:hAnsi="Aptos"/>
                <w:b w:val="0"/>
                <w:sz w:val="13"/>
              </w:rPr>
              <w:t>As above</w:t>
            </w:r>
          </w:p>
        </w:tc>
        <w:tc>
          <w:tcPr>
            <w:tcW w:type="dxa" w:w="2045"/>
            <w:vAlign w:val="top"/>
          </w:tcPr>
          <w:p>
            <w:r/>
            <w:r>
              <w:rPr>
                <w:rFonts w:ascii="Aptos" w:hAnsi="Aptos"/>
                <w:b w:val="0"/>
                <w:sz w:val="13"/>
              </w:rPr>
              <w:t>Each review period</w:t>
            </w:r>
          </w:p>
        </w:tc>
        <w:tc>
          <w:tcPr>
            <w:tcW w:type="dxa" w:w="2045"/>
            <w:vAlign w:val="top"/>
          </w:tcPr>
          <w:p>
            <w:r/>
            <w:r>
              <w:rPr>
                <w:rFonts w:ascii="Aptos" w:hAnsi="Aptos"/>
                <w:b w:val="0"/>
                <w:sz w:val="13"/>
              </w:rPr>
              <w:t>Review safety/performance metrics, calibration/drift/fairness, incidents and near-misses, complaints/redress, model/configuration integrity, material changes, supplier changes, outstanding risk actions and whether continued operation remains within approved intended use. Decide Continue / Continue with actions / Restrict / Rollback / Suspend / Reassess.</w:t>
            </w:r>
          </w:p>
        </w:tc>
        <w:tc>
          <w:tcPr>
            <w:tcW w:type="dxa" w:w="2045"/>
            <w:vAlign w:val="top"/>
          </w:tcPr>
          <w:p>
            <w:r/>
            <w:r>
              <w:rPr>
                <w:rFonts w:ascii="Aptos" w:hAnsi="Aptos"/>
                <w:b w:val="0"/>
                <w:sz w:val="13"/>
              </w:rPr>
              <w:t>According to Section 4.1 cadence</w:t>
            </w:r>
          </w:p>
        </w:tc>
      </w:tr>
    </w:tbl>
    <w:p/>
    <w:p>
      <w:pPr>
        <w:pStyle w:val="Heading1"/>
      </w:pPr>
      <w:r>
        <w:t>8. Red-Team Testing (C14)</w:t>
      </w:r>
    </w:p>
    <w:p>
      <w:r>
        <w:t>Adaptive Triage is being treated as Tier 3 for this working assessment. Formal adversarial/red-team testing is therefore required before release. The entries below define the test scope to be executed; outcomes and dates must be replaced with actual evidence once testing is complete.</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top"/>
            <w:shd w:fill="D9EAD3"/>
          </w:tcPr>
          <w:p>
            <w:r/>
            <w:r>
              <w:rPr>
                <w:rFonts w:ascii="Aptos" w:hAnsi="Aptos"/>
                <w:b/>
                <w:sz w:val="11"/>
              </w:rPr>
              <w:t>Test</w:t>
            </w:r>
          </w:p>
        </w:tc>
        <w:tc>
          <w:tcPr>
            <w:tcW w:type="dxa" w:w="1704"/>
            <w:vAlign w:val="top"/>
            <w:shd w:fill="D9EAD3"/>
          </w:tcPr>
          <w:p>
            <w:r/>
            <w:r>
              <w:rPr>
                <w:rFonts w:ascii="Aptos" w:hAnsi="Aptos"/>
                <w:b/>
                <w:sz w:val="11"/>
              </w:rPr>
              <w:t>Scope / scenarios</w:t>
            </w:r>
          </w:p>
        </w:tc>
        <w:tc>
          <w:tcPr>
            <w:tcW w:type="dxa" w:w="1704"/>
            <w:vAlign w:val="top"/>
            <w:shd w:fill="D9EAD3"/>
          </w:tcPr>
          <w:p>
            <w:r/>
            <w:r>
              <w:rPr>
                <w:rFonts w:ascii="Aptos" w:hAnsi="Aptos"/>
                <w:b/>
                <w:sz w:val="11"/>
              </w:rPr>
              <w:t>Tester(s)</w:t>
            </w:r>
          </w:p>
        </w:tc>
        <w:tc>
          <w:tcPr>
            <w:tcW w:type="dxa" w:w="1704"/>
            <w:vAlign w:val="top"/>
            <w:shd w:fill="D9EAD3"/>
          </w:tcPr>
          <w:p>
            <w:r/>
            <w:r>
              <w:rPr>
                <w:rFonts w:ascii="Aptos" w:hAnsi="Aptos"/>
                <w:b/>
                <w:sz w:val="11"/>
              </w:rPr>
              <w:t>Date</w:t>
            </w:r>
          </w:p>
        </w:tc>
        <w:tc>
          <w:tcPr>
            <w:tcW w:type="dxa" w:w="1704"/>
            <w:vAlign w:val="top"/>
            <w:shd w:fill="D9EAD3"/>
          </w:tcPr>
          <w:p>
            <w:r/>
            <w:r>
              <w:rPr>
                <w:rFonts w:ascii="Aptos" w:hAnsi="Aptos"/>
                <w:b/>
                <w:sz w:val="11"/>
              </w:rPr>
              <w:t>Outcome</w:t>
            </w:r>
          </w:p>
        </w:tc>
        <w:tc>
          <w:tcPr>
            <w:tcW w:type="dxa" w:w="1704"/>
            <w:vAlign w:val="top"/>
            <w:shd w:fill="D9EAD3"/>
          </w:tcPr>
          <w:p>
            <w:r/>
            <w:r>
              <w:rPr>
                <w:rFonts w:ascii="Aptos" w:hAnsi="Aptos"/>
                <w:b/>
                <w:sz w:val="11"/>
              </w:rPr>
              <w:t>Action</w:t>
            </w:r>
          </w:p>
        </w:tc>
      </w:tr>
      <w:tr>
        <w:tc>
          <w:tcPr>
            <w:tcW w:type="dxa" w:w="1704"/>
            <w:vAlign w:val="top"/>
          </w:tcPr>
          <w:p>
            <w:r/>
            <w:r>
              <w:rPr>
                <w:rFonts w:ascii="Aptos" w:hAnsi="Aptos"/>
                <w:b w:val="0"/>
                <w:sz w:val="11"/>
              </w:rPr>
              <w:t>Clinical safety probing</w:t>
            </w:r>
          </w:p>
        </w:tc>
        <w:tc>
          <w:tcPr>
            <w:tcW w:type="dxa" w:w="1704"/>
            <w:vAlign w:val="top"/>
          </w:tcPr>
          <w:p>
            <w:r/>
            <w:r>
              <w:rPr>
                <w:rFonts w:ascii="Aptos" w:hAnsi="Aptos"/>
                <w:b w:val="0"/>
                <w:sz w:val="11"/>
              </w:rPr>
              <w:t>High-risk/emergency presentations; near-threshold cases; atypical symptom combinations; missing evidence; contradictory answers; misleading/strategic answers; premature stopping; unsafe disposition pressure.</w:t>
            </w:r>
          </w:p>
        </w:tc>
        <w:tc>
          <w:tcPr>
            <w:tcW w:type="dxa" w:w="1704"/>
            <w:vAlign w:val="top"/>
          </w:tcPr>
          <w:p>
            <w:r/>
            <w:r>
              <w:rPr>
                <w:rFonts w:ascii="Aptos" w:hAnsi="Aptos"/>
                <w:b w:val="0"/>
                <w:sz w:val="11"/>
              </w:rPr>
              <w:t>Independent/segregated QA + Clinical Safety + clinicians; include reviewers outside the feature implementation team where practical.</w:t>
            </w:r>
          </w:p>
        </w:tc>
        <w:tc>
          <w:tcPr>
            <w:tcW w:type="dxa" w:w="1704"/>
            <w:vAlign w:val="top"/>
          </w:tcPr>
          <w:p>
            <w:r/>
            <w:r>
              <w:rPr>
                <w:rFonts w:ascii="Aptos" w:hAnsi="Aptos"/>
                <w:b w:val="0"/>
                <w:sz w:val="11"/>
              </w:rPr>
              <w:t>[TBC]</w:t>
            </w:r>
          </w:p>
        </w:tc>
        <w:tc>
          <w:tcPr>
            <w:tcW w:type="dxa" w:w="1704"/>
            <w:vAlign w:val="top"/>
          </w:tcPr>
          <w:p>
            <w:r/>
            <w:r>
              <w:rPr>
                <w:rFonts w:ascii="Aptos" w:hAnsi="Aptos"/>
                <w:b w:val="0"/>
                <w:sz w:val="11"/>
              </w:rPr>
              <w:t>Not yet formally executed.</w:t>
            </w:r>
          </w:p>
        </w:tc>
        <w:tc>
          <w:tcPr>
            <w:tcW w:type="dxa" w:w="1704"/>
            <w:vAlign w:val="top"/>
          </w:tcPr>
          <w:p>
            <w:r/>
            <w:r>
              <w:rPr>
                <w:rFonts w:ascii="Aptos" w:hAnsi="Aptos"/>
                <w:b w:val="0"/>
                <w:sz w:val="11"/>
              </w:rPr>
              <w:t>Record findings; block release for unresolved Critical/High safety findings; add regression cases.</w:t>
            </w:r>
          </w:p>
        </w:tc>
      </w:tr>
      <w:tr>
        <w:tc>
          <w:tcPr>
            <w:tcW w:type="dxa" w:w="1704"/>
            <w:vAlign w:val="top"/>
          </w:tcPr>
          <w:p>
            <w:r/>
            <w:r>
              <w:rPr>
                <w:rFonts w:ascii="Aptos" w:hAnsi="Aptos"/>
                <w:b w:val="0"/>
                <w:sz w:val="11"/>
              </w:rPr>
              <w:t>Bias probing</w:t>
            </w:r>
          </w:p>
        </w:tc>
        <w:tc>
          <w:tcPr>
            <w:tcW w:type="dxa" w:w="1704"/>
            <w:vAlign w:val="top"/>
          </w:tcPr>
          <w:p>
            <w:r/>
            <w:r>
              <w:rPr>
                <w:rFonts w:ascii="Aptos" w:hAnsi="Aptos"/>
                <w:b w:val="0"/>
                <w:sz w:val="11"/>
              </w:rPr>
              <w:t>Relevant protected/demographic and clinically important subgroups; compare safety sensitivity, disposition, calibration, question burden and escalation behaviour; test underrepresented presentations.</w:t>
            </w:r>
          </w:p>
        </w:tc>
        <w:tc>
          <w:tcPr>
            <w:tcW w:type="dxa" w:w="1704"/>
            <w:vAlign w:val="top"/>
          </w:tcPr>
          <w:p>
            <w:r/>
            <w:r>
              <w:rPr>
                <w:rFonts w:ascii="Aptos" w:hAnsi="Aptos"/>
                <w:b w:val="0"/>
                <w:sz w:val="11"/>
              </w:rPr>
              <w:t>Data/AI Ethics + Data Science + Clinical + QA</w:t>
            </w:r>
          </w:p>
        </w:tc>
        <w:tc>
          <w:tcPr>
            <w:tcW w:type="dxa" w:w="1704"/>
            <w:vAlign w:val="top"/>
          </w:tcPr>
          <w:p>
            <w:r/>
            <w:r>
              <w:rPr>
                <w:rFonts w:ascii="Aptos" w:hAnsi="Aptos"/>
                <w:b w:val="0"/>
                <w:sz w:val="11"/>
              </w:rPr>
              <w:t>[TBC]</w:t>
            </w:r>
          </w:p>
        </w:tc>
        <w:tc>
          <w:tcPr>
            <w:tcW w:type="dxa" w:w="1704"/>
            <w:vAlign w:val="top"/>
          </w:tcPr>
          <w:p>
            <w:r/>
            <w:r>
              <w:rPr>
                <w:rFonts w:ascii="Aptos" w:hAnsi="Aptos"/>
                <w:b w:val="0"/>
                <w:sz w:val="11"/>
              </w:rPr>
              <w:t>Not yet formally executed.</w:t>
            </w:r>
          </w:p>
        </w:tc>
        <w:tc>
          <w:tcPr>
            <w:tcW w:type="dxa" w:w="1704"/>
            <w:vAlign w:val="top"/>
          </w:tcPr>
          <w:p>
            <w:r/>
            <w:r>
              <w:rPr>
                <w:rFonts w:ascii="Aptos" w:hAnsi="Aptos"/>
                <w:b w:val="0"/>
                <w:sz w:val="11"/>
              </w:rPr>
              <w:t>Investigate clinically material disparities; adjust data/model/policy/evaluation coverage and re-test.</w:t>
            </w:r>
          </w:p>
        </w:tc>
      </w:tr>
      <w:tr>
        <w:tc>
          <w:tcPr>
            <w:tcW w:type="dxa" w:w="1704"/>
            <w:vAlign w:val="top"/>
          </w:tcPr>
          <w:p>
            <w:r/>
            <w:r>
              <w:rPr>
                <w:rFonts w:ascii="Aptos" w:hAnsi="Aptos"/>
                <w:b w:val="0"/>
                <w:sz w:val="11"/>
              </w:rPr>
              <w:t>Abuse / misuse</w:t>
            </w:r>
          </w:p>
        </w:tc>
        <w:tc>
          <w:tcPr>
            <w:tcW w:type="dxa" w:w="1704"/>
            <w:vAlign w:val="top"/>
          </w:tcPr>
          <w:p>
            <w:r/>
            <w:r>
              <w:rPr>
                <w:rFonts w:ascii="Aptos" w:hAnsi="Aptos"/>
                <w:b w:val="0"/>
                <w:sz w:val="11"/>
              </w:rPr>
              <w:t>Use outside intended scope; deliberately false or inconsistent symptom reports; repeated attempts to force a preferred disposition; extreme input combinations; unsupported clinical requests; channel misuse.</w:t>
            </w:r>
          </w:p>
        </w:tc>
        <w:tc>
          <w:tcPr>
            <w:tcW w:type="dxa" w:w="1704"/>
            <w:vAlign w:val="top"/>
          </w:tcPr>
          <w:p>
            <w:r/>
            <w:r>
              <w:rPr>
                <w:rFonts w:ascii="Aptos" w:hAnsi="Aptos"/>
                <w:b w:val="0"/>
                <w:sz w:val="11"/>
              </w:rPr>
              <w:t>QA + Clinical Safety + Security</w:t>
            </w:r>
          </w:p>
        </w:tc>
        <w:tc>
          <w:tcPr>
            <w:tcW w:type="dxa" w:w="1704"/>
            <w:vAlign w:val="top"/>
          </w:tcPr>
          <w:p>
            <w:r/>
            <w:r>
              <w:rPr>
                <w:rFonts w:ascii="Aptos" w:hAnsi="Aptos"/>
                <w:b w:val="0"/>
                <w:sz w:val="11"/>
              </w:rPr>
              <w:t>[TBC]</w:t>
            </w:r>
          </w:p>
        </w:tc>
        <w:tc>
          <w:tcPr>
            <w:tcW w:type="dxa" w:w="1704"/>
            <w:vAlign w:val="top"/>
          </w:tcPr>
          <w:p>
            <w:r/>
            <w:r>
              <w:rPr>
                <w:rFonts w:ascii="Aptos" w:hAnsi="Aptos"/>
                <w:b w:val="0"/>
                <w:sz w:val="11"/>
              </w:rPr>
              <w:t>Not yet formally executed.</w:t>
            </w:r>
          </w:p>
        </w:tc>
        <w:tc>
          <w:tcPr>
            <w:tcW w:type="dxa" w:w="1704"/>
            <w:vAlign w:val="top"/>
          </w:tcPr>
          <w:p>
            <w:r/>
            <w:r>
              <w:rPr>
                <w:rFonts w:ascii="Aptos" w:hAnsi="Aptos"/>
                <w:b w:val="0"/>
                <w:sz w:val="11"/>
              </w:rPr>
              <w:t>Verify safe fallback, intended-use controls, input validation, escalation and logging.</w:t>
            </w:r>
          </w:p>
        </w:tc>
      </w:tr>
      <w:tr>
        <w:tc>
          <w:tcPr>
            <w:tcW w:type="dxa" w:w="1704"/>
            <w:vAlign w:val="top"/>
          </w:tcPr>
          <w:p>
            <w:r/>
            <w:r>
              <w:rPr>
                <w:rFonts w:ascii="Aptos" w:hAnsi="Aptos"/>
                <w:b w:val="0"/>
                <w:sz w:val="11"/>
              </w:rPr>
              <w:t>API / malformed-input attack</w:t>
            </w:r>
          </w:p>
        </w:tc>
        <w:tc>
          <w:tcPr>
            <w:tcW w:type="dxa" w:w="1704"/>
            <w:vAlign w:val="top"/>
          </w:tcPr>
          <w:p>
            <w:r/>
            <w:r>
              <w:rPr>
                <w:rFonts w:ascii="Aptos" w:hAnsi="Aptos"/>
                <w:b w:val="0"/>
                <w:sz w:val="11"/>
              </w:rPr>
              <w:t>Malformed FHIR/JSON, unexpected values, boundary values, oversized payloads, replay/sequence manipulation, missing required evidence, unauthorised version/config references.</w:t>
            </w:r>
          </w:p>
        </w:tc>
        <w:tc>
          <w:tcPr>
            <w:tcW w:type="dxa" w:w="1704"/>
            <w:vAlign w:val="top"/>
          </w:tcPr>
          <w:p>
            <w:r/>
            <w:r>
              <w:rPr>
                <w:rFonts w:ascii="Aptos" w:hAnsi="Aptos"/>
                <w:b w:val="0"/>
                <w:sz w:val="11"/>
              </w:rPr>
              <w:t>Security + QA + Engineering</w:t>
            </w:r>
          </w:p>
        </w:tc>
        <w:tc>
          <w:tcPr>
            <w:tcW w:type="dxa" w:w="1704"/>
            <w:vAlign w:val="top"/>
          </w:tcPr>
          <w:p>
            <w:r/>
            <w:r>
              <w:rPr>
                <w:rFonts w:ascii="Aptos" w:hAnsi="Aptos"/>
                <w:b w:val="0"/>
                <w:sz w:val="11"/>
              </w:rPr>
              <w:t>[TBC]</w:t>
            </w:r>
          </w:p>
        </w:tc>
        <w:tc>
          <w:tcPr>
            <w:tcW w:type="dxa" w:w="1704"/>
            <w:vAlign w:val="top"/>
          </w:tcPr>
          <w:p>
            <w:r/>
            <w:r>
              <w:rPr>
                <w:rFonts w:ascii="Aptos" w:hAnsi="Aptos"/>
                <w:b w:val="0"/>
                <w:sz w:val="11"/>
              </w:rPr>
              <w:t>Not yet formally executed.</w:t>
            </w:r>
          </w:p>
        </w:tc>
        <w:tc>
          <w:tcPr>
            <w:tcW w:type="dxa" w:w="1704"/>
            <w:vAlign w:val="top"/>
          </w:tcPr>
          <w:p>
            <w:r/>
            <w:r>
              <w:rPr>
                <w:rFonts w:ascii="Aptos" w:hAnsi="Aptos"/>
                <w:b w:val="0"/>
                <w:sz w:val="11"/>
              </w:rPr>
              <w:t>Harden validation/authentication/rate limits; ensure safe error handling; add automated regression.</w:t>
            </w:r>
          </w:p>
        </w:tc>
      </w:tr>
      <w:tr>
        <w:tc>
          <w:tcPr>
            <w:tcW w:type="dxa" w:w="1704"/>
            <w:vAlign w:val="top"/>
          </w:tcPr>
          <w:p>
            <w:r/>
            <w:r>
              <w:rPr>
                <w:rFonts w:ascii="Aptos" w:hAnsi="Aptos"/>
                <w:b w:val="0"/>
                <w:sz w:val="11"/>
              </w:rPr>
              <w:t>Model/configuration integrity attack</w:t>
            </w:r>
          </w:p>
        </w:tc>
        <w:tc>
          <w:tcPr>
            <w:tcW w:type="dxa" w:w="1704"/>
            <w:vAlign w:val="top"/>
          </w:tcPr>
          <w:p>
            <w:r/>
            <w:r>
              <w:rPr>
                <w:rFonts w:ascii="Aptos" w:hAnsi="Aptos"/>
                <w:b w:val="0"/>
                <w:sz w:val="11"/>
              </w:rPr>
              <w:t>Attempt unauthorised model activation, configuration/threshold modification, rollback bypass, artefact tampering, version mismatch or use of unapproved artefact.</w:t>
            </w:r>
          </w:p>
        </w:tc>
        <w:tc>
          <w:tcPr>
            <w:tcW w:type="dxa" w:w="1704"/>
            <w:vAlign w:val="top"/>
          </w:tcPr>
          <w:p>
            <w:r/>
            <w:r>
              <w:rPr>
                <w:rFonts w:ascii="Aptos" w:hAnsi="Aptos"/>
                <w:b w:val="0"/>
                <w:sz w:val="11"/>
              </w:rPr>
              <w:t>Security + Platform + QA</w:t>
            </w:r>
          </w:p>
        </w:tc>
        <w:tc>
          <w:tcPr>
            <w:tcW w:type="dxa" w:w="1704"/>
            <w:vAlign w:val="top"/>
          </w:tcPr>
          <w:p>
            <w:r/>
            <w:r>
              <w:rPr>
                <w:rFonts w:ascii="Aptos" w:hAnsi="Aptos"/>
                <w:b w:val="0"/>
                <w:sz w:val="11"/>
              </w:rPr>
              <w:t>[TBC]</w:t>
            </w:r>
          </w:p>
        </w:tc>
        <w:tc>
          <w:tcPr>
            <w:tcW w:type="dxa" w:w="1704"/>
            <w:vAlign w:val="top"/>
          </w:tcPr>
          <w:p>
            <w:r/>
            <w:r>
              <w:rPr>
                <w:rFonts w:ascii="Aptos" w:hAnsi="Aptos"/>
                <w:b w:val="0"/>
                <w:sz w:val="11"/>
              </w:rPr>
              <w:t>Not yet formally executed.</w:t>
            </w:r>
          </w:p>
        </w:tc>
        <w:tc>
          <w:tcPr>
            <w:tcW w:type="dxa" w:w="1704"/>
            <w:vAlign w:val="top"/>
          </w:tcPr>
          <w:p>
            <w:r/>
            <w:r>
              <w:rPr>
                <w:rFonts w:ascii="Aptos" w:hAnsi="Aptos"/>
                <w:b w:val="0"/>
                <w:sz w:val="11"/>
              </w:rPr>
              <w:t>Require immutable/versioned artefacts, least privilege, approval gates, integrity checks and audit logging.</w:t>
            </w:r>
          </w:p>
        </w:tc>
      </w:tr>
      <w:tr>
        <w:tc>
          <w:tcPr>
            <w:tcW w:type="dxa" w:w="1704"/>
            <w:vAlign w:val="top"/>
          </w:tcPr>
          <w:p>
            <w:r/>
            <w:r>
              <w:rPr>
                <w:rFonts w:ascii="Aptos" w:hAnsi="Aptos"/>
                <w:b w:val="0"/>
                <w:sz w:val="11"/>
              </w:rPr>
              <w:t>Build-time LLM abuse / prompt injection</w:t>
            </w:r>
          </w:p>
        </w:tc>
        <w:tc>
          <w:tcPr>
            <w:tcW w:type="dxa" w:w="1704"/>
            <w:vAlign w:val="top"/>
          </w:tcPr>
          <w:p>
            <w:r/>
            <w:r>
              <w:rPr>
                <w:rFonts w:ascii="Aptos" w:hAnsi="Aptos"/>
                <w:b w:val="0"/>
                <w:sz w:val="11"/>
              </w:rPr>
              <w:t>Malicious or misleading source text, prompt injection embedded in source content, unsupported instructions, source distortion, attempts to introduce unreviewed clinical content, inappropriate data in prompts.</w:t>
            </w:r>
          </w:p>
        </w:tc>
        <w:tc>
          <w:tcPr>
            <w:tcW w:type="dxa" w:w="1704"/>
            <w:vAlign w:val="top"/>
          </w:tcPr>
          <w:p>
            <w:r/>
            <w:r>
              <w:rPr>
                <w:rFonts w:ascii="Aptos" w:hAnsi="Aptos"/>
                <w:b w:val="0"/>
                <w:sz w:val="11"/>
              </w:rPr>
              <w:t>Security + AI Engineering + Clinical reviewers</w:t>
            </w:r>
          </w:p>
        </w:tc>
        <w:tc>
          <w:tcPr>
            <w:tcW w:type="dxa" w:w="1704"/>
            <w:vAlign w:val="top"/>
          </w:tcPr>
          <w:p>
            <w:r/>
            <w:r>
              <w:rPr>
                <w:rFonts w:ascii="Aptos" w:hAnsi="Aptos"/>
                <w:b w:val="0"/>
                <w:sz w:val="11"/>
              </w:rPr>
              <w:t>[TBC]</w:t>
            </w:r>
          </w:p>
        </w:tc>
        <w:tc>
          <w:tcPr>
            <w:tcW w:type="dxa" w:w="1704"/>
            <w:vAlign w:val="top"/>
          </w:tcPr>
          <w:p>
            <w:r/>
            <w:r>
              <w:rPr>
                <w:rFonts w:ascii="Aptos" w:hAnsi="Aptos"/>
                <w:b w:val="0"/>
                <w:sz w:val="11"/>
              </w:rPr>
              <w:t>Not yet formally executed.</w:t>
            </w:r>
          </w:p>
        </w:tc>
        <w:tc>
          <w:tcPr>
            <w:tcW w:type="dxa" w:w="1704"/>
            <w:vAlign w:val="top"/>
          </w:tcPr>
          <w:p>
            <w:r/>
            <w:r>
              <w:rPr>
                <w:rFonts w:ascii="Aptos" w:hAnsi="Aptos"/>
                <w:b w:val="0"/>
                <w:sz w:val="11"/>
              </w:rPr>
              <w:t>Restrict source/data scope, sanitise inputs where needed, log model/version, require source traceability and human/clinical approval; no direct runtime use.</w:t>
            </w:r>
          </w:p>
        </w:tc>
      </w:tr>
      <w:tr>
        <w:tc>
          <w:tcPr>
            <w:tcW w:type="dxa" w:w="1704"/>
            <w:vAlign w:val="top"/>
          </w:tcPr>
          <w:p>
            <w:r/>
            <w:r>
              <w:rPr>
                <w:rFonts w:ascii="Aptos" w:hAnsi="Aptos"/>
                <w:b w:val="0"/>
                <w:sz w:val="11"/>
              </w:rPr>
              <w:t>Dependency / degraded-mode probing</w:t>
            </w:r>
          </w:p>
        </w:tc>
        <w:tc>
          <w:tcPr>
            <w:tcW w:type="dxa" w:w="1704"/>
            <w:vAlign w:val="top"/>
          </w:tcPr>
          <w:p>
            <w:r/>
            <w:r>
              <w:rPr>
                <w:rFonts w:ascii="Aptos" w:hAnsi="Aptos"/>
                <w:b w:val="0"/>
                <w:sz w:val="11"/>
              </w:rPr>
              <w:t>Neptune/data store unavailable, model artefact load failure, terminology/reference failure, logging degradation, downstream/channel timeout, partial infrastructure failure.</w:t>
            </w:r>
          </w:p>
        </w:tc>
        <w:tc>
          <w:tcPr>
            <w:tcW w:type="dxa" w:w="1704"/>
            <w:vAlign w:val="top"/>
          </w:tcPr>
          <w:p>
            <w:r/>
            <w:r>
              <w:rPr>
                <w:rFonts w:ascii="Aptos" w:hAnsi="Aptos"/>
                <w:b w:val="0"/>
                <w:sz w:val="11"/>
              </w:rPr>
              <w:t>Platform + QA + Architecture + Clinical Safety</w:t>
            </w:r>
          </w:p>
        </w:tc>
        <w:tc>
          <w:tcPr>
            <w:tcW w:type="dxa" w:w="1704"/>
            <w:vAlign w:val="top"/>
          </w:tcPr>
          <w:p>
            <w:r/>
            <w:r>
              <w:rPr>
                <w:rFonts w:ascii="Aptos" w:hAnsi="Aptos"/>
                <w:b w:val="0"/>
                <w:sz w:val="11"/>
              </w:rPr>
              <w:t>[TBC]</w:t>
            </w:r>
          </w:p>
        </w:tc>
        <w:tc>
          <w:tcPr>
            <w:tcW w:type="dxa" w:w="1704"/>
            <w:vAlign w:val="top"/>
          </w:tcPr>
          <w:p>
            <w:r/>
            <w:r>
              <w:rPr>
                <w:rFonts w:ascii="Aptos" w:hAnsi="Aptos"/>
                <w:b w:val="0"/>
                <w:sz w:val="11"/>
              </w:rPr>
              <w:t>Not yet formally executed.</w:t>
            </w:r>
          </w:p>
        </w:tc>
        <w:tc>
          <w:tcPr>
            <w:tcW w:type="dxa" w:w="1704"/>
            <w:vAlign w:val="top"/>
          </w:tcPr>
          <w:p>
            <w:r/>
            <w:r>
              <w:rPr>
                <w:rFonts w:ascii="Aptos" w:hAnsi="Aptos"/>
                <w:b w:val="0"/>
                <w:sz w:val="11"/>
              </w:rPr>
              <w:t>Validate approved fail-safe/fallback behaviour and incident alerting; no uncontrolled clinical decisioning.</w:t>
            </w:r>
          </w:p>
        </w:tc>
      </w:tr>
    </w:tbl>
    <w:p/>
    <w:p>
      <w:pPr>
        <w:pStyle w:val="Heading1"/>
      </w:pPr>
      <w:r>
        <w:t>9. Post Go-Live Monitoring Plan (C15)</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vAlign w:val="top"/>
            <w:shd w:fill="D9EAD3"/>
          </w:tcPr>
          <w:p>
            <w:r/>
            <w:r>
              <w:rPr>
                <w:rFonts w:ascii="Aptos" w:hAnsi="Aptos"/>
                <w:b/>
                <w:sz w:val="14"/>
              </w:rPr>
              <w:t>Aspect</w:t>
            </w:r>
          </w:p>
        </w:tc>
        <w:tc>
          <w:tcPr>
            <w:tcW w:type="dxa" w:w="5112"/>
            <w:vAlign w:val="top"/>
            <w:shd w:fill="D9EAD3"/>
          </w:tcPr>
          <w:p>
            <w:r/>
            <w:r>
              <w:rPr>
                <w:rFonts w:ascii="Aptos" w:hAnsi="Aptos"/>
                <w:b/>
                <w:sz w:val="14"/>
              </w:rPr>
              <w:t>Copy/paste answer</w:t>
            </w:r>
          </w:p>
        </w:tc>
      </w:tr>
      <w:tr>
        <w:tc>
          <w:tcPr>
            <w:tcW w:type="dxa" w:w="5112"/>
            <w:vAlign w:val="top"/>
          </w:tcPr>
          <w:p>
            <w:r/>
            <w:r>
              <w:rPr>
                <w:rFonts w:ascii="Aptos" w:hAnsi="Aptos"/>
                <w:b w:val="0"/>
                <w:sz w:val="14"/>
              </w:rPr>
              <w:t>Monitoring cadence</w:t>
            </w:r>
          </w:p>
        </w:tc>
        <w:tc>
          <w:tcPr>
            <w:tcW w:type="dxa" w:w="5112"/>
            <w:vAlign w:val="top"/>
          </w:tcPr>
          <w:p>
            <w:r/>
            <w:r>
              <w:rPr>
                <w:rFonts w:ascii="Aptos" w:hAnsi="Aptos"/>
                <w:b w:val="0"/>
                <w:sz w:val="14"/>
              </w:rPr>
              <w:t>Continuous collection of runtime operational/model telemetry; immediate alerts for critical integrity/safety failures; daily dashboard review during initial controlled Beta; weekly multidisciplinary safety/performance review; monthly model/fairness/drift review; quarterly formal assurance review during early operation. Cadence may be adjusted only through documented risk-based governance.</w:t>
            </w:r>
          </w:p>
        </w:tc>
      </w:tr>
      <w:tr>
        <w:tc>
          <w:tcPr>
            <w:tcW w:type="dxa" w:w="5112"/>
            <w:vAlign w:val="top"/>
          </w:tcPr>
          <w:p>
            <w:r/>
            <w:r>
              <w:rPr>
                <w:rFonts w:ascii="Aptos" w:hAnsi="Aptos"/>
                <w:b w:val="0"/>
                <w:sz w:val="14"/>
              </w:rPr>
              <w:t>Serious-incident reporting</w:t>
            </w:r>
          </w:p>
        </w:tc>
        <w:tc>
          <w:tcPr>
            <w:tcW w:type="dxa" w:w="5112"/>
            <w:vAlign w:val="top"/>
          </w:tcPr>
          <w:p>
            <w:r/>
            <w:r>
              <w:rPr>
                <w:rFonts w:ascii="Aptos" w:hAnsi="Aptos"/>
                <w:b w:val="0"/>
                <w:sz w:val="14"/>
              </w:rPr>
              <w:t>Serious clinical, security or data incidents are escalated immediately through the NHS England/Kainos incident process and to the Clinical Safety Officer/service leadership. Regulatory/customer notification follows the applicable legal, medical-device, data-protection and contractual timeline. The precise contact routes and SLAs must be documented before go-live. [TBC exact channels.]</w:t>
            </w:r>
          </w:p>
        </w:tc>
      </w:tr>
      <w:tr>
        <w:tc>
          <w:tcPr>
            <w:tcW w:type="dxa" w:w="5112"/>
            <w:vAlign w:val="top"/>
          </w:tcPr>
          <w:p>
            <w:r/>
            <w:r>
              <w:rPr>
                <w:rFonts w:ascii="Aptos" w:hAnsi="Aptos"/>
                <w:b w:val="0"/>
                <w:sz w:val="14"/>
              </w:rPr>
              <w:t>Material-change triggers</w:t>
            </w:r>
          </w:p>
        </w:tc>
        <w:tc>
          <w:tcPr>
            <w:tcW w:type="dxa" w:w="5112"/>
            <w:vAlign w:val="top"/>
          </w:tcPr>
          <w:p>
            <w:r/>
            <w:r>
              <w:rPr>
                <w:rFonts w:ascii="Aptos" w:hAnsi="Aptos"/>
                <w:b w:val="0"/>
                <w:sz w:val="14"/>
              </w:rPr>
              <w:t>Any material change to intended use, target population, supported channel, Bayesian Network structure/CPTs, model topology, safety thresholds/guardrails, inference logic, data sources, calibration/retraining approach, foundation-model/tool/provider used at build time, supplier/hosting region, API semantics, monitoring controls, or relevant regulation/clinical policy.</w:t>
            </w:r>
          </w:p>
        </w:tc>
      </w:tr>
      <w:tr>
        <w:tc>
          <w:tcPr>
            <w:tcW w:type="dxa" w:w="5112"/>
            <w:vAlign w:val="top"/>
          </w:tcPr>
          <w:p>
            <w:r/>
            <w:r>
              <w:rPr>
                <w:rFonts w:ascii="Aptos" w:hAnsi="Aptos"/>
                <w:b w:val="0"/>
                <w:sz w:val="14"/>
              </w:rPr>
              <w:t>Reassessment trigger</w:t>
            </w:r>
          </w:p>
        </w:tc>
        <w:tc>
          <w:tcPr>
            <w:tcW w:type="dxa" w:w="5112"/>
            <w:vAlign w:val="top"/>
          </w:tcPr>
          <w:p>
            <w:r/>
            <w:r>
              <w:rPr>
                <w:rFonts w:ascii="Aptos" w:hAnsi="Aptos"/>
                <w:b w:val="0"/>
                <w:sz w:val="14"/>
              </w:rPr>
              <w:t>A refreshed Risk &amp; Impact Assessment and re-approval are required for material changes, serious AI/clinical incidents or near-misses, sustained performance/calibration/fairness deterioration, significant drift, new safety hazard, material supplier/service change, change to data sensitivity/lawful use, or evidence that the system is operating outside its approved intended use.</w:t>
            </w:r>
          </w:p>
        </w:tc>
      </w:tr>
      <w:tr>
        <w:tc>
          <w:tcPr>
            <w:tcW w:type="dxa" w:w="5112"/>
            <w:vAlign w:val="top"/>
          </w:tcPr>
          <w:p>
            <w:r/>
            <w:r>
              <w:rPr>
                <w:rFonts w:ascii="Aptos" w:hAnsi="Aptos"/>
                <w:b w:val="0"/>
                <w:sz w:val="14"/>
              </w:rPr>
              <w:t>Conformity evidence</w:t>
            </w:r>
          </w:p>
        </w:tc>
        <w:tc>
          <w:tcPr>
            <w:tcW w:type="dxa" w:w="5112"/>
            <w:vAlign w:val="top"/>
          </w:tcPr>
          <w:p>
            <w:r/>
            <w:r>
              <w:rPr>
                <w:rFonts w:ascii="Aptos" w:hAnsi="Aptos"/>
                <w:b w:val="0"/>
                <w:sz w:val="14"/>
              </w:rPr>
              <w:t>The AI System Register should link the approved AI System Description, Risk &amp; Impact Assessment, Data Management Record, Monitoring &amp; Review Record, Approvals &amp; Exceptions Log, clinical safety evidence, model/release artefacts, evaluation reports, red-team evidence, operational review records and incident references. Exact repository/links [TBC].</w:t>
            </w:r>
          </w:p>
        </w:tc>
      </w:tr>
    </w:tbl>
    <w:p/>
    <w:p>
      <w:pPr>
        <w:pStyle w:val="Heading1"/>
      </w:pPr>
      <w:r>
        <w:t>10. External Reporting</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top"/>
            <w:shd w:fill="D9EAD3"/>
          </w:tcPr>
          <w:p>
            <w:r/>
            <w:r>
              <w:rPr>
                <w:rFonts w:ascii="Aptos" w:hAnsi="Aptos"/>
                <w:b/>
                <w:sz w:val="11"/>
              </w:rPr>
              <w:t>Report type</w:t>
            </w:r>
          </w:p>
        </w:tc>
        <w:tc>
          <w:tcPr>
            <w:tcW w:type="dxa" w:w="1704"/>
            <w:vAlign w:val="top"/>
            <w:shd w:fill="D9EAD3"/>
          </w:tcPr>
          <w:p>
            <w:r/>
            <w:r>
              <w:rPr>
                <w:rFonts w:ascii="Aptos" w:hAnsi="Aptos"/>
                <w:b/>
                <w:sz w:val="11"/>
              </w:rPr>
              <w:t>Trigger / cadence</w:t>
            </w:r>
          </w:p>
        </w:tc>
        <w:tc>
          <w:tcPr>
            <w:tcW w:type="dxa" w:w="1704"/>
            <w:vAlign w:val="top"/>
            <w:shd w:fill="D9EAD3"/>
          </w:tcPr>
          <w:p>
            <w:r/>
            <w:r>
              <w:rPr>
                <w:rFonts w:ascii="Aptos" w:hAnsi="Aptos"/>
                <w:b/>
                <w:sz w:val="11"/>
              </w:rPr>
              <w:t>Audience</w:t>
            </w:r>
          </w:p>
        </w:tc>
        <w:tc>
          <w:tcPr>
            <w:tcW w:type="dxa" w:w="1704"/>
            <w:vAlign w:val="top"/>
            <w:shd w:fill="D9EAD3"/>
          </w:tcPr>
          <w:p>
            <w:r/>
            <w:r>
              <w:rPr>
                <w:rFonts w:ascii="Aptos" w:hAnsi="Aptos"/>
                <w:b/>
                <w:sz w:val="11"/>
              </w:rPr>
              <w:t>Owner</w:t>
            </w:r>
          </w:p>
        </w:tc>
        <w:tc>
          <w:tcPr>
            <w:tcW w:type="dxa" w:w="1704"/>
            <w:vAlign w:val="top"/>
            <w:shd w:fill="D9EAD3"/>
          </w:tcPr>
          <w:p>
            <w:r/>
            <w:r>
              <w:rPr>
                <w:rFonts w:ascii="Aptos" w:hAnsi="Aptos"/>
                <w:b/>
                <w:sz w:val="11"/>
              </w:rPr>
              <w:t>Due / sent date</w:t>
            </w:r>
          </w:p>
        </w:tc>
        <w:tc>
          <w:tcPr>
            <w:tcW w:type="dxa" w:w="1704"/>
            <w:vAlign w:val="top"/>
            <w:shd w:fill="D9EAD3"/>
          </w:tcPr>
          <w:p>
            <w:r/>
            <w:r>
              <w:rPr>
                <w:rFonts w:ascii="Aptos" w:hAnsi="Aptos"/>
                <w:b/>
                <w:sz w:val="11"/>
              </w:rPr>
              <w:t>Evidence link</w:t>
            </w:r>
          </w:p>
        </w:tc>
      </w:tr>
      <w:tr>
        <w:tc>
          <w:tcPr>
            <w:tcW w:type="dxa" w:w="1704"/>
            <w:vAlign w:val="top"/>
          </w:tcPr>
          <w:p>
            <w:r/>
            <w:r>
              <w:rPr>
                <w:rFonts w:ascii="Aptos" w:hAnsi="Aptos"/>
                <w:b w:val="0"/>
                <w:sz w:val="11"/>
              </w:rPr>
              <w:t>NHS England customer governance / service status report</w:t>
            </w:r>
          </w:p>
        </w:tc>
        <w:tc>
          <w:tcPr>
            <w:tcW w:type="dxa" w:w="1704"/>
            <w:vAlign w:val="top"/>
          </w:tcPr>
          <w:p>
            <w:r/>
            <w:r>
              <w:rPr>
                <w:rFonts w:ascii="Aptos" w:hAnsi="Aptos"/>
                <w:b w:val="0"/>
                <w:sz w:val="11"/>
              </w:rPr>
              <w:t>Per agreed programme/service governance cadence and after material incidents/changes</w:t>
            </w:r>
          </w:p>
        </w:tc>
        <w:tc>
          <w:tcPr>
            <w:tcW w:type="dxa" w:w="1704"/>
            <w:vAlign w:val="top"/>
          </w:tcPr>
          <w:p>
            <w:r/>
            <w:r>
              <w:rPr>
                <w:rFonts w:ascii="Aptos" w:hAnsi="Aptos"/>
                <w:b w:val="0"/>
                <w:sz w:val="11"/>
              </w:rPr>
              <w:t>NHS England Product, Clinical Safety, Digital/Technology and assurance governance as applicable</w:t>
            </w:r>
          </w:p>
        </w:tc>
        <w:tc>
          <w:tcPr>
            <w:tcW w:type="dxa" w:w="1704"/>
            <w:vAlign w:val="top"/>
          </w:tcPr>
          <w:p>
            <w:r/>
            <w:r>
              <w:rPr>
                <w:rFonts w:ascii="Aptos" w:hAnsi="Aptos"/>
                <w:b w:val="0"/>
                <w:sz w:val="11"/>
              </w:rPr>
              <w:t>Accountable Owner / Product / Clinical Safety</w:t>
            </w:r>
          </w:p>
        </w:tc>
        <w:tc>
          <w:tcPr>
            <w:tcW w:type="dxa" w:w="1704"/>
            <w:vAlign w:val="top"/>
          </w:tcPr>
          <w:p>
            <w:r/>
            <w:r>
              <w:rPr>
                <w:rFonts w:ascii="Aptos" w:hAnsi="Aptos"/>
                <w:b w:val="0"/>
                <w:sz w:val="11"/>
              </w:rPr>
              <w:t>[TBC]</w:t>
            </w:r>
          </w:p>
        </w:tc>
        <w:tc>
          <w:tcPr>
            <w:tcW w:type="dxa" w:w="1704"/>
            <w:vAlign w:val="top"/>
          </w:tcPr>
          <w:p>
            <w:r/>
            <w:r>
              <w:rPr>
                <w:rFonts w:ascii="Aptos" w:hAnsi="Aptos"/>
                <w:b w:val="0"/>
                <w:sz w:val="11"/>
              </w:rPr>
              <w:t>[TBC status pack / governance evidence]</w:t>
            </w:r>
          </w:p>
        </w:tc>
      </w:tr>
      <w:tr>
        <w:tc>
          <w:tcPr>
            <w:tcW w:type="dxa" w:w="1704"/>
            <w:vAlign w:val="top"/>
          </w:tcPr>
          <w:p>
            <w:r/>
            <w:r>
              <w:rPr>
                <w:rFonts w:ascii="Aptos" w:hAnsi="Aptos"/>
                <w:b w:val="0"/>
                <w:sz w:val="11"/>
              </w:rPr>
              <w:t>Clinical safety / medical-device assurance evidence</w:t>
            </w:r>
          </w:p>
        </w:tc>
        <w:tc>
          <w:tcPr>
            <w:tcW w:type="dxa" w:w="1704"/>
            <w:vAlign w:val="top"/>
          </w:tcPr>
          <w:p>
            <w:r/>
            <w:r>
              <w:rPr>
                <w:rFonts w:ascii="Aptos" w:hAnsi="Aptos"/>
                <w:b w:val="0"/>
                <w:sz w:val="11"/>
              </w:rPr>
              <w:t>At required stage gates and when material change/incident triggers reassessment</w:t>
            </w:r>
          </w:p>
        </w:tc>
        <w:tc>
          <w:tcPr>
            <w:tcW w:type="dxa" w:w="1704"/>
            <w:vAlign w:val="top"/>
          </w:tcPr>
          <w:p>
            <w:r/>
            <w:r>
              <w:rPr>
                <w:rFonts w:ascii="Aptos" w:hAnsi="Aptos"/>
                <w:b w:val="0"/>
                <w:sz w:val="11"/>
              </w:rPr>
              <w:t>NHS England clinical safety governance; MHRA/notified body/conformity assessor if applicable</w:t>
            </w:r>
          </w:p>
        </w:tc>
        <w:tc>
          <w:tcPr>
            <w:tcW w:type="dxa" w:w="1704"/>
            <w:vAlign w:val="top"/>
          </w:tcPr>
          <w:p>
            <w:r/>
            <w:r>
              <w:rPr>
                <w:rFonts w:ascii="Aptos" w:hAnsi="Aptos"/>
                <w:b w:val="0"/>
                <w:sz w:val="11"/>
              </w:rPr>
              <w:t>Clinical Safety Officer / Medical Device Lead / Accountable Owner</w:t>
            </w:r>
          </w:p>
        </w:tc>
        <w:tc>
          <w:tcPr>
            <w:tcW w:type="dxa" w:w="1704"/>
            <w:vAlign w:val="top"/>
          </w:tcPr>
          <w:p>
            <w:r/>
            <w:r>
              <w:rPr>
                <w:rFonts w:ascii="Aptos" w:hAnsi="Aptos"/>
                <w:b w:val="0"/>
                <w:sz w:val="11"/>
              </w:rPr>
              <w:t>[TBC]</w:t>
            </w:r>
          </w:p>
        </w:tc>
        <w:tc>
          <w:tcPr>
            <w:tcW w:type="dxa" w:w="1704"/>
            <w:vAlign w:val="top"/>
          </w:tcPr>
          <w:p>
            <w:r/>
            <w:r>
              <w:rPr>
                <w:rFonts w:ascii="Aptos" w:hAnsi="Aptos"/>
                <w:b w:val="0"/>
                <w:sz w:val="11"/>
              </w:rPr>
              <w:t>Clinical safety case, hazard log, MDD evidence pack [TBC refs]</w:t>
            </w:r>
          </w:p>
        </w:tc>
      </w:tr>
      <w:tr>
        <w:tc>
          <w:tcPr>
            <w:tcW w:type="dxa" w:w="1704"/>
            <w:vAlign w:val="top"/>
          </w:tcPr>
          <w:p>
            <w:r/>
            <w:r>
              <w:rPr>
                <w:rFonts w:ascii="Aptos" w:hAnsi="Aptos"/>
                <w:b w:val="0"/>
                <w:sz w:val="11"/>
              </w:rPr>
              <w:t>Serious incident notification</w:t>
            </w:r>
          </w:p>
        </w:tc>
        <w:tc>
          <w:tcPr>
            <w:tcW w:type="dxa" w:w="1704"/>
            <w:vAlign w:val="top"/>
          </w:tcPr>
          <w:p>
            <w:r/>
            <w:r>
              <w:rPr>
                <w:rFonts w:ascii="Aptos" w:hAnsi="Aptos"/>
                <w:b w:val="0"/>
                <w:sz w:val="11"/>
              </w:rPr>
              <w:t>Within applicable regulatory/customer reporting window after a reportable event</w:t>
            </w:r>
          </w:p>
        </w:tc>
        <w:tc>
          <w:tcPr>
            <w:tcW w:type="dxa" w:w="1704"/>
            <w:vAlign w:val="top"/>
          </w:tcPr>
          <w:p>
            <w:r/>
            <w:r>
              <w:rPr>
                <w:rFonts w:ascii="Aptos" w:hAnsi="Aptos"/>
                <w:b w:val="0"/>
                <w:sz w:val="11"/>
              </w:rPr>
              <w:t>NHS England; ICO/MHRA/other regulator as applicable</w:t>
            </w:r>
          </w:p>
        </w:tc>
        <w:tc>
          <w:tcPr>
            <w:tcW w:type="dxa" w:w="1704"/>
            <w:vAlign w:val="top"/>
          </w:tcPr>
          <w:p>
            <w:r/>
            <w:r>
              <w:rPr>
                <w:rFonts w:ascii="Aptos" w:hAnsi="Aptos"/>
                <w:b w:val="0"/>
                <w:sz w:val="11"/>
              </w:rPr>
              <w:t>CISO/IG/Clinical Safety/Accountable Owner according to incident type</w:t>
            </w:r>
          </w:p>
        </w:tc>
        <w:tc>
          <w:tcPr>
            <w:tcW w:type="dxa" w:w="1704"/>
            <w:vAlign w:val="top"/>
          </w:tcPr>
          <w:p>
            <w:r/>
            <w:r>
              <w:rPr>
                <w:rFonts w:ascii="Aptos" w:hAnsi="Aptos"/>
                <w:b w:val="0"/>
                <w:sz w:val="11"/>
              </w:rPr>
              <w:t>N/A until triggered</w:t>
            </w:r>
          </w:p>
        </w:tc>
        <w:tc>
          <w:tcPr>
            <w:tcW w:type="dxa" w:w="1704"/>
            <w:vAlign w:val="top"/>
          </w:tcPr>
          <w:p>
            <w:r/>
            <w:r>
              <w:rPr>
                <w:rFonts w:ascii="Aptos" w:hAnsi="Aptos"/>
                <w:b w:val="0"/>
                <w:sz w:val="11"/>
              </w:rPr>
              <w:t>Incident record / regulatory submission</w:t>
            </w:r>
          </w:p>
        </w:tc>
      </w:tr>
      <w:tr>
        <w:tc>
          <w:tcPr>
            <w:tcW w:type="dxa" w:w="1704"/>
            <w:vAlign w:val="top"/>
          </w:tcPr>
          <w:p>
            <w:r/>
            <w:r>
              <w:rPr>
                <w:rFonts w:ascii="Aptos" w:hAnsi="Aptos"/>
                <w:b w:val="0"/>
                <w:sz w:val="11"/>
              </w:rPr>
              <w:t>AI governance / audit assurance</w:t>
            </w:r>
          </w:p>
        </w:tc>
        <w:tc>
          <w:tcPr>
            <w:tcW w:type="dxa" w:w="1704"/>
            <w:vAlign w:val="top"/>
          </w:tcPr>
          <w:p>
            <w:r/>
            <w:r>
              <w:rPr>
                <w:rFonts w:ascii="Aptos" w:hAnsi="Aptos"/>
                <w:b w:val="0"/>
                <w:sz w:val="11"/>
              </w:rPr>
              <w:t>On request and at planned Kainos governance/audit intervals</w:t>
            </w:r>
          </w:p>
        </w:tc>
        <w:tc>
          <w:tcPr>
            <w:tcW w:type="dxa" w:w="1704"/>
            <w:vAlign w:val="top"/>
          </w:tcPr>
          <w:p>
            <w:r/>
            <w:r>
              <w:rPr>
                <w:rFonts w:ascii="Aptos" w:hAnsi="Aptos"/>
                <w:b w:val="0"/>
                <w:sz w:val="11"/>
              </w:rPr>
              <w:t>Kainos AI Governance, internal audit, certification/conformity assessors and customer where contractually required</w:t>
            </w:r>
          </w:p>
        </w:tc>
        <w:tc>
          <w:tcPr>
            <w:tcW w:type="dxa" w:w="1704"/>
            <w:vAlign w:val="top"/>
          </w:tcPr>
          <w:p>
            <w:r/>
            <w:r>
              <w:rPr>
                <w:rFonts w:ascii="Aptos" w:hAnsi="Aptos"/>
                <w:b w:val="0"/>
                <w:sz w:val="11"/>
              </w:rPr>
              <w:t>AI Governance / Accountable Owner</w:t>
            </w:r>
          </w:p>
        </w:tc>
        <w:tc>
          <w:tcPr>
            <w:tcW w:type="dxa" w:w="1704"/>
            <w:vAlign w:val="top"/>
          </w:tcPr>
          <w:p>
            <w:r/>
            <w:r>
              <w:rPr>
                <w:rFonts w:ascii="Aptos" w:hAnsi="Aptos"/>
                <w:b w:val="0"/>
                <w:sz w:val="11"/>
              </w:rPr>
              <w:t>[TBC]</w:t>
            </w:r>
          </w:p>
        </w:tc>
        <w:tc>
          <w:tcPr>
            <w:tcW w:type="dxa" w:w="1704"/>
            <w:vAlign w:val="top"/>
          </w:tcPr>
          <w:p>
            <w:r/>
            <w:r>
              <w:rPr>
                <w:rFonts w:ascii="Aptos" w:hAnsi="Aptos"/>
                <w:b w:val="0"/>
                <w:sz w:val="11"/>
              </w:rPr>
              <w:t>AI System Register and four-artefact evidence pack</w:t>
            </w:r>
          </w:p>
        </w:tc>
      </w:tr>
      <w:tr>
        <w:tc>
          <w:tcPr>
            <w:tcW w:type="dxa" w:w="1704"/>
            <w:vAlign w:val="top"/>
          </w:tcPr>
          <w:p>
            <w:r/>
            <w:r>
              <w:rPr>
                <w:rFonts w:ascii="Aptos" w:hAnsi="Aptos"/>
                <w:b w:val="0"/>
                <w:sz w:val="11"/>
              </w:rPr>
              <w:t>EU AI Act technical/conformity reporting</w:t>
            </w:r>
          </w:p>
        </w:tc>
        <w:tc>
          <w:tcPr>
            <w:tcW w:type="dxa" w:w="1704"/>
            <w:vAlign w:val="top"/>
          </w:tcPr>
          <w:p>
            <w:r/>
            <w:r>
              <w:rPr>
                <w:rFonts w:ascii="Aptos" w:hAnsi="Aptos"/>
                <w:b w:val="0"/>
                <w:sz w:val="11"/>
              </w:rPr>
              <w:t>Only if Legal determines the deployed system/use is in scope and reporting/conformity obligations apply</w:t>
            </w:r>
          </w:p>
        </w:tc>
        <w:tc>
          <w:tcPr>
            <w:tcW w:type="dxa" w:w="1704"/>
            <w:vAlign w:val="top"/>
          </w:tcPr>
          <w:p>
            <w:r/>
            <w:r>
              <w:rPr>
                <w:rFonts w:ascii="Aptos" w:hAnsi="Aptos"/>
                <w:b w:val="0"/>
                <w:sz w:val="11"/>
              </w:rPr>
              <w:t>Applicable regulator / notified body / authorised customer governance</w:t>
            </w:r>
          </w:p>
        </w:tc>
        <w:tc>
          <w:tcPr>
            <w:tcW w:type="dxa" w:w="1704"/>
            <w:vAlign w:val="top"/>
          </w:tcPr>
          <w:p>
            <w:r/>
            <w:r>
              <w:rPr>
                <w:rFonts w:ascii="Aptos" w:hAnsi="Aptos"/>
                <w:b w:val="0"/>
                <w:sz w:val="11"/>
              </w:rPr>
              <w:t>Legal/Compliance + Accountable Owner</w:t>
            </w:r>
          </w:p>
        </w:tc>
        <w:tc>
          <w:tcPr>
            <w:tcW w:type="dxa" w:w="1704"/>
            <w:vAlign w:val="top"/>
          </w:tcPr>
          <w:p>
            <w:r/>
            <w:r>
              <w:rPr>
                <w:rFonts w:ascii="Aptos" w:hAnsi="Aptos"/>
                <w:b w:val="0"/>
                <w:sz w:val="11"/>
              </w:rPr>
              <w:t>[TBC applicability]</w:t>
            </w:r>
          </w:p>
        </w:tc>
        <w:tc>
          <w:tcPr>
            <w:tcW w:type="dxa" w:w="1704"/>
            <w:vAlign w:val="top"/>
          </w:tcPr>
          <w:p>
            <w:r/>
            <w:r>
              <w:rPr>
                <w:rFonts w:ascii="Aptos" w:hAnsi="Aptos"/>
                <w:b w:val="0"/>
                <w:sz w:val="11"/>
              </w:rPr>
              <w:t>[TBC]</w:t>
            </w:r>
          </w:p>
        </w:tc>
      </w:tr>
      <w:tr>
        <w:tc>
          <w:tcPr>
            <w:tcW w:type="dxa" w:w="1704"/>
            <w:vAlign w:val="top"/>
          </w:tcPr>
          <w:p>
            <w:r/>
            <w:r>
              <w:rPr>
                <w:rFonts w:ascii="Aptos" w:hAnsi="Aptos"/>
                <w:b w:val="0"/>
                <w:sz w:val="11"/>
              </w:rPr>
              <w:t>Public/user transparency information</w:t>
            </w:r>
          </w:p>
        </w:tc>
        <w:tc>
          <w:tcPr>
            <w:tcW w:type="dxa" w:w="1704"/>
            <w:vAlign w:val="top"/>
          </w:tcPr>
          <w:p>
            <w:r/>
            <w:r>
              <w:rPr>
                <w:rFonts w:ascii="Aptos" w:hAnsi="Aptos"/>
                <w:b w:val="0"/>
                <w:sz w:val="11"/>
              </w:rPr>
              <w:t>At deployment and when material changes affect intended use, limitations, AI disclosure or privacy information</w:t>
            </w:r>
          </w:p>
        </w:tc>
        <w:tc>
          <w:tcPr>
            <w:tcW w:type="dxa" w:w="1704"/>
            <w:vAlign w:val="top"/>
          </w:tcPr>
          <w:p>
            <w:r/>
            <w:r>
              <w:rPr>
                <w:rFonts w:ascii="Aptos" w:hAnsi="Aptos"/>
                <w:b w:val="0"/>
                <w:sz w:val="11"/>
              </w:rPr>
              <w:t>End users/operators via approved NHS channels/help/privacy information</w:t>
            </w:r>
          </w:p>
        </w:tc>
        <w:tc>
          <w:tcPr>
            <w:tcW w:type="dxa" w:w="1704"/>
            <w:vAlign w:val="top"/>
          </w:tcPr>
          <w:p>
            <w:r/>
            <w:r>
              <w:rPr>
                <w:rFonts w:ascii="Aptos" w:hAnsi="Aptos"/>
                <w:b w:val="0"/>
                <w:sz w:val="11"/>
              </w:rPr>
              <w:t>NHS England Product/Content/IG</w:t>
            </w:r>
          </w:p>
        </w:tc>
        <w:tc>
          <w:tcPr>
            <w:tcW w:type="dxa" w:w="1704"/>
            <w:vAlign w:val="top"/>
          </w:tcPr>
          <w:p>
            <w:r/>
            <w:r>
              <w:rPr>
                <w:rFonts w:ascii="Aptos" w:hAnsi="Aptos"/>
                <w:b w:val="0"/>
                <w:sz w:val="11"/>
              </w:rPr>
              <w:t>[TBC]</w:t>
            </w:r>
          </w:p>
        </w:tc>
        <w:tc>
          <w:tcPr>
            <w:tcW w:type="dxa" w:w="1704"/>
            <w:vAlign w:val="top"/>
          </w:tcPr>
          <w:p>
            <w:r/>
            <w:r>
              <w:rPr>
                <w:rFonts w:ascii="Aptos" w:hAnsi="Aptos"/>
                <w:b w:val="0"/>
                <w:sz w:val="11"/>
              </w:rPr>
              <w:t>Published service/user information</w:t>
            </w:r>
          </w:p>
        </w:tc>
      </w:tr>
    </w:tbl>
    <w:p/>
    <w:p>
      <w:pPr>
        <w:pStyle w:val="Heading1"/>
      </w:pPr>
      <w:r>
        <w:t>11. Change History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top"/>
            <w:shd w:fill="D9EAD3"/>
          </w:tcPr>
          <w:p>
            <w:r/>
            <w:r>
              <w:rPr>
                <w:rFonts w:ascii="Aptos" w:hAnsi="Aptos"/>
                <w:b/>
                <w:sz w:val="16"/>
              </w:rPr>
              <w:t>Version</w:t>
            </w:r>
          </w:p>
        </w:tc>
        <w:tc>
          <w:tcPr>
            <w:tcW w:type="dxa" w:w="2556"/>
            <w:vAlign w:val="top"/>
            <w:shd w:fill="D9EAD3"/>
          </w:tcPr>
          <w:p>
            <w:r/>
            <w:r>
              <w:rPr>
                <w:rFonts w:ascii="Aptos" w:hAnsi="Aptos"/>
                <w:b/>
                <w:sz w:val="16"/>
              </w:rPr>
              <w:t>Date</w:t>
            </w:r>
          </w:p>
        </w:tc>
        <w:tc>
          <w:tcPr>
            <w:tcW w:type="dxa" w:w="2556"/>
            <w:vAlign w:val="top"/>
            <w:shd w:fill="D9EAD3"/>
          </w:tcPr>
          <w:p>
            <w:r/>
            <w:r>
              <w:rPr>
                <w:rFonts w:ascii="Aptos" w:hAnsi="Aptos"/>
                <w:b/>
                <w:sz w:val="16"/>
              </w:rPr>
              <w:t>Author</w:t>
            </w:r>
          </w:p>
        </w:tc>
        <w:tc>
          <w:tcPr>
            <w:tcW w:type="dxa" w:w="2556"/>
            <w:vAlign w:val="top"/>
            <w:shd w:fill="D9EAD3"/>
          </w:tcPr>
          <w:p>
            <w:r/>
            <w:r>
              <w:rPr>
                <w:rFonts w:ascii="Aptos" w:hAnsi="Aptos"/>
                <w:b/>
                <w:sz w:val="16"/>
              </w:rPr>
              <w:t>Change</w:t>
            </w:r>
          </w:p>
        </w:tc>
      </w:tr>
      <w:tr>
        <w:tc>
          <w:tcPr>
            <w:tcW w:type="dxa" w:w="2556"/>
            <w:vAlign w:val="top"/>
          </w:tcPr>
          <w:p>
            <w:r/>
            <w:r>
              <w:rPr>
                <w:rFonts w:ascii="Aptos" w:hAnsi="Aptos"/>
                <w:b w:val="0"/>
                <w:sz w:val="16"/>
              </w:rPr>
              <w:t>0.1</w:t>
            </w:r>
          </w:p>
        </w:tc>
        <w:tc>
          <w:tcPr>
            <w:tcW w:type="dxa" w:w="2556"/>
            <w:vAlign w:val="top"/>
          </w:tcPr>
          <w:p>
            <w:r/>
            <w:r>
              <w:rPr>
                <w:rFonts w:ascii="Aptos" w:hAnsi="Aptos"/>
                <w:b w:val="0"/>
                <w:sz w:val="16"/>
              </w:rPr>
              <w:t>06.09.2026</w:t>
            </w:r>
          </w:p>
        </w:tc>
        <w:tc>
          <w:tcPr>
            <w:tcW w:type="dxa" w:w="2556"/>
            <w:vAlign w:val="top"/>
          </w:tcPr>
          <w:p>
            <w:r/>
            <w:r>
              <w:rPr>
                <w:rFonts w:ascii="Aptos" w:hAnsi="Aptos"/>
                <w:b w:val="0"/>
                <w:sz w:val="16"/>
              </w:rPr>
              <w:t>Adaptive Triage architecture / AI governance working draft</w:t>
            </w:r>
          </w:p>
        </w:tc>
        <w:tc>
          <w:tcPr>
            <w:tcW w:type="dxa" w:w="2556"/>
            <w:vAlign w:val="top"/>
          </w:tcPr>
          <w:p>
            <w:r/>
            <w:r>
              <w:rPr>
                <w:rFonts w:ascii="Aptos" w:hAnsi="Aptos"/>
                <w:b w:val="0"/>
                <w:sz w:val="16"/>
              </w:rPr>
              <w:t>Initial question-by-question response pack created from the Kainos AI Monitoring and Review Record Template and current Adaptive Triage position.</w:t>
            </w:r>
          </w:p>
        </w:tc>
      </w:tr>
    </w:tbl>
    <w:p/>
    <w:p>
      <w:pPr>
        <w:pStyle w:val="Heading1"/>
      </w:pPr>
      <w:r>
        <w:t>Outstanding information to confirm before formal submission</w:t>
      </w:r>
    </w:p>
    <w:p>
      <w:pPr>
        <w:pStyle w:val="ListBullet"/>
        <w:spacing w:after="40"/>
      </w:pPr>
      <w:r>
        <w:t>OneTrust Assessment reference and formal Tier 3 classification.</w:t>
      </w:r>
    </w:p>
    <w:p>
      <w:pPr>
        <w:pStyle w:val="ListBullet"/>
        <w:spacing w:after="40"/>
      </w:pPr>
      <w:r>
        <w:t>Named Accountable Owner, Approver, Monitoring Owner and specialist reviewers.</w:t>
      </w:r>
    </w:p>
    <w:p>
      <w:pPr>
        <w:pStyle w:val="ListBullet"/>
        <w:spacing w:after="40"/>
      </w:pPr>
      <w:r>
        <w:t>Final Beta/live V&amp;V test dates, outcomes and evidence links.</w:t>
      </w:r>
    </w:p>
    <w:p>
      <w:pPr>
        <w:pStyle w:val="ListBullet"/>
        <w:spacing w:after="40"/>
      </w:pPr>
      <w:r>
        <w:t>Clinically approved numeric acceptance criteria for high-risk sensitivity/false negatives, disposition performance, calibration and safety thresholds.</w:t>
      </w:r>
    </w:p>
    <w:p>
      <w:pPr>
        <w:pStyle w:val="ListBullet"/>
        <w:spacing w:after="40"/>
      </w:pPr>
      <w:r>
        <w:t>Approved fairness subgroup set, fairness metrics and maximum acceptable disparity.</w:t>
      </w:r>
    </w:p>
    <w:p>
      <w:pPr>
        <w:pStyle w:val="ListBullet"/>
        <w:spacing w:after="40"/>
      </w:pPr>
      <w:r>
        <w:t>Approved drift metrics, baseline windows and alert thresholds.</w:t>
      </w:r>
    </w:p>
    <w:p>
      <w:pPr>
        <w:pStyle w:val="ListBullet"/>
        <w:spacing w:after="40"/>
      </w:pPr>
      <w:r>
        <w:t>Final latency/service SLOs for the Adaptive Triage runtime.</w:t>
      </w:r>
    </w:p>
    <w:p>
      <w:pPr>
        <w:pStyle w:val="ListBullet"/>
        <w:spacing w:after="40"/>
      </w:pPr>
      <w:r>
        <w:t>Exact monitoring dashboard/alert channels, owners and operational support rota.</w:t>
      </w:r>
    </w:p>
    <w:p>
      <w:pPr>
        <w:pStyle w:val="ListBullet"/>
        <w:spacing w:after="40"/>
      </w:pPr>
      <w:r>
        <w:t>Sampled clinical-output review size and cadence.</w:t>
      </w:r>
    </w:p>
    <w:p>
      <w:pPr>
        <w:pStyle w:val="ListBullet"/>
        <w:spacing w:after="40"/>
      </w:pPr>
      <w:r>
        <w:t>Final AI/clinical incident severity taxonomy and escalation routes.</w:t>
      </w:r>
    </w:p>
    <w:p>
      <w:pPr>
        <w:pStyle w:val="ListBullet"/>
        <w:spacing w:after="40"/>
      </w:pPr>
      <w:r>
        <w:t>Formal C14 red-team plan, independent testers, execution dates, findings and closure evidence.</w:t>
      </w:r>
    </w:p>
    <w:p>
      <w:pPr>
        <w:pStyle w:val="ListBullet"/>
        <w:spacing w:after="40"/>
      </w:pPr>
      <w:r>
        <w:t>Exact serious-incident regulatory applicability and reporting routes, including MHRA/medical-device and EU AI Act position where applicable.</w:t>
      </w:r>
    </w:p>
    <w:p>
      <w:pPr>
        <w:pStyle w:val="ListBullet"/>
        <w:spacing w:after="40"/>
      </w:pPr>
      <w:r>
        <w:t>Final post-go-live governance meeting cadence and management-review feed.</w:t>
      </w:r>
    </w:p>
    <w:p>
      <w:pPr>
        <w:pStyle w:val="ListBullet"/>
        <w:spacing w:after="40"/>
      </w:pPr>
      <w:r>
        <w:t>Repository/links for the AI System Register, Monitoring &amp; Review evidence, clinical safety case, model release artefacts and external reporting packs.</w:t>
      </w:r>
    </w:p>
    <w:p>
      <w:pPr>
        <w:pStyle w:val="Heading1"/>
      </w:pPr>
      <w:r>
        <w:t>Important current-state note</w:t>
      </w:r>
    </w:p>
    <w:p>
      <w:r>
        <w:t>This Monitoring and Review Record is intentionally more provisional than Artefacts 1-3 because many of its required fields are evidence of completed V&amp;V or live operational behaviour. Adaptive Triage is currently in Alpha. Therefore, planned test scope, proposed acceptance frameworks and monitoring design can be documented now, but pass/fail results, production drift/fairness observations, incident history and operational review outcomes must only be populated from actual evidence as the programme moves through Beta and live deployment.</w:t>
      </w:r>
    </w:p>
    <w:p>
      <w:pPr>
        <w:pStyle w:val="Heading1"/>
      </w:pPr>
      <w:r>
        <w:t>Source template basis</w:t>
      </w:r>
    </w:p>
    <w:p>
      <w:r>
        <w:t>This report mirrors the Kainos AI Monitoring and Review Record Template (Version 1.0, issued 15 May 2026). It covers System Identity, Verification and Validation Results, Pre-Stated Acceptance Criteria, Monitoring Metrics and Thresholds, Monitoring Cadence, Drift/Bias/Fairness Observations, Incident Log and Regulatory Reporting, Periodic Operational Review, Tier 3 Red-Team Testing, Tier 3 Post Go-Live Monitoring, External Reporting, and Change History.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Artefact 4 - Kainos AI Monitoring and Review Record - Adaptive Triage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rPr>
      <w:rFonts w:ascii="Aptos" w:hAnsi="Aptos"/>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