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Ssp概要设计</w:t>
      </w:r>
    </w:p>
    <w:p>
      <w:pPr>
        <w:pStyle w:val="2"/>
        <w:ind w:left="432" w:hanging="432"/>
      </w:pPr>
      <w:r>
        <w:rPr>
          <w:rFonts w:hint="eastAsia"/>
        </w:rPr>
        <w:t>介绍</w:t>
      </w:r>
    </w:p>
    <w:p>
      <w:pPr>
        <w:pStyle w:val="3"/>
      </w:pPr>
      <w:bookmarkStart w:id="0" w:name="_Toc338339527"/>
      <w:r>
        <w:rPr>
          <w:rFonts w:hint="eastAsia"/>
          <w:lang w:val="en-US" w:eastAsia="zh-CN"/>
        </w:rPr>
        <w:t>1.1</w:t>
      </w:r>
      <w:r>
        <w:t>目的</w:t>
      </w:r>
      <w:bookmarkEnd w:id="0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该文档为</w:t>
      </w: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  <w:lang w:eastAsia="zh-CN"/>
        </w:rPr>
        <w:t>中服务</w:t>
      </w:r>
      <w:r>
        <w:rPr>
          <w:rFonts w:hint="eastAsia"/>
          <w:szCs w:val="21"/>
        </w:rPr>
        <w:t>端概要设计说明书，根据需求规格说明书，描述系统中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端的实现逻辑及关键</w:t>
      </w:r>
      <w:r>
        <w:rPr>
          <w:rFonts w:hint="eastAsia"/>
          <w:szCs w:val="21"/>
          <w:lang w:eastAsia="zh-CN"/>
        </w:rPr>
        <w:t>调用关系</w:t>
      </w:r>
      <w:r>
        <w:rPr>
          <w:rFonts w:hint="eastAsia"/>
          <w:szCs w:val="21"/>
        </w:rPr>
        <w:t>。</w:t>
      </w:r>
    </w:p>
    <w:p>
      <w:pPr>
        <w:pStyle w:val="3"/>
      </w:pPr>
      <w:bookmarkStart w:id="1" w:name="_Toc338339528"/>
      <w:r>
        <w:rPr>
          <w:rFonts w:hint="eastAsia"/>
          <w:lang w:val="en-US" w:eastAsia="zh-CN"/>
        </w:rPr>
        <w:t>1.2</w:t>
      </w:r>
      <w:r>
        <w:t>背景</w:t>
      </w:r>
      <w:bookmarkEnd w:id="1"/>
    </w:p>
    <w:p>
      <w:pPr>
        <w:ind w:firstLine="420"/>
        <w:rPr>
          <w:szCs w:val="21"/>
        </w:rPr>
      </w:pPr>
      <w:r>
        <w:rPr>
          <w:rFonts w:hint="eastAsia"/>
          <w:szCs w:val="21"/>
          <w:lang w:eastAsia="zh-CN"/>
        </w:rPr>
        <w:t>供应方聚集了一批媒体，原有的模式无法高效满足接入第三方</w:t>
      </w:r>
      <w:r>
        <w:rPr>
          <w:rFonts w:hint="eastAsia"/>
          <w:szCs w:val="21"/>
          <w:lang w:val="en-US" w:eastAsia="zh-CN"/>
        </w:rPr>
        <w:t>DSP</w:t>
      </w:r>
      <w:r>
        <w:rPr>
          <w:rFonts w:hint="eastAsia"/>
          <w:szCs w:val="21"/>
          <w:lang w:eastAsia="zh-CN"/>
        </w:rPr>
        <w:t>，同时业务增长到一定规模，系统需要合理的模块化，最终的目标是能够将媒体进行统一管理和售卖，实现利润最大化</w:t>
      </w:r>
      <w:r>
        <w:rPr>
          <w:rFonts w:hint="eastAsia"/>
          <w:szCs w:val="21"/>
        </w:rPr>
        <w:t>。</w:t>
      </w:r>
    </w:p>
    <w:p>
      <w:pPr>
        <w:pStyle w:val="3"/>
        <w:tabs>
          <w:tab w:val="left" w:pos="567"/>
        </w:tabs>
        <w:ind w:left="576" w:hanging="576"/>
      </w:pPr>
      <w:bookmarkStart w:id="2" w:name="_Toc316059785"/>
      <w:bookmarkStart w:id="3" w:name="_Toc338339529"/>
      <w:r>
        <w:rPr>
          <w:rFonts w:hint="eastAsia"/>
          <w:lang w:val="en-US" w:eastAsia="zh-CN"/>
        </w:rPr>
        <w:t>1.3</w:t>
      </w:r>
      <w:r>
        <w:rPr>
          <w:rFonts w:hint="eastAsia"/>
        </w:rPr>
        <w:t>目标读者</w:t>
      </w:r>
      <w:bookmarkEnd w:id="2"/>
      <w:bookmarkEnd w:id="3"/>
    </w:p>
    <w:p>
      <w:pPr>
        <w:pStyle w:val="5"/>
        <w:spacing w:after="72"/>
        <w:rPr>
          <w:szCs w:val="21"/>
        </w:rPr>
      </w:pPr>
      <w:r>
        <w:rPr>
          <w:rFonts w:hint="eastAsia"/>
          <w:szCs w:val="21"/>
        </w:rPr>
        <w:t>包括但不限于下列人员：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项目管理人员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SSP服务</w:t>
      </w:r>
      <w:r>
        <w:rPr>
          <w:rFonts w:hint="eastAsia"/>
          <w:szCs w:val="21"/>
        </w:rPr>
        <w:t>开发人员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测试人员</w:t>
      </w:r>
    </w:p>
    <w:p>
      <w:pPr>
        <w:pStyle w:val="3"/>
        <w:tabs>
          <w:tab w:val="left" w:pos="567"/>
        </w:tabs>
        <w:ind w:left="576" w:hanging="576"/>
      </w:pPr>
      <w:bookmarkStart w:id="4" w:name="_Toc338339530"/>
      <w:r>
        <w:rPr>
          <w:rFonts w:hint="eastAsia"/>
          <w:lang w:val="en-US" w:eastAsia="zh-CN"/>
        </w:rPr>
        <w:t>1.4</w:t>
      </w:r>
      <w:r>
        <w:rPr>
          <w:rFonts w:hint="eastAsia"/>
        </w:rPr>
        <w:t>术语和缩略语</w:t>
      </w:r>
      <w:bookmarkEnd w:id="4"/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4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 w:val="21"/>
                <w:szCs w:val="21"/>
              </w:rPr>
            </w:pPr>
            <w:r>
              <w:rPr>
                <w:rFonts w:hint="eastAsia"/>
                <w:b/>
                <w:caps/>
                <w:sz w:val="21"/>
                <w:szCs w:val="21"/>
              </w:rPr>
              <w:t>术语</w:t>
            </w:r>
          </w:p>
        </w:tc>
        <w:tc>
          <w:tcPr>
            <w:tcW w:w="843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 w:val="21"/>
                <w:szCs w:val="21"/>
              </w:rPr>
            </w:pPr>
            <w:r>
              <w:rPr>
                <w:rFonts w:hint="eastAsia"/>
                <w:b/>
                <w:cap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Sell-SidePlatform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供应方平台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Demand-Side Platform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需求方平台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RTB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RealTime Bidding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实时竞价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对每一个用户展示行为进行评估以及出价的竞价技术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CPM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cost per 1000 impressions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按照每1000个展示曝光进行付费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CPC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cost per click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按照每个点击进行付费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CTR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Click-Through-Rate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，网络广告的点击到达率（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click/show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Fonts w:hint="eastAsia" w:hAnsi="Calibri" w:asciiTheme="minorAscii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Calibri" w:asciiTheme="minorAscii"/>
                <w:color w:val="000000"/>
                <w:sz w:val="21"/>
                <w:szCs w:val="21"/>
                <w:lang w:val="en-US" w:eastAsia="zh-CN"/>
              </w:rPr>
              <w:t>eCPM</w:t>
            </w:r>
          </w:p>
        </w:tc>
        <w:tc>
          <w:tcPr>
            <w:tcW w:w="8436" w:type="dxa"/>
            <w:shd w:val="clear" w:color="auto" w:fill="auto"/>
          </w:tcPr>
          <w:p>
            <w:pPr>
              <w:ind w:left="105" w:hanging="105" w:hangingChars="50"/>
              <w:rPr>
                <w:rFonts w:hAnsi="Calibri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effective cost per mille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每一千次展示可以获得的广告收入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用来反映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媒体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盈利能力的参数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DMP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Data management Platform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，整合所有涉及广告库存购买和出售的数据，建立精准用户细分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hanging="432"/>
      </w:pPr>
      <w:bookmarkStart w:id="5" w:name="_Toc338339531"/>
      <w:r>
        <w:rPr>
          <w:rFonts w:hint="eastAsia"/>
        </w:rPr>
        <w:t>设计概述</w:t>
      </w:r>
      <w:bookmarkEnd w:id="5"/>
    </w:p>
    <w:p>
      <w:pPr>
        <w:pStyle w:val="3"/>
        <w:tabs>
          <w:tab w:val="left" w:pos="567"/>
        </w:tabs>
        <w:ind w:left="576" w:hanging="576"/>
      </w:pPr>
      <w:bookmarkStart w:id="6" w:name="_Toc338339532"/>
      <w:r>
        <w:rPr>
          <w:rFonts w:hint="eastAsia"/>
          <w:lang w:val="en-US" w:eastAsia="zh-CN"/>
        </w:rPr>
        <w:t>2.1</w:t>
      </w:r>
      <w:r>
        <w:rPr>
          <w:rFonts w:hint="eastAsia"/>
        </w:rPr>
        <w:t>系统描述</w:t>
      </w:r>
      <w:bookmarkEnd w:id="6"/>
    </w:p>
    <w:p>
      <w:pPr>
        <w:ind w:firstLine="420"/>
      </w:pPr>
      <w:r>
        <w:rPr>
          <w:rFonts w:hint="eastAsia"/>
          <w:lang w:val="en-US" w:eastAsia="zh-CN"/>
        </w:rPr>
        <w:t>SSP服务</w:t>
      </w:r>
      <w:r>
        <w:rPr>
          <w:rFonts w:hint="eastAsia"/>
        </w:rPr>
        <w:t>端将基于Linux+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  <w:r>
        <w:rPr>
          <w:rFonts w:hint="eastAsia"/>
        </w:rPr>
        <w:t>平台开发并实现，引入轻量级</w:t>
      </w:r>
      <w:r>
        <w:rPr>
          <w:rFonts w:hint="eastAsia"/>
          <w:lang w:val="en-US" w:eastAsia="zh-CN"/>
        </w:rPr>
        <w:t>PHP</w:t>
      </w:r>
      <w:r>
        <w:rPr>
          <w:rFonts w:hint="eastAsia"/>
        </w:rPr>
        <w:t>开发框架</w:t>
      </w:r>
      <w:r>
        <w:rPr>
          <w:rFonts w:hint="eastAsia"/>
          <w:lang w:val="en-US" w:eastAsia="zh-CN"/>
        </w:rPr>
        <w:t>Yaf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C语言开发，PHP扩展</w:t>
      </w:r>
      <w:r>
        <w:rPr>
          <w:rFonts w:hint="eastAsia"/>
        </w:rPr>
        <w:t>），</w:t>
      </w:r>
      <w:r>
        <w:rPr>
          <w:rFonts w:hint="eastAsia"/>
          <w:lang w:eastAsia="zh-CN"/>
        </w:rPr>
        <w:t>通信采用</w:t>
      </w:r>
      <w:r>
        <w:rPr>
          <w:rFonts w:hint="eastAsia"/>
          <w:lang w:val="en-US" w:eastAsia="zh-CN"/>
        </w:rPr>
        <w:t>HTTP+POST协议，数据传输采用json/protobuf协议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SSP服务端</w:t>
      </w:r>
      <w:r>
        <w:rPr>
          <w:rFonts w:hint="eastAsia"/>
        </w:rPr>
        <w:t>主要提供</w:t>
      </w:r>
      <w:r>
        <w:rPr>
          <w:rFonts w:hint="eastAsia"/>
          <w:lang w:eastAsia="zh-CN"/>
        </w:rPr>
        <w:t>流量接入、广告接入、</w:t>
      </w:r>
      <w:r>
        <w:rPr>
          <w:rFonts w:hint="eastAsia"/>
          <w:lang w:val="en-US" w:eastAsia="zh-CN"/>
        </w:rPr>
        <w:t>RTB竞价算法、DMP人群标签整合、日志回收。</w:t>
      </w:r>
    </w:p>
    <w:p>
      <w:pPr>
        <w:pStyle w:val="3"/>
        <w:tabs>
          <w:tab w:val="left" w:pos="567"/>
        </w:tabs>
        <w:ind w:left="576" w:hanging="576"/>
        <w:rPr>
          <w:rFonts w:hint="eastAsia"/>
        </w:rPr>
      </w:pPr>
      <w:bookmarkStart w:id="7" w:name="_Toc338339533"/>
      <w:r>
        <w:rPr>
          <w:rFonts w:hint="eastAsia"/>
          <w:lang w:val="en-US" w:eastAsia="zh-CN"/>
        </w:rPr>
        <w:t>2.2</w:t>
      </w:r>
      <w:r>
        <w:rPr>
          <w:rFonts w:hint="eastAsia"/>
        </w:rPr>
        <w:t>设计约束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6.4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（2）网络服务器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（3）应用语言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（4）Nosql数据库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（5）网络通信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HTTP+POST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Cluster+HA</w:t>
      </w:r>
    </w:p>
    <w:p>
      <w:pPr>
        <w:pStyle w:val="3"/>
        <w:tabs>
          <w:tab w:val="left" w:pos="567"/>
        </w:tabs>
        <w:ind w:left="576" w:hanging="576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运行环境</w:t>
      </w:r>
    </w:p>
    <w:p>
      <w:pPr>
        <w:ind w:firstLine="420"/>
        <w:rPr>
          <w:rFonts w:hint="eastAsia"/>
        </w:rPr>
      </w:pPr>
      <w:r>
        <w:rPr>
          <w:rFonts w:hint="eastAsia"/>
        </w:rPr>
        <w:t>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</w:p>
    <w:p>
      <w:pPr>
        <w:pStyle w:val="2"/>
        <w:ind w:left="432" w:hanging="432"/>
        <w:rPr>
          <w:rFonts w:hint="eastAsia"/>
        </w:rPr>
      </w:pPr>
      <w:bookmarkStart w:id="8" w:name="_Toc338339535"/>
      <w:r>
        <w:rPr>
          <w:rFonts w:hint="eastAsia"/>
        </w:rPr>
        <w:t>结构设计</w:t>
      </w:r>
      <w:bookmarkEnd w:id="8"/>
    </w:p>
    <w:p>
      <w:pPr>
        <w:pStyle w:val="3"/>
        <w:tabs>
          <w:tab w:val="left" w:pos="567"/>
        </w:tabs>
        <w:ind w:left="576" w:hanging="576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系统结构图</w:t>
      </w:r>
    </w:p>
    <w:p>
      <w:pPr/>
      <w:r>
        <w:drawing>
          <wp:inline distT="0" distB="0" distL="114300" distR="114300">
            <wp:extent cx="5269865" cy="55124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ind w:left="432" w:hanging="432"/>
      </w:pPr>
      <w:bookmarkStart w:id="9" w:name="_Toc338339542"/>
      <w:r>
        <w:rPr>
          <w:rFonts w:hint="eastAsia"/>
        </w:rPr>
        <w:t>功能模块设计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</w:pPr>
      <w:r>
        <w:rPr>
          <w:rFonts w:hint="eastAsia"/>
        </w:rPr>
        <w:t>系统出错处理设计</w:t>
      </w:r>
    </w:p>
    <w:p>
      <w:pPr>
        <w:rPr>
          <w:rFonts w:hint="eastAsia"/>
          <w:lang w:val="en-US" w:eastAsia="zh-CN"/>
        </w:rPr>
      </w:pP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114417">
    <w:nsid w:val="564136B1"/>
    <w:multiLevelType w:val="multilevel"/>
    <w:tmpl w:val="564136B1"/>
    <w:lvl w:ilvl="0" w:tentative="1">
      <w:start w:val="1"/>
      <w:numFmt w:val="decimal"/>
      <w:pStyle w:val="2"/>
      <w:lvlText w:val="%1."/>
      <w:lvlJc w:val="left"/>
      <w:pPr>
        <w:tabs>
          <w:tab w:val="left" w:pos="567"/>
        </w:tabs>
        <w:ind w:left="567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hAnsi="宋体" w:eastAsia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宋体" w:hAnsi="宋体" w:eastAsia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宋体" w:hAnsi="宋体" w:eastAsia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1447114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71935"/>
    <w:rsid w:val="006335AF"/>
    <w:rsid w:val="01615A50"/>
    <w:rsid w:val="01944FA6"/>
    <w:rsid w:val="01D27009"/>
    <w:rsid w:val="04793A64"/>
    <w:rsid w:val="04FB65BC"/>
    <w:rsid w:val="057A1088"/>
    <w:rsid w:val="07B567B5"/>
    <w:rsid w:val="07FD6BA9"/>
    <w:rsid w:val="084C21AB"/>
    <w:rsid w:val="0A0E788E"/>
    <w:rsid w:val="0A840B51"/>
    <w:rsid w:val="0A9E16FB"/>
    <w:rsid w:val="0C7C0C8C"/>
    <w:rsid w:val="0E452476"/>
    <w:rsid w:val="0E7D5E53"/>
    <w:rsid w:val="0F7C7F74"/>
    <w:rsid w:val="0FBB32DC"/>
    <w:rsid w:val="107F689D"/>
    <w:rsid w:val="10DC6C37"/>
    <w:rsid w:val="11576580"/>
    <w:rsid w:val="14162C01"/>
    <w:rsid w:val="1537655C"/>
    <w:rsid w:val="1701104A"/>
    <w:rsid w:val="191E3943"/>
    <w:rsid w:val="197A625B"/>
    <w:rsid w:val="1A4A782D"/>
    <w:rsid w:val="1C232937"/>
    <w:rsid w:val="1D6210C5"/>
    <w:rsid w:val="209E0592"/>
    <w:rsid w:val="22FC38F4"/>
    <w:rsid w:val="240C3731"/>
    <w:rsid w:val="268F1252"/>
    <w:rsid w:val="27071935"/>
    <w:rsid w:val="27BD063F"/>
    <w:rsid w:val="285B7244"/>
    <w:rsid w:val="2B0B32AA"/>
    <w:rsid w:val="2B447F8C"/>
    <w:rsid w:val="2B6F6851"/>
    <w:rsid w:val="2C1105D9"/>
    <w:rsid w:val="2C5C51D5"/>
    <w:rsid w:val="2DD5373D"/>
    <w:rsid w:val="315A7B86"/>
    <w:rsid w:val="319E1574"/>
    <w:rsid w:val="32771258"/>
    <w:rsid w:val="335950CE"/>
    <w:rsid w:val="34A77F41"/>
    <w:rsid w:val="34D310B7"/>
    <w:rsid w:val="34FF0C81"/>
    <w:rsid w:val="35C12F3E"/>
    <w:rsid w:val="36E16C19"/>
    <w:rsid w:val="373D1531"/>
    <w:rsid w:val="375720DA"/>
    <w:rsid w:val="382E68BB"/>
    <w:rsid w:val="39E92488"/>
    <w:rsid w:val="3B8D2AC4"/>
    <w:rsid w:val="3C8961DF"/>
    <w:rsid w:val="3D5A0AB6"/>
    <w:rsid w:val="3D72615D"/>
    <w:rsid w:val="3E526AD0"/>
    <w:rsid w:val="408112E3"/>
    <w:rsid w:val="40E51007"/>
    <w:rsid w:val="4357300A"/>
    <w:rsid w:val="451232E0"/>
    <w:rsid w:val="45647867"/>
    <w:rsid w:val="46816D3A"/>
    <w:rsid w:val="47DA0270"/>
    <w:rsid w:val="49115D6F"/>
    <w:rsid w:val="4A7C753F"/>
    <w:rsid w:val="4B51629E"/>
    <w:rsid w:val="4B7919E0"/>
    <w:rsid w:val="4D9D5E63"/>
    <w:rsid w:val="4E9F478C"/>
    <w:rsid w:val="52316BE6"/>
    <w:rsid w:val="532219F2"/>
    <w:rsid w:val="53CE790C"/>
    <w:rsid w:val="54440BD0"/>
    <w:rsid w:val="54724B97"/>
    <w:rsid w:val="558F1AEB"/>
    <w:rsid w:val="55CC1950"/>
    <w:rsid w:val="5A743572"/>
    <w:rsid w:val="5EE5503B"/>
    <w:rsid w:val="5F8A6E4E"/>
    <w:rsid w:val="5F8D7DD2"/>
    <w:rsid w:val="60975D06"/>
    <w:rsid w:val="620713E0"/>
    <w:rsid w:val="622E70A1"/>
    <w:rsid w:val="634001E3"/>
    <w:rsid w:val="65397F9E"/>
    <w:rsid w:val="65451832"/>
    <w:rsid w:val="65927733"/>
    <w:rsid w:val="65B14764"/>
    <w:rsid w:val="663F52CD"/>
    <w:rsid w:val="66A34FF2"/>
    <w:rsid w:val="671578AF"/>
    <w:rsid w:val="685811C0"/>
    <w:rsid w:val="68DA0494"/>
    <w:rsid w:val="6D7E5C2F"/>
    <w:rsid w:val="6DAB79F8"/>
    <w:rsid w:val="6EED710A"/>
    <w:rsid w:val="6F5D06C3"/>
    <w:rsid w:val="70AE12EA"/>
    <w:rsid w:val="71EE76F7"/>
    <w:rsid w:val="753871DF"/>
    <w:rsid w:val="775B39E2"/>
    <w:rsid w:val="77BE2401"/>
    <w:rsid w:val="7C287DC2"/>
    <w:rsid w:val="7C4250E9"/>
    <w:rsid w:val="7EE5313E"/>
    <w:rsid w:val="7FF245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 w:line="578" w:lineRule="auto"/>
      <w:outlineLvl w:val="0"/>
    </w:pPr>
    <w:rPr>
      <w:rFonts w:ascii="Arial Unicode MS" w:hAnsi="Arial Unicode MS"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2015-12-13T14:34:00Z</dcterms:created>
  <dc:creator>Hedong</dc:creator>
  <cp:lastModifiedBy>Hedong</cp:lastModifiedBy>
  <dcterms:modified xsi:type="dcterms:W3CDTF">2015-12-14T16:46:14Z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