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160"/>
        <w:jc w:val="center"/>
      </w:pPr>
      <w:r>
        <w:rPr>
          <w:rFonts w:ascii="微软雅黑" w:hAnsi="微软雅黑" w:eastAsia="微软雅黑"/>
          <w:b/>
          <w:color w:val="1F4E79"/>
          <w:sz w:val="52"/>
        </w:rPr>
        <w:t>3D人脸重建与皮肤分析系统</w:t>
      </w:r>
    </w:p>
    <w:p>
      <w:pPr>
        <w:jc w:val="center"/>
      </w:pPr>
      <w:r>
        <w:rPr>
          <w:rFonts w:ascii="微软雅黑" w:hAnsi="微软雅黑" w:eastAsia="微软雅黑"/>
          <w:b/>
          <w:sz w:val="44"/>
        </w:rPr>
        <w:t>软件项目书</w:t>
      </w:r>
    </w:p>
    <w:p>
      <w:pPr>
        <w:jc w:val="center"/>
      </w:pPr>
      <w:r>
        <w:rPr>
          <w:rFonts w:ascii="微软雅黑" w:hAnsi="微软雅黑" w:eastAsia="微软雅黑"/>
          <w:color w:val="595959"/>
          <w:sz w:val="28"/>
        </w:rPr>
        <w:t>拟建设工作范围、预期工作量与预期效果说明</w:t>
      </w:r>
    </w:p>
    <w:p/>
    <w:p>
      <w:pPr>
        <w:jc w:val="center"/>
      </w:pPr>
      <w:r>
        <w:rPr>
          <w:rFonts w:ascii="微软雅黑" w:hAnsi="微软雅黑" w:eastAsia="微软雅黑"/>
          <w:sz w:val="22"/>
        </w:rPr>
        <w:t>编制日期：2026-05-19</w:t>
      </w:r>
    </w:p>
    <w:p/>
    <w:p>
      <w:pPr>
        <w:spacing w:before="360" w:line="360" w:lineRule="auto"/>
        <w:ind w:left="680" w:right="680"/>
        <w:jc w:val="left"/>
      </w:pPr>
      <w:r>
        <w:rPr>
          <w:rFonts w:ascii="微软雅黑" w:hAnsi="微软雅黑" w:eastAsia="微软雅黑"/>
          <w:color w:val="595959"/>
          <w:sz w:val="22"/>
        </w:rPr>
        <w:t>重要说明：本文档用于向甲方说明项目拟建设内容、预计投入工作量、阶段性交付物和预期可达到的效果。文中图片用于功能示意和目标效果参考，不等同于全部功能已经完成，也不作为最终验收唯一依据。最终实施范围、周期、验收标准和商务条件应以双方确认的合同、需求规格说明书和验收清单为准。</w:t>
      </w:r>
    </w:p>
    <w:p>
      <w:r>
        <w:br w:type="page"/>
      </w:r>
    </w:p>
    <w:p>
      <w:pPr>
        <w:pStyle w:val="Heading1"/>
      </w:pPr>
      <w:r>
        <w:rPr>
          <w:rFonts w:ascii="微软雅黑" w:hAnsi="微软雅黑" w:eastAsia="微软雅黑"/>
          <w:color w:val="1F4E79"/>
        </w:rPr>
        <w:t>一、项目概述</w:t>
      </w:r>
    </w:p>
    <w:p>
      <w:pPr>
        <w:spacing w:line="324" w:lineRule="auto"/>
        <w:ind w:firstLine="420"/>
      </w:pPr>
      <w:r>
        <w:rPr>
          <w:rFonts w:ascii="微软雅黑" w:hAnsi="微软雅黑" w:eastAsia="微软雅黑"/>
          <w:sz w:val="21"/>
        </w:rPr>
        <w:t>本项目拟建设一套面向医美、皮肤管理、数字化面诊和术前术后对比场景的 3D 人脸重建与皮肤分析软件系统。系统以正脸、左侧、右侧三视图照片为主要输入，经过图像预处理、几何重建、纹理融合、皮肤图层分析和 Web 端可视化展示，形成可查看、可比对、可归档的 3D 人脸模型和分析结果。</w:t>
      </w:r>
    </w:p>
    <w:p>
      <w:pPr>
        <w:spacing w:line="324" w:lineRule="auto"/>
        <w:ind w:firstLine="420"/>
      </w:pPr>
      <w:r>
        <w:rPr>
          <w:rFonts w:ascii="微软雅黑" w:hAnsi="微软雅黑" w:eastAsia="微软雅黑"/>
          <w:sz w:val="21"/>
        </w:rPr>
        <w:t>本项目书重点说明计划建设的工作内容、建议技术路线、预期交付成果、阶段性工作量和验收方式，便于甲方评估项目实施范围和投入强度。</w:t>
      </w:r>
    </w:p>
    <w:p>
      <w:pPr>
        <w:pStyle w:val="ListBullet"/>
      </w:pPr>
      <w:r>
        <w:rPr>
          <w:rFonts w:ascii="微软雅黑" w:hAnsi="微软雅黑" w:eastAsia="微软雅黑"/>
          <w:sz w:val="21"/>
        </w:rPr>
        <w:t>建设定位：从算法验证升级为可交付的软件系统，覆盖采集、计算、展示、管理和报告输出链路。</w:t>
      </w:r>
    </w:p>
    <w:p>
      <w:pPr>
        <w:pStyle w:val="ListBullet"/>
      </w:pPr>
      <w:r>
        <w:rPr>
          <w:rFonts w:ascii="微软雅黑" w:hAnsi="微软雅黑" w:eastAsia="微软雅黑"/>
          <w:sz w:val="21"/>
        </w:rPr>
        <w:t>目标用户：医美机构、皮肤管理机构、咨询师、医生及内部运营人员。</w:t>
      </w:r>
    </w:p>
    <w:p>
      <w:pPr>
        <w:pStyle w:val="ListBullet"/>
      </w:pPr>
      <w:r>
        <w:rPr>
          <w:rFonts w:ascii="微软雅黑" w:hAnsi="微软雅黑" w:eastAsia="微软雅黑"/>
          <w:sz w:val="21"/>
        </w:rPr>
        <w:t>业务价值：提升面诊沟通效率，沉淀客户面部数据，为术前评估、术后对比和皮肤问题跟踪提供数字化依据。</w:t>
      </w:r>
    </w:p>
    <w:p>
      <w:pPr>
        <w:pStyle w:val="ListBullet"/>
      </w:pPr>
      <w:r>
        <w:rPr>
          <w:rFonts w:ascii="微软雅黑" w:hAnsi="微软雅黑" w:eastAsia="微软雅黑"/>
          <w:sz w:val="21"/>
        </w:rPr>
        <w:t>交付原则：先保证稳定可用和可验收，再逐步提升高保真重建、皮肤分析精度和自动化程度。</w:t>
      </w:r>
    </w:p>
    <w:p>
      <w:r>
        <w:drawing>
          <wp:inline xmlns:a="http://schemas.openxmlformats.org/drawingml/2006/main" xmlns:pic="http://schemas.openxmlformats.org/drawingml/2006/picture">
            <wp:extent cx="5940000" cy="32340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rchitectur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0000" cy="3234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微软雅黑" w:hAnsi="微软雅黑" w:eastAsia="微软雅黑"/>
          <w:i/>
          <w:color w:val="595959"/>
          <w:sz w:val="18"/>
        </w:rPr>
        <w:t>图1 系统总体架构与预期建设链路示意</w:t>
      </w:r>
    </w:p>
    <w:p>
      <w:pPr>
        <w:pStyle w:val="Heading1"/>
      </w:pPr>
      <w:r>
        <w:rPr>
          <w:rFonts w:ascii="微软雅黑" w:hAnsi="微软雅黑" w:eastAsia="微软雅黑"/>
          <w:color w:val="1F4E79"/>
        </w:rPr>
        <w:t>二、建设目标与预期效果</w:t>
      </w:r>
    </w:p>
    <w:p>
      <w:pPr>
        <w:spacing w:line="324" w:lineRule="auto"/>
        <w:ind w:firstLine="420"/>
      </w:pPr>
      <w:r>
        <w:rPr>
          <w:rFonts w:ascii="微软雅黑" w:hAnsi="微软雅黑" w:eastAsia="微软雅黑"/>
          <w:sz w:val="21"/>
        </w:rPr>
        <w:t>系统建设完成后，预期实现从三视图照片到 3D 模型、纹理贴图、皮肤分析图层和前端交互展示的完整流程。由于 3D 重建效果受采集设备、光照、拍摄姿态、样本质量和算法模型权重影响，建议将预期效果分为基础可用、优化增强和高保真扩展三个层级进行验收。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286"/>
        <w:gridCol w:w="3286"/>
        <w:gridCol w:w="3286"/>
      </w:tblGrid>
      <w:tr>
        <w:tc>
          <w:tcPr>
            <w:tcW w:type="dxa" w:w="1701"/>
            <w:shd w:fill="1F4E79"/>
            <w:vAlign w:val="cente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层级</w:t>
            </w:r>
          </w:p>
        </w:tc>
        <w:tc>
          <w:tcPr>
            <w:tcW w:type="dxa" w:w="3969"/>
            <w:shd w:fill="1F4E79"/>
            <w:vAlign w:val="cente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预期效果</w:t>
            </w:r>
          </w:p>
        </w:tc>
        <w:tc>
          <w:tcPr>
            <w:tcW w:type="dxa" w:w="3402"/>
            <w:shd w:fill="1F4E79"/>
            <w:vAlign w:val="cente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说明</w:t>
            </w:r>
          </w:p>
        </w:tc>
      </w:tr>
      <w:tr>
        <w:tc>
          <w:tcPr>
            <w:tcW w:type="dxa" w:w="1701"/>
            <w:vAlign w:val="center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20"/>
              </w:rPr>
              <w:t>基础可用</w:t>
            </w:r>
          </w:p>
        </w:tc>
        <w:tc>
          <w:tcPr>
            <w:tcW w:type="dxa" w:w="3969"/>
            <w:vAlign w:val="center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20"/>
              </w:rPr>
              <w:t>完成三视图上传、后台重建、GLB 模型生成、Web 端查看和任务进度反馈</w:t>
            </w:r>
          </w:p>
        </w:tc>
        <w:tc>
          <w:tcPr>
            <w:tcW w:type="dxa" w:w="3402"/>
            <w:vAlign w:val="center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20"/>
              </w:rPr>
              <w:t>作为第一阶段验收底线，关注流程完整性和稳定性。</w:t>
            </w:r>
          </w:p>
        </w:tc>
      </w:tr>
      <w:tr>
        <w:tc>
          <w:tcPr>
            <w:tcW w:type="dxa" w:w="1701"/>
            <w:vAlign w:val="center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20"/>
              </w:rPr>
              <w:t>优化增强</w:t>
            </w:r>
          </w:p>
        </w:tc>
        <w:tc>
          <w:tcPr>
            <w:tcW w:type="dxa" w:w="3969"/>
            <w:vAlign w:val="center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20"/>
              </w:rPr>
              <w:t>提升脸型、鼻部、下颌线、侧脸轮廓和纹理接缝质量，支持调试图和质量评估</w:t>
            </w:r>
          </w:p>
        </w:tc>
        <w:tc>
          <w:tcPr>
            <w:tcW w:type="dxa" w:w="3402"/>
            <w:vAlign w:val="center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20"/>
              </w:rPr>
              <w:t>适合正式面诊演示，关注模型真实性和可解释性。</w:t>
            </w:r>
          </w:p>
        </w:tc>
      </w:tr>
      <w:tr>
        <w:tc>
          <w:tcPr>
            <w:tcW w:type="dxa" w:w="1701"/>
            <w:vAlign w:val="center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20"/>
              </w:rPr>
              <w:t>高保真扩展</w:t>
            </w:r>
          </w:p>
        </w:tc>
        <w:tc>
          <w:tcPr>
            <w:tcW w:type="dxa" w:w="3969"/>
            <w:vAlign w:val="center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20"/>
              </w:rPr>
              <w:t>引入 MICA/DECA/EMOCA 等更强初始化模型，完善红区、色沉、皱纹等皮肤分析图层</w:t>
            </w:r>
          </w:p>
        </w:tc>
        <w:tc>
          <w:tcPr>
            <w:tcW w:type="dxa" w:w="3402"/>
            <w:vAlign w:val="center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20"/>
              </w:rPr>
              <w:t>适合作为后续增强建设内容，关注算法效果和临床/业务可用性。</w:t>
            </w:r>
          </w:p>
        </w:tc>
      </w:tr>
    </w:tbl>
    <w:p/>
    <w:p>
      <w:r>
        <w:drawing>
          <wp:inline xmlns:a="http://schemas.openxmlformats.org/drawingml/2006/main" xmlns:pic="http://schemas.openxmlformats.org/drawingml/2006/picture">
            <wp:extent cx="4500000" cy="3637833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render_expected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500000" cy="363783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微软雅黑" w:hAnsi="微软雅黑" w:eastAsia="微软雅黑"/>
          <w:i/>
          <w:color w:val="595959"/>
          <w:sz w:val="18"/>
        </w:rPr>
        <w:t>图2 3D 人脸模型交互展示预期效果参考</w:t>
      </w:r>
    </w:p>
    <w:p>
      <w:r>
        <w:drawing>
          <wp:inline xmlns:a="http://schemas.openxmlformats.org/drawingml/2006/main" xmlns:pic="http://schemas.openxmlformats.org/drawingml/2006/picture">
            <wp:extent cx="4500000" cy="2806071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geometry_expected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500000" cy="280607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微软雅黑" w:hAnsi="微软雅黑" w:eastAsia="微软雅黑"/>
          <w:i/>
          <w:color w:val="595959"/>
          <w:sz w:val="18"/>
        </w:rPr>
        <w:t>图3 几何灰模细节展示预期效果参考</w:t>
      </w:r>
    </w:p>
    <w:p>
      <w:pPr>
        <w:pStyle w:val="Heading1"/>
      </w:pPr>
      <w:r>
        <w:rPr>
          <w:rFonts w:ascii="微软雅黑" w:hAnsi="微软雅黑" w:eastAsia="微软雅黑"/>
          <w:color w:val="1F4E79"/>
        </w:rPr>
        <w:t>三、拟建设功能范围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286"/>
        <w:gridCol w:w="3286"/>
        <w:gridCol w:w="3286"/>
      </w:tblGrid>
      <w:tr>
        <w:tc>
          <w:tcPr>
            <w:tcW w:type="dxa" w:w="1701"/>
            <w:shd w:fill="1F4E79"/>
            <w:vAlign w:val="cente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功能模块</w:t>
            </w:r>
          </w:p>
        </w:tc>
        <w:tc>
          <w:tcPr>
            <w:tcW w:type="dxa" w:w="4535"/>
            <w:shd w:fill="1F4E79"/>
            <w:vAlign w:val="cente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拟建设内容</w:t>
            </w:r>
          </w:p>
        </w:tc>
        <w:tc>
          <w:tcPr>
            <w:tcW w:type="dxa" w:w="2835"/>
            <w:shd w:fill="1F4E79"/>
            <w:vAlign w:val="cente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预期交付物</w:t>
            </w:r>
          </w:p>
        </w:tc>
      </w:tr>
      <w:tr>
        <w:tc>
          <w:tcPr>
            <w:tcW w:type="dxa" w:w="1701"/>
            <w:vAlign w:val="center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20"/>
              </w:rPr>
              <w:t>三视图采集与导入</w:t>
            </w:r>
          </w:p>
        </w:tc>
        <w:tc>
          <w:tcPr>
            <w:tcW w:type="dxa" w:w="4535"/>
            <w:vAlign w:val="center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20"/>
              </w:rPr>
              <w:t>支持正脸、左侧、右侧照片导入；建议增加采集质量提示、角度提示、光照提示和缺失检查。</w:t>
            </w:r>
          </w:p>
        </w:tc>
        <w:tc>
          <w:tcPr>
            <w:tcW w:type="dxa" w:w="2835"/>
            <w:vAlign w:val="center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20"/>
              </w:rPr>
              <w:t>图片上传页面、采集规范、输入质量校验逻辑。</w:t>
            </w:r>
          </w:p>
        </w:tc>
      </w:tr>
      <w:tr>
        <w:tc>
          <w:tcPr>
            <w:tcW w:type="dxa" w:w="1701"/>
            <w:vAlign w:val="center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20"/>
              </w:rPr>
              <w:t>数据预处理</w:t>
            </w:r>
          </w:p>
        </w:tc>
        <w:tc>
          <w:tcPr>
            <w:tcW w:type="dxa" w:w="4535"/>
            <w:vAlign w:val="center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20"/>
              </w:rPr>
              <w:t>完成图像缩放、裁切、关键点检测、人脸区域分割、背景处理和调试图输出。</w:t>
            </w:r>
          </w:p>
        </w:tc>
        <w:tc>
          <w:tcPr>
            <w:tcW w:type="dxa" w:w="2835"/>
            <w:vAlign w:val="center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20"/>
              </w:rPr>
              <w:t>预处理脚本、关键点图、Mask 图、错误提示。</w:t>
            </w:r>
          </w:p>
        </w:tc>
      </w:tr>
      <w:tr>
        <w:tc>
          <w:tcPr>
            <w:tcW w:type="dxa" w:w="1701"/>
            <w:vAlign w:val="center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20"/>
              </w:rPr>
              <w:t>3D 几何重建</w:t>
            </w:r>
          </w:p>
        </w:tc>
        <w:tc>
          <w:tcPr>
            <w:tcW w:type="dxa" w:w="4535"/>
            <w:vAlign w:val="center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20"/>
              </w:rPr>
              <w:t>基于 FLAME/3DMM 完成共享身份形状拟合；接入 MICA/DECA 等初始化能力，提升侧脸、鼻梁、下颌和轮廓真实性。</w:t>
            </w:r>
          </w:p>
        </w:tc>
        <w:tc>
          <w:tcPr>
            <w:tcW w:type="dxa" w:w="2835"/>
            <w:vAlign w:val="center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20"/>
              </w:rPr>
              <w:t>OBJ/GLB 模型、相机参数、重投影调试图、初始化参数文件。</w:t>
            </w:r>
          </w:p>
        </w:tc>
      </w:tr>
      <w:tr>
        <w:tc>
          <w:tcPr>
            <w:tcW w:type="dxa" w:w="1701"/>
            <w:vAlign w:val="center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20"/>
              </w:rPr>
              <w:t>纹理融合与修复</w:t>
            </w:r>
          </w:p>
        </w:tc>
        <w:tc>
          <w:tcPr>
            <w:tcW w:type="dxa" w:w="4535"/>
            <w:vAlign w:val="center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20"/>
              </w:rPr>
              <w:t>将多视角照片映射到 UV 空间，处理亮度色差、接缝、孔洞和不可见区域，生成 2K 级纹理贴图。</w:t>
            </w:r>
          </w:p>
        </w:tc>
        <w:tc>
          <w:tcPr>
            <w:tcW w:type="dxa" w:w="2835"/>
            <w:vAlign w:val="center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20"/>
              </w:rPr>
              <w:t>UV 纹理图、来源视图图、置信度图、GLB 材质。</w:t>
            </w:r>
          </w:p>
        </w:tc>
      </w:tr>
      <w:tr>
        <w:tc>
          <w:tcPr>
            <w:tcW w:type="dxa" w:w="1701"/>
            <w:vAlign w:val="center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20"/>
              </w:rPr>
              <w:t>皮肤分析图层</w:t>
            </w:r>
          </w:p>
        </w:tc>
        <w:tc>
          <w:tcPr>
            <w:tcW w:type="dxa" w:w="4535"/>
            <w:vAlign w:val="center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20"/>
              </w:rPr>
              <w:t>拟实现红区、色沉、纹理/皱纹等分析图层，并支持与 3D 模型或二维报告联动。</w:t>
            </w:r>
          </w:p>
        </w:tc>
        <w:tc>
          <w:tcPr>
            <w:tcW w:type="dxa" w:w="2835"/>
            <w:vAlign w:val="center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20"/>
              </w:rPr>
              <w:t>分析图层、指标说明、区域标注和报告字段。</w:t>
            </w:r>
          </w:p>
        </w:tc>
      </w:tr>
      <w:tr>
        <w:tc>
          <w:tcPr>
            <w:tcW w:type="dxa" w:w="1701"/>
            <w:vAlign w:val="center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20"/>
              </w:rPr>
              <w:t>Web 端展示</w:t>
            </w:r>
          </w:p>
        </w:tc>
        <w:tc>
          <w:tcPr>
            <w:tcW w:type="dxa" w:w="4535"/>
            <w:vAlign w:val="center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20"/>
              </w:rPr>
              <w:t>提供模型旋转、缩放、平移、图层切换、任务列表、模型下载和客户档案查看。</w:t>
            </w:r>
          </w:p>
        </w:tc>
        <w:tc>
          <w:tcPr>
            <w:tcW w:type="dxa" w:w="2835"/>
            <w:vAlign w:val="center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20"/>
              </w:rPr>
              <w:t>前端页面、Three.js 查看器、交互控件。</w:t>
            </w:r>
          </w:p>
        </w:tc>
      </w:tr>
      <w:tr>
        <w:tc>
          <w:tcPr>
            <w:tcW w:type="dxa" w:w="1701"/>
            <w:vAlign w:val="center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20"/>
              </w:rPr>
              <w:t>后台服务与接口</w:t>
            </w:r>
          </w:p>
        </w:tc>
        <w:tc>
          <w:tcPr>
            <w:tcW w:type="dxa" w:w="4535"/>
            <w:vAlign w:val="center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20"/>
              </w:rPr>
              <w:t>提供会话创建、进度推送、模型下载、任务状态查询、数据归档和异常处理接口。</w:t>
            </w:r>
          </w:p>
        </w:tc>
        <w:tc>
          <w:tcPr>
            <w:tcW w:type="dxa" w:w="2835"/>
            <w:vAlign w:val="center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20"/>
              </w:rPr>
              <w:t>FastAPI 服务、数据库表、接口文档。</w:t>
            </w:r>
          </w:p>
        </w:tc>
      </w:tr>
      <w:tr>
        <w:tc>
          <w:tcPr>
            <w:tcW w:type="dxa" w:w="1701"/>
            <w:vAlign w:val="center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20"/>
              </w:rPr>
              <w:t>测试与部署</w:t>
            </w:r>
          </w:p>
        </w:tc>
        <w:tc>
          <w:tcPr>
            <w:tcW w:type="dxa" w:w="4535"/>
            <w:vAlign w:val="center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20"/>
              </w:rPr>
              <w:t>完成样本测试、性能测试、异常流程测试、部署脚本和使用说明。</w:t>
            </w:r>
          </w:p>
        </w:tc>
        <w:tc>
          <w:tcPr>
            <w:tcW w:type="dxa" w:w="2835"/>
            <w:vAlign w:val="center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20"/>
              </w:rPr>
              <w:t>测试报告、部署文档、运维说明、验收材料。</w:t>
            </w:r>
          </w:p>
        </w:tc>
      </w:tr>
    </w:tbl>
    <w:p/>
    <w:p>
      <w:r>
        <w:drawing>
          <wp:inline xmlns:a="http://schemas.openxmlformats.org/drawingml/2006/main" xmlns:pic="http://schemas.openxmlformats.org/drawingml/2006/picture">
            <wp:extent cx="5580000" cy="2650500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hree_view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580000" cy="26505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微软雅黑" w:hAnsi="微软雅黑" w:eastAsia="微软雅黑"/>
          <w:i/>
          <w:color w:val="595959"/>
          <w:sz w:val="18"/>
        </w:rPr>
        <w:t>图4 三视图采集与重建输入示意</w:t>
      </w:r>
    </w:p>
    <w:p>
      <w:r>
        <w:drawing>
          <wp:inline xmlns:a="http://schemas.openxmlformats.org/drawingml/2006/main" xmlns:pic="http://schemas.openxmlformats.org/drawingml/2006/picture">
            <wp:extent cx="4500000" cy="4500000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landmark_reproj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500000" cy="450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微软雅黑" w:hAnsi="微软雅黑" w:eastAsia="微软雅黑"/>
          <w:i/>
          <w:color w:val="595959"/>
          <w:sz w:val="18"/>
        </w:rPr>
        <w:t>图5 关键点重投影与几何拟合质量检查示意</w:t>
      </w:r>
    </w:p>
    <w:p>
      <w:r>
        <w:drawing>
          <wp:inline xmlns:a="http://schemas.openxmlformats.org/drawingml/2006/main" xmlns:pic="http://schemas.openxmlformats.org/drawingml/2006/picture">
            <wp:extent cx="4140000" cy="4140000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uv_texture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4140000" cy="414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微软雅黑" w:hAnsi="微软雅黑" w:eastAsia="微软雅黑"/>
          <w:i/>
          <w:color w:val="595959"/>
          <w:sz w:val="18"/>
        </w:rPr>
        <w:t>图6 UV 纹理贴图与多视角融合效果参考</w:t>
      </w:r>
    </w:p>
    <w:p>
      <w:pPr>
        <w:pStyle w:val="Heading1"/>
      </w:pPr>
      <w:r>
        <w:rPr>
          <w:rFonts w:ascii="微软雅黑" w:hAnsi="微软雅黑" w:eastAsia="微软雅黑"/>
          <w:color w:val="1F4E79"/>
        </w:rPr>
        <w:t>四、技术路线建议</w:t>
      </w:r>
    </w:p>
    <w:p>
      <w:pPr>
        <w:spacing w:line="324" w:lineRule="auto"/>
        <w:ind w:firstLine="420"/>
      </w:pPr>
      <w:r>
        <w:rPr>
          <w:rFonts w:ascii="微软雅黑" w:hAnsi="微软雅黑" w:eastAsia="微软雅黑"/>
          <w:sz w:val="21"/>
        </w:rPr>
        <w:t>为兼顾可交付性与后续效果提升，建议采用“工程主链路先稳定、算法能力分阶段增强”的技术路线。第一阶段建立可运行的端到端系统，第二阶段针对几何初始化、纹理融合和皮肤分析逐项优化，第三阶段再根据样本效果决定是否引入更强的 dense reconstruction 或光度优化方案。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286"/>
        <w:gridCol w:w="3286"/>
        <w:gridCol w:w="3286"/>
      </w:tblGrid>
      <w:tr>
        <w:tc>
          <w:tcPr>
            <w:tcW w:type="dxa" w:w="1814"/>
            <w:shd w:fill="1F4E79"/>
            <w:vAlign w:val="cente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技术环节</w:t>
            </w:r>
          </w:p>
        </w:tc>
        <w:tc>
          <w:tcPr>
            <w:tcW w:type="dxa" w:w="4535"/>
            <w:shd w:fill="1F4E79"/>
            <w:vAlign w:val="cente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建议方案</w:t>
            </w:r>
          </w:p>
        </w:tc>
        <w:tc>
          <w:tcPr>
            <w:tcW w:type="dxa" w:w="2721"/>
            <w:shd w:fill="1F4E79"/>
            <w:vAlign w:val="cente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甲方可见价值</w:t>
            </w:r>
          </w:p>
        </w:tc>
      </w:tr>
      <w:tr>
        <w:tc>
          <w:tcPr>
            <w:tcW w:type="dxa" w:w="1814"/>
            <w:vAlign w:val="center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20"/>
              </w:rPr>
              <w:t>采集规范</w:t>
            </w:r>
          </w:p>
        </w:tc>
        <w:tc>
          <w:tcPr>
            <w:tcW w:type="dxa" w:w="4535"/>
            <w:vAlign w:val="center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20"/>
              </w:rPr>
              <w:t>固定相机距离、光照、背景、角度和分辨率，必要时提供采集引导界面。</w:t>
            </w:r>
          </w:p>
        </w:tc>
        <w:tc>
          <w:tcPr>
            <w:tcW w:type="dxa" w:w="2721"/>
            <w:vAlign w:val="center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20"/>
              </w:rPr>
              <w:t>减少重建失败率，让结果更稳定。</w:t>
            </w:r>
          </w:p>
        </w:tc>
      </w:tr>
      <w:tr>
        <w:tc>
          <w:tcPr>
            <w:tcW w:type="dxa" w:w="1814"/>
            <w:vAlign w:val="center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20"/>
              </w:rPr>
              <w:t>关键点与分割</w:t>
            </w:r>
          </w:p>
        </w:tc>
        <w:tc>
          <w:tcPr>
            <w:tcW w:type="dxa" w:w="4535"/>
            <w:vAlign w:val="center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20"/>
              </w:rPr>
              <w:t>使用 MediaPipe Face Mesh、面部轮廓 Mask、质量检测和调试图。</w:t>
            </w:r>
          </w:p>
        </w:tc>
        <w:tc>
          <w:tcPr>
            <w:tcW w:type="dxa" w:w="2721"/>
            <w:vAlign w:val="center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20"/>
              </w:rPr>
              <w:t>发现照片不合格原因，降低人工排查成本。</w:t>
            </w:r>
          </w:p>
        </w:tc>
      </w:tr>
      <w:tr>
        <w:tc>
          <w:tcPr>
            <w:tcW w:type="dxa" w:w="1814"/>
            <w:vAlign w:val="center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20"/>
              </w:rPr>
              <w:t>身份形状初始化</w:t>
            </w:r>
          </w:p>
        </w:tc>
        <w:tc>
          <w:tcPr>
            <w:tcW w:type="dxa" w:w="4535"/>
            <w:vAlign w:val="center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20"/>
              </w:rPr>
              <w:t>优先建设 MICA + DECA/EMOCA 初始化后端，并保留 legacy fallback。</w:t>
            </w:r>
          </w:p>
        </w:tc>
        <w:tc>
          <w:tcPr>
            <w:tcW w:type="dxa" w:w="2721"/>
            <w:vAlign w:val="center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20"/>
              </w:rPr>
              <w:t>提升脸型、侧脸、鼻部和下颌线真实性。</w:t>
            </w:r>
          </w:p>
        </w:tc>
      </w:tr>
      <w:tr>
        <w:tc>
          <w:tcPr>
            <w:tcW w:type="dxa" w:w="1814"/>
            <w:vAlign w:val="center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20"/>
              </w:rPr>
              <w:t>多视图优化</w:t>
            </w:r>
          </w:p>
        </w:tc>
        <w:tc>
          <w:tcPr>
            <w:tcW w:type="dxa" w:w="4535"/>
            <w:vAlign w:val="center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20"/>
              </w:rPr>
              <w:t>共享 identity shape，按视图优化 pose/expression/camera，输出重投影误差。</w:t>
            </w:r>
          </w:p>
        </w:tc>
        <w:tc>
          <w:tcPr>
            <w:tcW w:type="dxa" w:w="2721"/>
            <w:vAlign w:val="center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20"/>
              </w:rPr>
              <w:t>让模型效果有量化依据。</w:t>
            </w:r>
          </w:p>
        </w:tc>
      </w:tr>
      <w:tr>
        <w:tc>
          <w:tcPr>
            <w:tcW w:type="dxa" w:w="1814"/>
            <w:vAlign w:val="center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20"/>
              </w:rPr>
              <w:t>纹理处理</w:t>
            </w:r>
          </w:p>
        </w:tc>
        <w:tc>
          <w:tcPr>
            <w:tcW w:type="dxa" w:w="4535"/>
            <w:vAlign w:val="center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20"/>
              </w:rPr>
              <w:t>按可见性、法线夹角和视图置信度融合纹理，使用 inpaint/Poisson/颜色匹配修复接缝。</w:t>
            </w:r>
          </w:p>
        </w:tc>
        <w:tc>
          <w:tcPr>
            <w:tcW w:type="dxa" w:w="2721"/>
            <w:vAlign w:val="center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20"/>
              </w:rPr>
              <w:t>减少明显拼接、黑洞、色差和拉伸。</w:t>
            </w:r>
          </w:p>
        </w:tc>
      </w:tr>
      <w:tr>
        <w:tc>
          <w:tcPr>
            <w:tcW w:type="dxa" w:w="1814"/>
            <w:vAlign w:val="center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20"/>
              </w:rPr>
              <w:t>前端渲染</w:t>
            </w:r>
          </w:p>
        </w:tc>
        <w:tc>
          <w:tcPr>
            <w:tcW w:type="dxa" w:w="4535"/>
            <w:vAlign w:val="center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20"/>
              </w:rPr>
              <w:t>Three.js/GLB 展示，支持纹理、灰模、分析图层切换。</w:t>
            </w:r>
          </w:p>
        </w:tc>
        <w:tc>
          <w:tcPr>
            <w:tcW w:type="dxa" w:w="2721"/>
            <w:vAlign w:val="center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20"/>
              </w:rPr>
              <w:t>便于面诊演示和客户沟通。</w:t>
            </w:r>
          </w:p>
        </w:tc>
      </w:tr>
      <w:tr>
        <w:tc>
          <w:tcPr>
            <w:tcW w:type="dxa" w:w="1814"/>
            <w:vAlign w:val="center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20"/>
              </w:rPr>
              <w:t>服务接口</w:t>
            </w:r>
          </w:p>
        </w:tc>
        <w:tc>
          <w:tcPr>
            <w:tcW w:type="dxa" w:w="4535"/>
            <w:vAlign w:val="center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20"/>
              </w:rPr>
              <w:t>FastAPI + SQLite/可扩展数据库 + WebSocket 进度推送。</w:t>
            </w:r>
          </w:p>
        </w:tc>
        <w:tc>
          <w:tcPr>
            <w:tcW w:type="dxa" w:w="2721"/>
            <w:vAlign w:val="center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20"/>
              </w:rPr>
              <w:t>方便与现有业务系统集成。</w:t>
            </w:r>
          </w:p>
        </w:tc>
      </w:tr>
    </w:tbl>
    <w:p/>
    <w:p>
      <w:pPr>
        <w:pStyle w:val="Heading1"/>
      </w:pPr>
      <w:r>
        <w:rPr>
          <w:rFonts w:ascii="微软雅黑" w:hAnsi="微软雅黑" w:eastAsia="微软雅黑"/>
          <w:color w:val="1F4E79"/>
        </w:rPr>
        <w:t>五、预期工作量拆分</w:t>
      </w:r>
    </w:p>
    <w:p>
      <w:pPr>
        <w:spacing w:line="324" w:lineRule="auto"/>
        <w:ind w:firstLine="420"/>
      </w:pPr>
      <w:r>
        <w:rPr>
          <w:rFonts w:ascii="微软雅黑" w:hAnsi="微软雅黑" w:eastAsia="微软雅黑"/>
          <w:sz w:val="21"/>
        </w:rPr>
        <w:t>以下工作量为项目实施建议口径，实际周期需结合甲方确认的部署环境、硬件设备、样本数量、算法精度要求、是否需要医美业务系统对接等因素进一步评估。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64"/>
        <w:gridCol w:w="2464"/>
        <w:gridCol w:w="2464"/>
        <w:gridCol w:w="2464"/>
      </w:tblGrid>
      <w:tr>
        <w:tc>
          <w:tcPr>
            <w:tcW w:type="dxa" w:w="1701"/>
            <w:shd w:fill="1F4E79"/>
            <w:vAlign w:val="cente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阶段</w:t>
            </w:r>
          </w:p>
        </w:tc>
        <w:tc>
          <w:tcPr>
            <w:tcW w:type="dxa" w:w="3969"/>
            <w:shd w:fill="1F4E79"/>
            <w:vAlign w:val="cente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主要工作</w:t>
            </w:r>
          </w:p>
        </w:tc>
        <w:tc>
          <w:tcPr>
            <w:tcW w:type="dxa" w:w="1417"/>
            <w:shd w:fill="1F4E79"/>
            <w:vAlign w:val="cente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建议工作量</w:t>
            </w:r>
          </w:p>
        </w:tc>
        <w:tc>
          <w:tcPr>
            <w:tcW w:type="dxa" w:w="2268"/>
            <w:shd w:fill="1F4E79"/>
            <w:vAlign w:val="cente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关键交付物</w:t>
            </w:r>
          </w:p>
        </w:tc>
      </w:tr>
      <w:tr>
        <w:tc>
          <w:tcPr>
            <w:tcW w:type="dxa" w:w="1701"/>
            <w:vAlign w:val="center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20"/>
              </w:rPr>
              <w:t>阶段1：需求确认与原型设计</w:t>
            </w:r>
          </w:p>
        </w:tc>
        <w:tc>
          <w:tcPr>
            <w:tcW w:type="dxa" w:w="3969"/>
            <w:vAlign w:val="center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20"/>
              </w:rPr>
              <w:t>确认采集流程、用户角色、展示页面、报告内容、验收指标和部署环境。</w:t>
            </w:r>
          </w:p>
        </w:tc>
        <w:tc>
          <w:tcPr>
            <w:tcW w:type="dxa" w:w="1417"/>
            <w:vAlign w:val="center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20"/>
              </w:rPr>
              <w:t>约 1-2 周</w:t>
            </w:r>
          </w:p>
        </w:tc>
        <w:tc>
          <w:tcPr>
            <w:tcW w:type="dxa" w:w="2268"/>
            <w:vAlign w:val="center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20"/>
              </w:rPr>
              <w:t>需求规格说明、原型图、验收清单初稿。</w:t>
            </w:r>
          </w:p>
        </w:tc>
      </w:tr>
      <w:tr>
        <w:tc>
          <w:tcPr>
            <w:tcW w:type="dxa" w:w="1701"/>
            <w:vAlign w:val="center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20"/>
              </w:rPr>
              <w:t>阶段2：采集与数据管理</w:t>
            </w:r>
          </w:p>
        </w:tc>
        <w:tc>
          <w:tcPr>
            <w:tcW w:type="dxa" w:w="3969"/>
            <w:vAlign w:val="center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20"/>
              </w:rPr>
              <w:t>建设图片上传、会话管理、文件归档、输入校验和质量提示。</w:t>
            </w:r>
          </w:p>
        </w:tc>
        <w:tc>
          <w:tcPr>
            <w:tcW w:type="dxa" w:w="1417"/>
            <w:vAlign w:val="center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20"/>
              </w:rPr>
              <w:t>约 1-2 周</w:t>
            </w:r>
          </w:p>
        </w:tc>
        <w:tc>
          <w:tcPr>
            <w:tcW w:type="dxa" w:w="2268"/>
            <w:vAlign w:val="center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20"/>
              </w:rPr>
              <w:t>采集端/上传端、数据库结构、数据目录规范。</w:t>
            </w:r>
          </w:p>
        </w:tc>
      </w:tr>
      <w:tr>
        <w:tc>
          <w:tcPr>
            <w:tcW w:type="dxa" w:w="1701"/>
            <w:vAlign w:val="center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20"/>
              </w:rPr>
              <w:t>阶段3：重建算法主链路</w:t>
            </w:r>
          </w:p>
        </w:tc>
        <w:tc>
          <w:tcPr>
            <w:tcW w:type="dxa" w:w="3969"/>
            <w:vAlign w:val="center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20"/>
              </w:rPr>
              <w:t>完善预处理、几何重建、纹理融合、GLB 导出和调试输出。</w:t>
            </w:r>
          </w:p>
        </w:tc>
        <w:tc>
          <w:tcPr>
            <w:tcW w:type="dxa" w:w="1417"/>
            <w:vAlign w:val="center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20"/>
              </w:rPr>
              <w:t>约 3-5 周</w:t>
            </w:r>
          </w:p>
        </w:tc>
        <w:tc>
          <w:tcPr>
            <w:tcW w:type="dxa" w:w="2268"/>
            <w:vAlign w:val="center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20"/>
              </w:rPr>
              <w:t>模型生成服务、调试图、GLB 文件、算法参数说明。</w:t>
            </w:r>
          </w:p>
        </w:tc>
      </w:tr>
      <w:tr>
        <w:tc>
          <w:tcPr>
            <w:tcW w:type="dxa" w:w="1701"/>
            <w:vAlign w:val="center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20"/>
              </w:rPr>
              <w:t>阶段4：皮肤分析图层</w:t>
            </w:r>
          </w:p>
        </w:tc>
        <w:tc>
          <w:tcPr>
            <w:tcW w:type="dxa" w:w="3969"/>
            <w:vAlign w:val="center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20"/>
              </w:rPr>
              <w:t>实现红区、色沉、纹理/皱纹等基础图层，建立指标展示和报告字段。</w:t>
            </w:r>
          </w:p>
        </w:tc>
        <w:tc>
          <w:tcPr>
            <w:tcW w:type="dxa" w:w="1417"/>
            <w:vAlign w:val="center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20"/>
              </w:rPr>
              <w:t>约 2-4 周</w:t>
            </w:r>
          </w:p>
        </w:tc>
        <w:tc>
          <w:tcPr>
            <w:tcW w:type="dxa" w:w="2268"/>
            <w:vAlign w:val="center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20"/>
              </w:rPr>
              <w:t>分析图层、指标说明、报告页面。</w:t>
            </w:r>
          </w:p>
        </w:tc>
      </w:tr>
      <w:tr>
        <w:tc>
          <w:tcPr>
            <w:tcW w:type="dxa" w:w="1701"/>
            <w:vAlign w:val="center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20"/>
              </w:rPr>
              <w:t>阶段5：前后端集成</w:t>
            </w:r>
          </w:p>
        </w:tc>
        <w:tc>
          <w:tcPr>
            <w:tcW w:type="dxa" w:w="3969"/>
            <w:vAlign w:val="center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20"/>
              </w:rPr>
              <w:t>建设 Web 查看器、任务进度、模型下载、历史记录和异常提示。</w:t>
            </w:r>
          </w:p>
        </w:tc>
        <w:tc>
          <w:tcPr>
            <w:tcW w:type="dxa" w:w="1417"/>
            <w:vAlign w:val="center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20"/>
              </w:rPr>
              <w:t>约 2-3 周</w:t>
            </w:r>
          </w:p>
        </w:tc>
        <w:tc>
          <w:tcPr>
            <w:tcW w:type="dxa" w:w="2268"/>
            <w:vAlign w:val="center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20"/>
              </w:rPr>
              <w:t>可演示系统、接口文档、页面联调记录。</w:t>
            </w:r>
          </w:p>
        </w:tc>
      </w:tr>
      <w:tr>
        <w:tc>
          <w:tcPr>
            <w:tcW w:type="dxa" w:w="1701"/>
            <w:vAlign w:val="center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20"/>
              </w:rPr>
              <w:t>阶段6：测试部署与验收</w:t>
            </w:r>
          </w:p>
        </w:tc>
        <w:tc>
          <w:tcPr>
            <w:tcW w:type="dxa" w:w="3969"/>
            <w:vAlign w:val="center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20"/>
              </w:rPr>
              <w:t>完成样本测试、性能优化、部署、培训和验收材料整理。</w:t>
            </w:r>
          </w:p>
        </w:tc>
        <w:tc>
          <w:tcPr>
            <w:tcW w:type="dxa" w:w="1417"/>
            <w:vAlign w:val="center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20"/>
              </w:rPr>
              <w:t>约 1-2 周</w:t>
            </w:r>
          </w:p>
        </w:tc>
        <w:tc>
          <w:tcPr>
            <w:tcW w:type="dxa" w:w="2268"/>
            <w:vAlign w:val="center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20"/>
              </w:rPr>
              <w:t>测试报告、部署文档、操作手册、验收报告。</w:t>
            </w:r>
          </w:p>
        </w:tc>
      </w:tr>
    </w:tbl>
    <w:p/>
    <w:p>
      <w:r>
        <w:drawing>
          <wp:inline xmlns:a="http://schemas.openxmlformats.org/drawingml/2006/main" xmlns:pic="http://schemas.openxmlformats.org/drawingml/2006/picture">
            <wp:extent cx="5760000" cy="2880000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lan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288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微软雅黑" w:hAnsi="微软雅黑" w:eastAsia="微软雅黑"/>
          <w:i/>
          <w:color w:val="595959"/>
          <w:sz w:val="18"/>
        </w:rPr>
        <w:t>图7 建议实施阶段与预期工作量分布</w:t>
      </w:r>
    </w:p>
    <w:p>
      <w:pPr>
        <w:pStyle w:val="Heading1"/>
      </w:pPr>
      <w:r>
        <w:rPr>
          <w:rFonts w:ascii="微软雅黑" w:hAnsi="微软雅黑" w:eastAsia="微软雅黑"/>
          <w:color w:val="1F4E79"/>
        </w:rPr>
        <w:t>六、交付成果清单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286"/>
        <w:gridCol w:w="3286"/>
        <w:gridCol w:w="3286"/>
      </w:tblGrid>
      <w:tr>
        <w:tc>
          <w:tcPr>
            <w:tcW w:type="dxa" w:w="1701"/>
            <w:shd w:fill="1F4E79"/>
            <w:vAlign w:val="cente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类别</w:t>
            </w:r>
          </w:p>
        </w:tc>
        <w:tc>
          <w:tcPr>
            <w:tcW w:type="dxa" w:w="4819"/>
            <w:shd w:fill="1F4E79"/>
            <w:vAlign w:val="cente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交付内容</w:t>
            </w:r>
          </w:p>
        </w:tc>
        <w:tc>
          <w:tcPr>
            <w:tcW w:type="dxa" w:w="2551"/>
            <w:shd w:fill="1F4E79"/>
            <w:vAlign w:val="cente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验收方式</w:t>
            </w:r>
          </w:p>
        </w:tc>
      </w:tr>
      <w:tr>
        <w:tc>
          <w:tcPr>
            <w:tcW w:type="dxa" w:w="1701"/>
            <w:vAlign w:val="center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20"/>
              </w:rPr>
              <w:t>软件系统</w:t>
            </w:r>
          </w:p>
        </w:tc>
        <w:tc>
          <w:tcPr>
            <w:tcW w:type="dxa" w:w="4819"/>
            <w:vAlign w:val="center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20"/>
              </w:rPr>
              <w:t>前端页面、后端服务、数据库、任务处理流程、模型查看器。</w:t>
            </w:r>
          </w:p>
        </w:tc>
        <w:tc>
          <w:tcPr>
            <w:tcW w:type="dxa" w:w="2551"/>
            <w:vAlign w:val="center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20"/>
              </w:rPr>
              <w:t>在测试环境或甲方指定环境完成演示。</w:t>
            </w:r>
          </w:p>
        </w:tc>
      </w:tr>
      <w:tr>
        <w:tc>
          <w:tcPr>
            <w:tcW w:type="dxa" w:w="1701"/>
            <w:vAlign w:val="center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20"/>
              </w:rPr>
              <w:t>算法模块</w:t>
            </w:r>
          </w:p>
        </w:tc>
        <w:tc>
          <w:tcPr>
            <w:tcW w:type="dxa" w:w="4819"/>
            <w:vAlign w:val="center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20"/>
              </w:rPr>
              <w:t>预处理、几何拟合、纹理融合、皮肤分析、模型导出。</w:t>
            </w:r>
          </w:p>
        </w:tc>
        <w:tc>
          <w:tcPr>
            <w:tcW w:type="dxa" w:w="2551"/>
            <w:vAlign w:val="center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20"/>
              </w:rPr>
              <w:t>使用双方确认样本跑通并输出结果。</w:t>
            </w:r>
          </w:p>
        </w:tc>
      </w:tr>
      <w:tr>
        <w:tc>
          <w:tcPr>
            <w:tcW w:type="dxa" w:w="1701"/>
            <w:vAlign w:val="center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20"/>
              </w:rPr>
              <w:t>数据与模型文件</w:t>
            </w:r>
          </w:p>
        </w:tc>
        <w:tc>
          <w:tcPr>
            <w:tcW w:type="dxa" w:w="4819"/>
            <w:vAlign w:val="center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20"/>
              </w:rPr>
              <w:t>GLB/OBJ、UV 纹理、相机参数、调试图、分析图层。</w:t>
            </w:r>
          </w:p>
        </w:tc>
        <w:tc>
          <w:tcPr>
            <w:tcW w:type="dxa" w:w="2551"/>
            <w:vAlign w:val="center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20"/>
              </w:rPr>
              <w:t>检查文件完整性、可打开性和命名规范。</w:t>
            </w:r>
          </w:p>
        </w:tc>
      </w:tr>
      <w:tr>
        <w:tc>
          <w:tcPr>
            <w:tcW w:type="dxa" w:w="1701"/>
            <w:vAlign w:val="center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20"/>
              </w:rPr>
              <w:t>接口文档</w:t>
            </w:r>
          </w:p>
        </w:tc>
        <w:tc>
          <w:tcPr>
            <w:tcW w:type="dxa" w:w="4819"/>
            <w:vAlign w:val="center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20"/>
              </w:rPr>
              <w:t>上传、查询、下载、进度、会话管理等接口说明。</w:t>
            </w:r>
          </w:p>
        </w:tc>
        <w:tc>
          <w:tcPr>
            <w:tcW w:type="dxa" w:w="2551"/>
            <w:vAlign w:val="center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20"/>
              </w:rPr>
              <w:t>按接口清单联调验证。</w:t>
            </w:r>
          </w:p>
        </w:tc>
      </w:tr>
      <w:tr>
        <w:tc>
          <w:tcPr>
            <w:tcW w:type="dxa" w:w="1701"/>
            <w:vAlign w:val="center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20"/>
              </w:rPr>
              <w:t>部署文档</w:t>
            </w:r>
          </w:p>
        </w:tc>
        <w:tc>
          <w:tcPr>
            <w:tcW w:type="dxa" w:w="4819"/>
            <w:vAlign w:val="center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20"/>
              </w:rPr>
              <w:t>环境依赖、模型权重、启动方式、目录说明、常见问题。</w:t>
            </w:r>
          </w:p>
        </w:tc>
        <w:tc>
          <w:tcPr>
            <w:tcW w:type="dxa" w:w="2551"/>
            <w:vAlign w:val="center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20"/>
              </w:rPr>
              <w:t>按文档完成一次独立部署或复核。</w:t>
            </w:r>
          </w:p>
        </w:tc>
      </w:tr>
      <w:tr>
        <w:tc>
          <w:tcPr>
            <w:tcW w:type="dxa" w:w="1701"/>
            <w:vAlign w:val="center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20"/>
              </w:rPr>
              <w:t>测试与验收材料</w:t>
            </w:r>
          </w:p>
        </w:tc>
        <w:tc>
          <w:tcPr>
            <w:tcW w:type="dxa" w:w="4819"/>
            <w:vAlign w:val="center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20"/>
              </w:rPr>
              <w:t>功能测试、样本测试、异常测试、性能记录和验收报告。</w:t>
            </w:r>
          </w:p>
        </w:tc>
        <w:tc>
          <w:tcPr>
            <w:tcW w:type="dxa" w:w="2551"/>
            <w:vAlign w:val="center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20"/>
              </w:rPr>
              <w:t>双方确认问题清单和验收结论。</w:t>
            </w:r>
          </w:p>
        </w:tc>
      </w:tr>
    </w:tbl>
    <w:p/>
    <w:p>
      <w:pPr>
        <w:pStyle w:val="Heading1"/>
      </w:pPr>
      <w:r>
        <w:rPr>
          <w:rFonts w:ascii="微软雅黑" w:hAnsi="微软雅黑" w:eastAsia="微软雅黑"/>
          <w:color w:val="1F4E79"/>
        </w:rPr>
        <w:t>七、验收标准建议</w:t>
      </w:r>
    </w:p>
    <w:p>
      <w:pPr>
        <w:spacing w:line="324" w:lineRule="auto"/>
        <w:ind w:firstLine="420"/>
      </w:pPr>
      <w:r>
        <w:rPr>
          <w:rFonts w:ascii="微软雅黑" w:hAnsi="微软雅黑" w:eastAsia="微软雅黑"/>
          <w:sz w:val="21"/>
        </w:rPr>
        <w:t>建议将验收分为功能验收、效果验收、性能验收和文档验收四类。对于算法效果，应避免只用单张图片主观判断，建议固定测试样本、固定拍摄规范、固定指标和人工复核流程。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286"/>
        <w:gridCol w:w="3286"/>
        <w:gridCol w:w="3286"/>
      </w:tblGrid>
      <w:tr>
        <w:tc>
          <w:tcPr>
            <w:tcW w:type="dxa" w:w="1701"/>
            <w:shd w:fill="1F4E79"/>
            <w:vAlign w:val="cente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验收项</w:t>
            </w:r>
          </w:p>
        </w:tc>
        <w:tc>
          <w:tcPr>
            <w:tcW w:type="dxa" w:w="4535"/>
            <w:shd w:fill="1F4E79"/>
            <w:vAlign w:val="cente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建议标准</w:t>
            </w:r>
          </w:p>
        </w:tc>
        <w:tc>
          <w:tcPr>
            <w:tcW w:type="dxa" w:w="2835"/>
            <w:shd w:fill="1F4E79"/>
            <w:vAlign w:val="cente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备注</w:t>
            </w:r>
          </w:p>
        </w:tc>
      </w:tr>
      <w:tr>
        <w:tc>
          <w:tcPr>
            <w:tcW w:type="dxa" w:w="1701"/>
            <w:vAlign w:val="center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20"/>
              </w:rPr>
              <w:t>流程完整性</w:t>
            </w:r>
          </w:p>
        </w:tc>
        <w:tc>
          <w:tcPr>
            <w:tcW w:type="dxa" w:w="4535"/>
            <w:vAlign w:val="center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20"/>
              </w:rPr>
              <w:t>三视图上传后可自动完成处理并生成可查看模型。</w:t>
            </w:r>
          </w:p>
        </w:tc>
        <w:tc>
          <w:tcPr>
            <w:tcW w:type="dxa" w:w="2835"/>
            <w:vAlign w:val="center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20"/>
              </w:rPr>
              <w:t>允许失败样本给出明确错误原因。</w:t>
            </w:r>
          </w:p>
        </w:tc>
      </w:tr>
      <w:tr>
        <w:tc>
          <w:tcPr>
            <w:tcW w:type="dxa" w:w="1701"/>
            <w:vAlign w:val="center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20"/>
              </w:rPr>
              <w:t>模型可视化</w:t>
            </w:r>
          </w:p>
        </w:tc>
        <w:tc>
          <w:tcPr>
            <w:tcW w:type="dxa" w:w="4535"/>
            <w:vAlign w:val="center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20"/>
              </w:rPr>
              <w:t>Web 端支持旋转、缩放、平移、模型加载和基础图层切换。</w:t>
            </w:r>
          </w:p>
        </w:tc>
        <w:tc>
          <w:tcPr>
            <w:tcW w:type="dxa" w:w="2835"/>
            <w:vAlign w:val="center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20"/>
              </w:rPr>
              <w:t>需兼容主流浏览器。</w:t>
            </w:r>
          </w:p>
        </w:tc>
      </w:tr>
      <w:tr>
        <w:tc>
          <w:tcPr>
            <w:tcW w:type="dxa" w:w="1701"/>
            <w:vAlign w:val="center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20"/>
              </w:rPr>
              <w:t>几何质量</w:t>
            </w:r>
          </w:p>
        </w:tc>
        <w:tc>
          <w:tcPr>
            <w:tcW w:type="dxa" w:w="4535"/>
            <w:vAlign w:val="center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20"/>
              </w:rPr>
              <w:t>正脸和侧脸轮廓基本一致，关键点重投影误差可输出并可复核。</w:t>
            </w:r>
          </w:p>
        </w:tc>
        <w:tc>
          <w:tcPr>
            <w:tcW w:type="dxa" w:w="2835"/>
            <w:vAlign w:val="center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20"/>
              </w:rPr>
              <w:t>高保真指标需按样本集单独确认。</w:t>
            </w:r>
          </w:p>
        </w:tc>
      </w:tr>
      <w:tr>
        <w:tc>
          <w:tcPr>
            <w:tcW w:type="dxa" w:w="1701"/>
            <w:vAlign w:val="center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20"/>
              </w:rPr>
              <w:t>纹理质量</w:t>
            </w:r>
          </w:p>
        </w:tc>
        <w:tc>
          <w:tcPr>
            <w:tcW w:type="dxa" w:w="4535"/>
            <w:vAlign w:val="center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20"/>
              </w:rPr>
              <w:t>主要面部区域无明显大面积黑洞、错位和严重色差。</w:t>
            </w:r>
          </w:p>
        </w:tc>
        <w:tc>
          <w:tcPr>
            <w:tcW w:type="dxa" w:w="2835"/>
            <w:vAlign w:val="center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20"/>
              </w:rPr>
              <w:t>耳部、发际线、遮挡区域可作为低置信区域说明。</w:t>
            </w:r>
          </w:p>
        </w:tc>
      </w:tr>
      <w:tr>
        <w:tc>
          <w:tcPr>
            <w:tcW w:type="dxa" w:w="1701"/>
            <w:vAlign w:val="center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20"/>
              </w:rPr>
              <w:t>皮肤图层</w:t>
            </w:r>
          </w:p>
        </w:tc>
        <w:tc>
          <w:tcPr>
            <w:tcW w:type="dxa" w:w="4535"/>
            <w:vAlign w:val="center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20"/>
              </w:rPr>
              <w:t>红区、色沉、纹理/皱纹图层可生成、可查看、可解释。</w:t>
            </w:r>
          </w:p>
        </w:tc>
        <w:tc>
          <w:tcPr>
            <w:tcW w:type="dxa" w:w="2835"/>
            <w:vAlign w:val="center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20"/>
              </w:rPr>
              <w:t>医学结论需谨慎表述，建议定位为辅助分析。</w:t>
            </w:r>
          </w:p>
        </w:tc>
      </w:tr>
      <w:tr>
        <w:tc>
          <w:tcPr>
            <w:tcW w:type="dxa" w:w="1701"/>
            <w:vAlign w:val="center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20"/>
              </w:rPr>
              <w:t>性能</w:t>
            </w:r>
          </w:p>
        </w:tc>
        <w:tc>
          <w:tcPr>
            <w:tcW w:type="dxa" w:w="4535"/>
            <w:vAlign w:val="center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20"/>
              </w:rPr>
              <w:t>单人重建耗时达到双方确认目标，例如 1-3 分钟内完成基础结果。</w:t>
            </w:r>
          </w:p>
        </w:tc>
        <w:tc>
          <w:tcPr>
            <w:tcW w:type="dxa" w:w="2835"/>
            <w:vAlign w:val="center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20"/>
              </w:rPr>
              <w:t>依赖 GPU、模型规模和图片分辨率。</w:t>
            </w:r>
          </w:p>
        </w:tc>
      </w:tr>
      <w:tr>
        <w:tc>
          <w:tcPr>
            <w:tcW w:type="dxa" w:w="1701"/>
            <w:vAlign w:val="center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20"/>
              </w:rPr>
              <w:t>稳定性</w:t>
            </w:r>
          </w:p>
        </w:tc>
        <w:tc>
          <w:tcPr>
            <w:tcW w:type="dxa" w:w="4535"/>
            <w:vAlign w:val="center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20"/>
              </w:rPr>
              <w:t>连续测试样本无服务崩溃，异常任务不影响后续任务。</w:t>
            </w:r>
          </w:p>
        </w:tc>
        <w:tc>
          <w:tcPr>
            <w:tcW w:type="dxa" w:w="2835"/>
            <w:vAlign w:val="center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20"/>
              </w:rPr>
              <w:t>需记录错误日志。</w:t>
            </w:r>
          </w:p>
        </w:tc>
      </w:tr>
      <w:tr>
        <w:tc>
          <w:tcPr>
            <w:tcW w:type="dxa" w:w="1701"/>
            <w:vAlign w:val="center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20"/>
              </w:rPr>
              <w:t>文档</w:t>
            </w:r>
          </w:p>
        </w:tc>
        <w:tc>
          <w:tcPr>
            <w:tcW w:type="dxa" w:w="4535"/>
            <w:vAlign w:val="center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20"/>
              </w:rPr>
              <w:t>提供部署、使用、接口和运维说明。</w:t>
            </w:r>
          </w:p>
        </w:tc>
        <w:tc>
          <w:tcPr>
            <w:tcW w:type="dxa" w:w="2835"/>
            <w:vAlign w:val="center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20"/>
              </w:rPr>
              <w:t>便于甲方后续维护和二次开发。</w:t>
            </w:r>
          </w:p>
        </w:tc>
      </w:tr>
    </w:tbl>
    <w:p/>
    <w:p>
      <w:pPr>
        <w:pStyle w:val="Heading1"/>
      </w:pPr>
      <w:r>
        <w:rPr>
          <w:rFonts w:ascii="微软雅黑" w:hAnsi="微软雅黑" w:eastAsia="微软雅黑"/>
          <w:color w:val="1F4E79"/>
        </w:rPr>
        <w:t>八、甲方配合事项</w:t>
      </w:r>
    </w:p>
    <w:p>
      <w:pPr>
        <w:pStyle w:val="ListBullet"/>
      </w:pPr>
      <w:r>
        <w:rPr>
          <w:rFonts w:ascii="微软雅黑" w:hAnsi="微软雅黑" w:eastAsia="微软雅黑"/>
          <w:sz w:val="21"/>
        </w:rPr>
        <w:t>提供目标应用场景和业务流程，例如面诊、术前术后对比、皮肤管理或内部研究。</w:t>
      </w:r>
    </w:p>
    <w:p>
      <w:pPr>
        <w:pStyle w:val="ListBullet"/>
      </w:pPr>
      <w:r>
        <w:rPr>
          <w:rFonts w:ascii="微软雅黑" w:hAnsi="微软雅黑" w:eastAsia="微软雅黑"/>
          <w:sz w:val="21"/>
        </w:rPr>
        <w:t>确认采集设备、拍摄距离、光照环境、背景颜色、照片分辨率和样本隐私合规要求。</w:t>
      </w:r>
    </w:p>
    <w:p>
      <w:pPr>
        <w:pStyle w:val="ListBullet"/>
      </w:pPr>
      <w:r>
        <w:rPr>
          <w:rFonts w:ascii="微软雅黑" w:hAnsi="微软雅黑" w:eastAsia="微软雅黑"/>
          <w:sz w:val="21"/>
        </w:rPr>
        <w:t>提供一定数量的测试样本，用于算法调试、效果评估和验收。</w:t>
      </w:r>
    </w:p>
    <w:p>
      <w:pPr>
        <w:pStyle w:val="ListBullet"/>
      </w:pPr>
      <w:r>
        <w:rPr>
          <w:rFonts w:ascii="微软雅黑" w:hAnsi="微软雅黑" w:eastAsia="微软雅黑"/>
          <w:sz w:val="21"/>
        </w:rPr>
        <w:t>确认部署环境，包括 GPU/CPU、操作系统、内网/公网访问、数据存储和备份策略。</w:t>
      </w:r>
    </w:p>
    <w:p>
      <w:pPr>
        <w:pStyle w:val="ListBullet"/>
      </w:pPr>
      <w:r>
        <w:rPr>
          <w:rFonts w:ascii="微软雅黑" w:hAnsi="微软雅黑" w:eastAsia="微软雅黑"/>
          <w:sz w:val="21"/>
        </w:rPr>
        <w:t>指定甲方验收人员，参与需求确认、阶段评审、样本效果复核和最终验收。</w:t>
      </w:r>
    </w:p>
    <w:p>
      <w:pPr>
        <w:pStyle w:val="Heading1"/>
      </w:pPr>
      <w:r>
        <w:rPr>
          <w:rFonts w:ascii="微软雅黑" w:hAnsi="微软雅黑" w:eastAsia="微软雅黑"/>
          <w:color w:val="1F4E79"/>
        </w:rPr>
        <w:t>九、风险与边界说明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286"/>
        <w:gridCol w:w="3286"/>
        <w:gridCol w:w="3286"/>
      </w:tblGrid>
      <w:tr>
        <w:tc>
          <w:tcPr>
            <w:tcW w:type="dxa" w:w="1814"/>
            <w:shd w:fill="1F4E79"/>
            <w:vAlign w:val="cente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风险点</w:t>
            </w:r>
          </w:p>
        </w:tc>
        <w:tc>
          <w:tcPr>
            <w:tcW w:type="dxa" w:w="3402"/>
            <w:shd w:fill="1F4E79"/>
            <w:vAlign w:val="cente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影响</w:t>
            </w:r>
          </w:p>
        </w:tc>
        <w:tc>
          <w:tcPr>
            <w:tcW w:type="dxa" w:w="3855"/>
            <w:shd w:fill="1F4E79"/>
            <w:vAlign w:val="cente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建议应对</w:t>
            </w:r>
          </w:p>
        </w:tc>
      </w:tr>
      <w:tr>
        <w:tc>
          <w:tcPr>
            <w:tcW w:type="dxa" w:w="1814"/>
            <w:vAlign w:val="center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20"/>
              </w:rPr>
              <w:t>采集质量不稳定</w:t>
            </w:r>
          </w:p>
        </w:tc>
        <w:tc>
          <w:tcPr>
            <w:tcW w:type="dxa" w:w="3402"/>
            <w:vAlign w:val="center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20"/>
              </w:rPr>
              <w:t>姿态、光照、遮挡会直接影响重建效果。</w:t>
            </w:r>
          </w:p>
        </w:tc>
        <w:tc>
          <w:tcPr>
            <w:tcW w:type="dxa" w:w="3855"/>
            <w:vAlign w:val="center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20"/>
              </w:rPr>
              <w:t>制定采集规范并增加质量检测。</w:t>
            </w:r>
          </w:p>
        </w:tc>
      </w:tr>
      <w:tr>
        <w:tc>
          <w:tcPr>
            <w:tcW w:type="dxa" w:w="1814"/>
            <w:vAlign w:val="center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20"/>
              </w:rPr>
              <w:t>算法模型依赖</w:t>
            </w:r>
          </w:p>
        </w:tc>
        <w:tc>
          <w:tcPr>
            <w:tcW w:type="dxa" w:w="3402"/>
            <w:vAlign w:val="center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20"/>
              </w:rPr>
              <w:t>MICA/DECA/Depth 等外部模型可能涉及权重、环境和许可问题。</w:t>
            </w:r>
          </w:p>
        </w:tc>
        <w:tc>
          <w:tcPr>
            <w:tcW w:type="dxa" w:w="3855"/>
            <w:vAlign w:val="center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20"/>
              </w:rPr>
              <w:t>提前确认模型来源、部署方式和授权边界。</w:t>
            </w:r>
          </w:p>
        </w:tc>
      </w:tr>
      <w:tr>
        <w:tc>
          <w:tcPr>
            <w:tcW w:type="dxa" w:w="1814"/>
            <w:vAlign w:val="center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20"/>
              </w:rPr>
              <w:t>高保真预期过高</w:t>
            </w:r>
          </w:p>
        </w:tc>
        <w:tc>
          <w:tcPr>
            <w:tcW w:type="dxa" w:w="3402"/>
            <w:vAlign w:val="center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20"/>
              </w:rPr>
              <w:t>照片级纹理不等于医学级测量，部分区域存在不可见和遮挡。</w:t>
            </w:r>
          </w:p>
        </w:tc>
        <w:tc>
          <w:tcPr>
            <w:tcW w:type="dxa" w:w="3855"/>
            <w:vAlign w:val="center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20"/>
              </w:rPr>
              <w:t>分级验收，区分展示效果和量化指标。</w:t>
            </w:r>
          </w:p>
        </w:tc>
      </w:tr>
      <w:tr>
        <w:tc>
          <w:tcPr>
            <w:tcW w:type="dxa" w:w="1814"/>
            <w:vAlign w:val="center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20"/>
              </w:rPr>
              <w:t>皮肤分析医学边界</w:t>
            </w:r>
          </w:p>
        </w:tc>
        <w:tc>
          <w:tcPr>
            <w:tcW w:type="dxa" w:w="3402"/>
            <w:vAlign w:val="center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20"/>
              </w:rPr>
              <w:t>红区、色沉、皱纹分析可作为辅助，不宜直接替代医生诊断。</w:t>
            </w:r>
          </w:p>
        </w:tc>
        <w:tc>
          <w:tcPr>
            <w:tcW w:type="dxa" w:w="3855"/>
            <w:vAlign w:val="center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20"/>
              </w:rPr>
              <w:t>文案定位为辅助评估，输出置信度和说明。</w:t>
            </w:r>
          </w:p>
        </w:tc>
      </w:tr>
      <w:tr>
        <w:tc>
          <w:tcPr>
            <w:tcW w:type="dxa" w:w="1814"/>
            <w:vAlign w:val="center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20"/>
              </w:rPr>
              <w:t>算力和性能</w:t>
            </w:r>
          </w:p>
        </w:tc>
        <w:tc>
          <w:tcPr>
            <w:tcW w:type="dxa" w:w="3402"/>
            <w:vAlign w:val="center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20"/>
              </w:rPr>
              <w:t>GPU 规格不足会导致处理时间变长。</w:t>
            </w:r>
          </w:p>
        </w:tc>
        <w:tc>
          <w:tcPr>
            <w:tcW w:type="dxa" w:w="3855"/>
            <w:vAlign w:val="center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20"/>
              </w:rPr>
              <w:t>在部署前完成硬件评估和性能测试。</w:t>
            </w:r>
          </w:p>
        </w:tc>
      </w:tr>
      <w:tr>
        <w:tc>
          <w:tcPr>
            <w:tcW w:type="dxa" w:w="1814"/>
            <w:vAlign w:val="center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20"/>
              </w:rPr>
              <w:t>隐私与数据安全</w:t>
            </w:r>
          </w:p>
        </w:tc>
        <w:tc>
          <w:tcPr>
            <w:tcW w:type="dxa" w:w="3402"/>
            <w:vAlign w:val="center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20"/>
              </w:rPr>
              <w:t>人脸照片和模型属于敏感数据。</w:t>
            </w:r>
          </w:p>
        </w:tc>
        <w:tc>
          <w:tcPr>
            <w:tcW w:type="dxa" w:w="3855"/>
            <w:vAlign w:val="center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20"/>
              </w:rPr>
              <w:t>限定访问权限、存储策略和数据脱敏/删除机制。</w:t>
            </w:r>
          </w:p>
        </w:tc>
      </w:tr>
    </w:tbl>
    <w:p/>
    <w:p>
      <w:pPr>
        <w:pStyle w:val="Heading1"/>
      </w:pPr>
      <w:r>
        <w:rPr>
          <w:rFonts w:ascii="微软雅黑" w:hAnsi="微软雅黑" w:eastAsia="微软雅黑"/>
          <w:color w:val="1F4E79"/>
        </w:rPr>
        <w:t>十、建议下一步</w:t>
      </w:r>
    </w:p>
    <w:p>
      <w:pPr>
        <w:spacing w:line="324" w:lineRule="auto"/>
        <w:ind w:firstLine="420"/>
      </w:pPr>
      <w:r>
        <w:rPr>
          <w:rFonts w:ascii="微软雅黑" w:hAnsi="微软雅黑" w:eastAsia="微软雅黑"/>
          <w:sz w:val="21"/>
        </w:rPr>
        <w:t>建议在正式立项前安排一次需求确认会，围绕使用场景、验收样本、采集设备、部署环境和效果优先级进行确认。确认后可输出正式《需求规格说明书》《实施计划》《验收标准表》，再进入开发和阶段性交付。</w:t>
      </w:r>
    </w:p>
    <w:p>
      <w:pPr>
        <w:pStyle w:val="ListBullet"/>
      </w:pPr>
      <w:r>
        <w:rPr>
          <w:rFonts w:ascii="微软雅黑" w:hAnsi="微软雅黑" w:eastAsia="微软雅黑"/>
          <w:sz w:val="21"/>
        </w:rPr>
        <w:t>确认第一版是否以“可演示系统”为主，还是以“高保真算法效果”为主。</w:t>
      </w:r>
    </w:p>
    <w:p>
      <w:pPr>
        <w:pStyle w:val="ListBullet"/>
      </w:pPr>
      <w:r>
        <w:rPr>
          <w:rFonts w:ascii="微软雅黑" w:hAnsi="微软雅黑" w:eastAsia="微软雅黑"/>
          <w:sz w:val="21"/>
        </w:rPr>
        <w:t>确认是否需要接入现有客户管理系统、报告系统或门店设备。</w:t>
      </w:r>
    </w:p>
    <w:p>
      <w:pPr>
        <w:pStyle w:val="ListBullet"/>
      </w:pPr>
      <w:r>
        <w:rPr>
          <w:rFonts w:ascii="微软雅黑" w:hAnsi="微软雅黑" w:eastAsia="微软雅黑"/>
          <w:sz w:val="21"/>
        </w:rPr>
        <w:t>确认样本数据数量、授权方式和隐私处理要求。</w:t>
      </w:r>
    </w:p>
    <w:p>
      <w:pPr>
        <w:pStyle w:val="ListBullet"/>
      </w:pPr>
      <w:r>
        <w:rPr>
          <w:rFonts w:ascii="微软雅黑" w:hAnsi="微软雅黑" w:eastAsia="微软雅黑"/>
          <w:sz w:val="21"/>
        </w:rPr>
        <w:t>确认项目周期、阶段验收节点和最终交付形式。</w:t>
      </w:r>
    </w:p>
    <w:p>
      <w:r>
        <w:br w:type="page"/>
      </w:r>
    </w:p>
    <w:p>
      <w:pPr>
        <w:pStyle w:val="Heading1"/>
      </w:pPr>
      <w:r>
        <w:rPr>
          <w:rFonts w:ascii="微软雅黑" w:hAnsi="微软雅黑" w:eastAsia="微软雅黑"/>
          <w:color w:val="1F4E79"/>
        </w:rPr>
        <w:t>附录：文档图片说明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286"/>
        <w:gridCol w:w="3286"/>
        <w:gridCol w:w="3286"/>
      </w:tblGrid>
      <w:tr>
        <w:tc>
          <w:tcPr>
            <w:tcW w:type="dxa" w:w="2268"/>
            <w:shd w:fill="1F4E79"/>
            <w:vAlign w:val="cente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图片</w:t>
            </w:r>
          </w:p>
        </w:tc>
        <w:tc>
          <w:tcPr>
            <w:tcW w:type="dxa" w:w="2835"/>
            <w:shd w:fill="1F4E79"/>
            <w:vAlign w:val="cente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用途</w:t>
            </w:r>
          </w:p>
        </w:tc>
        <w:tc>
          <w:tcPr>
            <w:tcW w:type="dxa" w:w="3969"/>
            <w:shd w:fill="1F4E79"/>
            <w:vAlign w:val="cente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说明</w:t>
            </w:r>
          </w:p>
        </w:tc>
      </w:tr>
      <w:tr>
        <w:tc>
          <w:tcPr>
            <w:tcW w:type="dxa" w:w="2268"/>
            <w:vAlign w:val="center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20"/>
              </w:rPr>
              <w:t>系统架构图</w:t>
            </w:r>
          </w:p>
        </w:tc>
        <w:tc>
          <w:tcPr>
            <w:tcW w:type="dxa" w:w="2835"/>
            <w:vAlign w:val="center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20"/>
              </w:rPr>
              <w:t>说明拟建设软件链路</w:t>
            </w:r>
          </w:p>
        </w:tc>
        <w:tc>
          <w:tcPr>
            <w:tcW w:type="dxa" w:w="3969"/>
            <w:vAlign w:val="center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20"/>
              </w:rPr>
              <w:t>由项目方案生成，用于甲方理解整体范围。</w:t>
            </w:r>
          </w:p>
        </w:tc>
      </w:tr>
      <w:tr>
        <w:tc>
          <w:tcPr>
            <w:tcW w:type="dxa" w:w="2268"/>
            <w:vAlign w:val="center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20"/>
              </w:rPr>
              <w:t>三视图采集图</w:t>
            </w:r>
          </w:p>
        </w:tc>
        <w:tc>
          <w:tcPr>
            <w:tcW w:type="dxa" w:w="2835"/>
            <w:vAlign w:val="center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20"/>
              </w:rPr>
              <w:t>说明输入规范</w:t>
            </w:r>
          </w:p>
        </w:tc>
        <w:tc>
          <w:tcPr>
            <w:tcW w:type="dxa" w:w="3969"/>
            <w:vAlign w:val="center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20"/>
              </w:rPr>
              <w:t>为示意图，不代表最终采集设备形态。</w:t>
            </w:r>
          </w:p>
        </w:tc>
      </w:tr>
      <w:tr>
        <w:tc>
          <w:tcPr>
            <w:tcW w:type="dxa" w:w="2268"/>
            <w:vAlign w:val="center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20"/>
              </w:rPr>
              <w:t>3D 模型渲染图</w:t>
            </w:r>
          </w:p>
        </w:tc>
        <w:tc>
          <w:tcPr>
            <w:tcW w:type="dxa" w:w="2835"/>
            <w:vAlign w:val="center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20"/>
              </w:rPr>
              <w:t>说明预期展示效果</w:t>
            </w:r>
          </w:p>
        </w:tc>
        <w:tc>
          <w:tcPr>
            <w:tcW w:type="dxa" w:w="3969"/>
            <w:vAlign w:val="center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20"/>
              </w:rPr>
              <w:t>取自项目本地素材，作为效果参考。</w:t>
            </w:r>
          </w:p>
        </w:tc>
      </w:tr>
      <w:tr>
        <w:tc>
          <w:tcPr>
            <w:tcW w:type="dxa" w:w="2268"/>
            <w:vAlign w:val="center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20"/>
              </w:rPr>
              <w:t>灰模细节图</w:t>
            </w:r>
          </w:p>
        </w:tc>
        <w:tc>
          <w:tcPr>
            <w:tcW w:type="dxa" w:w="2835"/>
            <w:vAlign w:val="center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20"/>
              </w:rPr>
              <w:t>说明几何重建目标</w:t>
            </w:r>
          </w:p>
        </w:tc>
        <w:tc>
          <w:tcPr>
            <w:tcW w:type="dxa" w:w="3969"/>
            <w:vAlign w:val="center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20"/>
              </w:rPr>
              <w:t>用于表达轮廓和细节方向。</w:t>
            </w:r>
          </w:p>
        </w:tc>
      </w:tr>
      <w:tr>
        <w:tc>
          <w:tcPr>
            <w:tcW w:type="dxa" w:w="2268"/>
            <w:vAlign w:val="center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20"/>
              </w:rPr>
              <w:t>关键点重投影图</w:t>
            </w:r>
          </w:p>
        </w:tc>
        <w:tc>
          <w:tcPr>
            <w:tcW w:type="dxa" w:w="2835"/>
            <w:vAlign w:val="center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20"/>
              </w:rPr>
              <w:t>说明算法质检方式</w:t>
            </w:r>
          </w:p>
        </w:tc>
        <w:tc>
          <w:tcPr>
            <w:tcW w:type="dxa" w:w="3969"/>
            <w:vAlign w:val="center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20"/>
              </w:rPr>
              <w:t>用于表达可复核、可调试的验收思路。</w:t>
            </w:r>
          </w:p>
        </w:tc>
      </w:tr>
      <w:tr>
        <w:tc>
          <w:tcPr>
            <w:tcW w:type="dxa" w:w="2268"/>
            <w:vAlign w:val="center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20"/>
              </w:rPr>
              <w:t>UV 纹理图</w:t>
            </w:r>
          </w:p>
        </w:tc>
        <w:tc>
          <w:tcPr>
            <w:tcW w:type="dxa" w:w="2835"/>
            <w:vAlign w:val="center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20"/>
              </w:rPr>
              <w:t>说明纹理融合工作</w:t>
            </w:r>
          </w:p>
        </w:tc>
        <w:tc>
          <w:tcPr>
            <w:tcW w:type="dxa" w:w="3969"/>
            <w:vAlign w:val="center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20"/>
              </w:rPr>
              <w:t>用于表达贴图和接缝修复工作量。</w:t>
            </w:r>
          </w:p>
        </w:tc>
      </w:tr>
    </w:tbl>
    <w:p/>
    <w:sectPr w:rsidR="00FC693F" w:rsidRPr="0006063C" w:rsidSect="00034616">
      <w:pgSz w:w="12240" w:h="15840"/>
      <w:pgMar w:top="1134" w:right="1191" w:bottom="1020" w:left="119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微软雅黑" w:hAnsi="微软雅黑" w:eastAsia="微软雅黑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微软雅黑" w:hAnsi="微软雅黑" w:eastAsia="微软雅黑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微软雅黑" w:hAnsi="微软雅黑" w:eastAsia="微软雅黑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微软雅黑" w:hAnsi="微软雅黑" w:eastAsia="微软雅黑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Relationship Id="rId14" Type="http://schemas.openxmlformats.org/officeDocument/2006/relationships/image" Target="media/image6.png"/><Relationship Id="rId15" Type="http://schemas.openxmlformats.org/officeDocument/2006/relationships/image" Target="media/image7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