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86886" w14:textId="0097ABCE" w:rsidR="003175FC" w:rsidRDefault="00B42E28">
      <w:r w:rsidRPr="00B42E28">
        <w:fldChar w:fldCharType="begin"/>
      </w:r>
      <w:r w:rsidRPr="00B42E28">
        <w:rPr>
          <w:lang w:val="it-IT"/>
        </w:rPr>
        <w:instrText>HYPERLINK "https://ftmo.com/it/blog/opening-range-breakout-strategia-come-master-la-1530-us-sessione/"</w:instrText>
      </w:r>
      <w:r w:rsidRPr="00B42E28">
        <w:fldChar w:fldCharType="separate"/>
      </w:r>
      <w:r w:rsidRPr="00B42E28">
        <w:rPr>
          <w:rStyle w:val="Hyperlink"/>
          <w:lang w:val="it-IT"/>
        </w:rPr>
        <w:t>Strategia Opening Range Breakout: Come Padroneggiare la Sessione USA delle 15:30 | FTMO.com</w:t>
      </w:r>
      <w:r w:rsidRPr="00B42E28">
        <w:fldChar w:fldCharType="end"/>
      </w:r>
    </w:p>
    <w:p w14:paraId="0D85C58C" w14:textId="77777777" w:rsidR="00CC4440" w:rsidRDefault="00CC4440"/>
    <w:p w14:paraId="60F0C413" w14:textId="77777777" w:rsidR="00CC4440" w:rsidRPr="00CC4440" w:rsidRDefault="00CC4440" w:rsidP="00CC4440">
      <w:pPr>
        <w:numPr>
          <w:ilvl w:val="0"/>
          <w:numId w:val="3"/>
        </w:numPr>
        <w:rPr>
          <w:b/>
          <w:bCs/>
          <w:lang w:val="it-IT"/>
        </w:rPr>
      </w:pPr>
      <w:r w:rsidRPr="00CC4440">
        <w:rPr>
          <w:b/>
          <w:bCs/>
          <w:lang w:val="it-IT"/>
        </w:rPr>
        <w:t>Entrata tramite Fair Value Gap (FVG)</w:t>
      </w:r>
    </w:p>
    <w:p w14:paraId="0F9EFBA6" w14:textId="77777777" w:rsidR="00CC4440" w:rsidRPr="00CC4440" w:rsidRDefault="00CC4440" w:rsidP="00CC4440">
      <w:pPr>
        <w:rPr>
          <w:lang w:val="it-IT"/>
        </w:rPr>
      </w:pPr>
      <w:r w:rsidRPr="00CC4440">
        <w:rPr>
          <w:lang w:val="it-IT"/>
        </w:rPr>
        <w:t>In genere è consigliabile non entrare immediatamente dopo il breakout, poiché il mercato è spesso temporaneamente surriscaldato. Piuttosto, individua il Fair Value Gap più recente generato dal movimento impulsivo che ha provocato il breakout.</w:t>
      </w:r>
    </w:p>
    <w:p w14:paraId="6128D49D" w14:textId="77777777" w:rsidR="00CC4440" w:rsidRPr="00CC4440" w:rsidRDefault="00CC4440" w:rsidP="00CC4440">
      <w:pPr>
        <w:numPr>
          <w:ilvl w:val="0"/>
          <w:numId w:val="4"/>
        </w:numPr>
        <w:rPr>
          <w:lang w:val="it-IT"/>
        </w:rPr>
      </w:pPr>
      <w:r w:rsidRPr="00CC4440">
        <w:rPr>
          <w:b/>
          <w:bCs/>
          <w:lang w:val="it-IT"/>
        </w:rPr>
        <w:t>Entrata</w:t>
      </w:r>
      <w:r w:rsidRPr="00CC4440">
        <w:rPr>
          <w:lang w:val="it-IT"/>
        </w:rPr>
        <w:t>: Inserisci un ordine limite al bordo più vicino dell’FVG.</w:t>
      </w:r>
    </w:p>
    <w:p w14:paraId="7671658C" w14:textId="77777777" w:rsidR="00CC4440" w:rsidRPr="00CC4440" w:rsidRDefault="00CC4440" w:rsidP="00CC4440">
      <w:pPr>
        <w:numPr>
          <w:ilvl w:val="0"/>
          <w:numId w:val="4"/>
        </w:numPr>
        <w:rPr>
          <w:lang w:val="it-IT"/>
        </w:rPr>
      </w:pPr>
      <w:r w:rsidRPr="00CC4440">
        <w:rPr>
          <w:b/>
          <w:bCs/>
          <w:lang w:val="it-IT"/>
        </w:rPr>
        <w:t>Stop Loss</w:t>
      </w:r>
      <w:r w:rsidRPr="00CC4440">
        <w:rPr>
          <w:lang w:val="it-IT"/>
        </w:rPr>
        <w:t>: Posizionalo in sicurezza sopra o sotto la candela centrale che ha formato l’FVG.</w:t>
      </w:r>
    </w:p>
    <w:p w14:paraId="775195E1" w14:textId="77777777" w:rsidR="00CC4440" w:rsidRPr="00CC4440" w:rsidRDefault="00CC4440" w:rsidP="00CC4440">
      <w:pPr>
        <w:numPr>
          <w:ilvl w:val="0"/>
          <w:numId w:val="4"/>
        </w:numPr>
      </w:pPr>
      <w:r w:rsidRPr="00CC4440">
        <w:rPr>
          <w:b/>
          <w:bCs/>
        </w:rPr>
        <w:t>Take Profit</w:t>
      </w:r>
      <w:r w:rsidRPr="00CC4440">
        <w:t xml:space="preserve">: Applica un Reward-to-Risk Ratio </w:t>
      </w:r>
      <w:proofErr w:type="spellStart"/>
      <w:r w:rsidRPr="00CC4440">
        <w:t>fisso</w:t>
      </w:r>
      <w:proofErr w:type="spellEnd"/>
      <w:r w:rsidRPr="00CC4440">
        <w:t xml:space="preserve"> di 2:1.</w:t>
      </w:r>
    </w:p>
    <w:p w14:paraId="4FD6AC9B" w14:textId="77777777" w:rsidR="00CC4440" w:rsidRDefault="00CC4440"/>
    <w:p w14:paraId="4F41382B" w14:textId="6829FB0C" w:rsidR="00B42E28" w:rsidRDefault="00C36378">
      <w:r w:rsidRPr="00C36378">
        <w:drawing>
          <wp:inline distT="0" distB="0" distL="0" distR="0" wp14:anchorId="2D90E0F7" wp14:editId="45C9506C">
            <wp:extent cx="3990116" cy="2529205"/>
            <wp:effectExtent l="0" t="0" r="0" b="4445"/>
            <wp:docPr id="152952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23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6954" cy="253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297D" w14:textId="77777777" w:rsidR="00220B30" w:rsidRPr="00220B30" w:rsidRDefault="00220B30" w:rsidP="00220B30">
      <w:pPr>
        <w:numPr>
          <w:ilvl w:val="0"/>
          <w:numId w:val="2"/>
        </w:numPr>
        <w:rPr>
          <w:lang w:val="it-IT"/>
        </w:rPr>
      </w:pPr>
      <w:r w:rsidRPr="00220B30">
        <w:rPr>
          <w:b/>
          <w:bCs/>
          <w:lang w:val="it-IT"/>
        </w:rPr>
        <w:t>Volume</w:t>
      </w:r>
      <w:r w:rsidRPr="00220B30">
        <w:rPr>
          <w:lang w:val="it-IT"/>
        </w:rPr>
        <w:t>: Un breakout valido dovrebbe essere supportato da un aumento del volume. Se il prezzo sale mentre il volume diminuisce, potrebbe indicare una bull trap.</w:t>
      </w:r>
    </w:p>
    <w:p w14:paraId="25537C33" w14:textId="77777777" w:rsidR="00220B30" w:rsidRPr="00220B30" w:rsidRDefault="00220B30" w:rsidP="00220B30">
      <w:pPr>
        <w:numPr>
          <w:ilvl w:val="0"/>
          <w:numId w:val="2"/>
        </w:numPr>
      </w:pPr>
      <w:r w:rsidRPr="00220B30">
        <w:rPr>
          <w:b/>
          <w:bCs/>
          <w:lang w:val="it-IT"/>
        </w:rPr>
        <w:t>Livelli del Giorno Precedente:</w:t>
      </w:r>
      <w:r w:rsidRPr="00220B30">
        <w:rPr>
          <w:lang w:val="it-IT"/>
        </w:rPr>
        <w:t> Il breakout avviene al di sopra dell’high del giorno precedente? </w:t>
      </w:r>
      <w:r w:rsidRPr="00220B30">
        <w:t xml:space="preserve">Se </w:t>
      </w:r>
      <w:proofErr w:type="spellStart"/>
      <w:r w:rsidRPr="00220B30">
        <w:t>sì</w:t>
      </w:r>
      <w:proofErr w:type="spellEnd"/>
      <w:r w:rsidRPr="00220B30">
        <w:t xml:space="preserve">, la forza del trend è </w:t>
      </w:r>
      <w:proofErr w:type="spellStart"/>
      <w:r w:rsidRPr="00220B30">
        <w:t>generalmente</w:t>
      </w:r>
      <w:proofErr w:type="spellEnd"/>
      <w:r w:rsidRPr="00220B30">
        <w:t xml:space="preserve"> </w:t>
      </w:r>
      <w:proofErr w:type="spellStart"/>
      <w:r w:rsidRPr="00220B30">
        <w:t>maggiore</w:t>
      </w:r>
      <w:proofErr w:type="spellEnd"/>
      <w:r w:rsidRPr="00220B30">
        <w:t>.</w:t>
      </w:r>
    </w:p>
    <w:p w14:paraId="0ED07790" w14:textId="77777777" w:rsidR="00220B30" w:rsidRPr="00220B30" w:rsidRDefault="00220B30" w:rsidP="00220B30">
      <w:pPr>
        <w:numPr>
          <w:ilvl w:val="0"/>
          <w:numId w:val="2"/>
        </w:numPr>
        <w:rPr>
          <w:lang w:val="it-IT"/>
        </w:rPr>
      </w:pPr>
      <w:r w:rsidRPr="00220B30">
        <w:rPr>
          <w:b/>
          <w:bCs/>
          <w:lang w:val="it-IT"/>
        </w:rPr>
        <w:t>VWAP (Volume Weighted Average Price)</w:t>
      </w:r>
      <w:r w:rsidRPr="00220B30">
        <w:rPr>
          <w:lang w:val="it-IT"/>
        </w:rPr>
        <w:t>: Se il prezzo è sopra il VWAP e contemporaneamente rompe il range verso l’alto, il setup long ha una probabilità più elevata.</w:t>
      </w:r>
    </w:p>
    <w:p w14:paraId="6E878A47" w14:textId="77777777" w:rsidR="00220B30" w:rsidRPr="00220B30" w:rsidRDefault="00220B30" w:rsidP="00220B30">
      <w:pPr>
        <w:numPr>
          <w:ilvl w:val="0"/>
          <w:numId w:val="2"/>
        </w:numPr>
        <w:rPr>
          <w:lang w:val="it-IT"/>
        </w:rPr>
      </w:pPr>
      <w:r w:rsidRPr="00220B30">
        <w:rPr>
          <w:b/>
          <w:bCs/>
          <w:lang w:val="it-IT"/>
        </w:rPr>
        <w:lastRenderedPageBreak/>
        <w:t>Opening Range Eccessivamente Ampio</w:t>
      </w:r>
      <w:r w:rsidRPr="00220B30">
        <w:rPr>
          <w:lang w:val="it-IT"/>
        </w:rPr>
        <w:t>: Se i primi 15 minuti sono estremamente volatili e il range è insolitamente ampio, potrebbe indicare una sessione laterale e non direzionale. In questi casi, saltare il trade può essere la scelta più disciplinata.</w:t>
      </w:r>
    </w:p>
    <w:p w14:paraId="76F235FC" w14:textId="77777777" w:rsidR="00B42E28" w:rsidRDefault="00B42E28">
      <w:pPr>
        <w:rPr>
          <w:lang w:val="it-IT"/>
        </w:rPr>
      </w:pPr>
    </w:p>
    <w:p w14:paraId="3B438DCD" w14:textId="77777777" w:rsidR="00F40E46" w:rsidRDefault="00F40E46">
      <w:pPr>
        <w:rPr>
          <w:lang w:val="it-IT"/>
        </w:rPr>
      </w:pPr>
    </w:p>
    <w:p w14:paraId="0B84F032" w14:textId="5355A1A7" w:rsidR="00F40E46" w:rsidRPr="00B42E28" w:rsidRDefault="00F40E46">
      <w:pPr>
        <w:rPr>
          <w:lang w:val="it-IT"/>
        </w:rPr>
      </w:pPr>
      <w:hyperlink r:id="rId6" w:history="1">
        <w:r w:rsidRPr="00F40E46">
          <w:rPr>
            <w:rStyle w:val="Hyperlink"/>
          </w:rPr>
          <w:t xml:space="preserve">Testing Toby Crabel’s Opening Range Breakout: Does It Really Work? Code + </w:t>
        </w:r>
        <w:proofErr w:type="spellStart"/>
        <w:r w:rsidRPr="00F40E46">
          <w:rPr>
            <w:rStyle w:val="Hyperlink"/>
          </w:rPr>
          <w:t>Backtest</w:t>
        </w:r>
        <w:proofErr w:type="spellEnd"/>
        <w:r w:rsidRPr="00F40E46">
          <w:rPr>
            <w:rStyle w:val="Hyperlink"/>
          </w:rPr>
          <w:t xml:space="preserve"> on Nasdaq - Unger Academy EN</w:t>
        </w:r>
      </w:hyperlink>
    </w:p>
    <w:sectPr w:rsidR="00F40E46" w:rsidRPr="00B42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5606C"/>
    <w:multiLevelType w:val="multilevel"/>
    <w:tmpl w:val="AB8E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C36FD"/>
    <w:multiLevelType w:val="multilevel"/>
    <w:tmpl w:val="7D7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F1BF9"/>
    <w:multiLevelType w:val="multilevel"/>
    <w:tmpl w:val="C4EE78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BB28B9"/>
    <w:multiLevelType w:val="multilevel"/>
    <w:tmpl w:val="D9E4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99058">
    <w:abstractNumId w:val="0"/>
  </w:num>
  <w:num w:numId="2" w16cid:durableId="1282148463">
    <w:abstractNumId w:val="1"/>
  </w:num>
  <w:num w:numId="3" w16cid:durableId="495346927">
    <w:abstractNumId w:val="2"/>
  </w:num>
  <w:num w:numId="4" w16cid:durableId="593320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5FE"/>
    <w:rsid w:val="001D1426"/>
    <w:rsid w:val="00220B30"/>
    <w:rsid w:val="003175FC"/>
    <w:rsid w:val="004B0A3D"/>
    <w:rsid w:val="009F6483"/>
    <w:rsid w:val="00B42E28"/>
    <w:rsid w:val="00C1758D"/>
    <w:rsid w:val="00C36378"/>
    <w:rsid w:val="00CC4440"/>
    <w:rsid w:val="00CE45FE"/>
    <w:rsid w:val="00E24593"/>
    <w:rsid w:val="00F4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56295"/>
  <w15:chartTrackingRefBased/>
  <w15:docId w15:val="{BED5EA51-94F1-4566-944F-0BDB79A8E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5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2E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geracademy.com/blog/testing-toby-crabel-s-opening-range-breakout-does-it-really-work-code-backtest-on-nasdaq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Cecchini</dc:creator>
  <cp:keywords/>
  <dc:description/>
  <cp:lastModifiedBy>Marco Cecchini</cp:lastModifiedBy>
  <cp:revision>6</cp:revision>
  <dcterms:created xsi:type="dcterms:W3CDTF">2026-03-17T17:32:00Z</dcterms:created>
  <dcterms:modified xsi:type="dcterms:W3CDTF">2026-03-17T18:37:00Z</dcterms:modified>
</cp:coreProperties>
</file>