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3A5F"/>
          <w:sz w:val="36"/>
          <w:szCs w:val="36"/>
        </w:rPr>
        <w:t xml:space="preserve">Аудит Abaqus–Simcenter Modal Comparator</w:t>
      </w:r>
    </w:p>
    <w:p>
      <w:pPr>
        <w:pBdr>
          <w:bottom w:val="single" w:color="1F3A5F" w:sz="8" w:space="6"/>
        </w:pBdr>
        <w:spacing w:after="200"/>
      </w:pPr>
      <w:r>
        <w:rPr>
          <w:color w:val="44546A"/>
          <w:sz w:val="24"/>
          <w:szCs w:val="24"/>
        </w:rPr>
        <w:t xml:space="preserve">Snapshot 121ba1d — проверка относительно цели «эксперимент + модель → инженерные константы Abaqus с точностью 1–5 % (максимум 8 %)»</w:t>
      </w:r>
    </w:p>
    <w:p>
      <w:pPr>
        <w:spacing w:after="40"/>
      </w:pPr>
      <w:r>
        <w:rPr>
          <w:b/>
          <w:bCs/>
          <w:color w:val="44546A"/>
          <w:sz w:val="19"/>
          <w:szCs w:val="19"/>
        </w:rPr>
        <w:t xml:space="preserve">Версия:</w:t>
      </w:r>
      <w:r>
        <w:rPr>
          <w:color w:val="44546A"/>
          <w:sz w:val="19"/>
          <w:szCs w:val="19"/>
        </w:rPr>
        <w:t xml:space="preserve"> 1.1 (03.10.2026) — после согласования замечаний второго рецензента, см. §8</w:t>
      </w:r>
    </w:p>
    <w:p>
      <w:pPr>
        <w:spacing w:after="40"/>
      </w:pPr>
      <w:r>
        <w:rPr>
          <w:b/>
          <w:bCs/>
          <w:color w:val="44546A"/>
          <w:sz w:val="19"/>
          <w:szCs w:val="19"/>
        </w:rPr>
        <w:t xml:space="preserve">Объект:</w:t>
      </w:r>
      <w:r>
        <w:rPr>
          <w:color w:val="44546A"/>
          <w:sz w:val="19"/>
          <w:szCs w:val="19"/>
        </w:rPr>
        <w:t xml:space="preserve"> </w:t>
      </w:r>
      <w:r>
        <w:rPr>
          <w:rFonts w:ascii="Consolas" w:cs="Consolas" w:eastAsia="Consolas" w:hAnsi="Consolas"/>
          <w:color w:val="44546A"/>
          <w:sz w:val="18"/>
          <w:szCs w:val="18"/>
        </w:rPr>
        <w:t xml:space="preserve">121ba1d06b7c268b3051f1407a3ea26a9027dca3</w:t>
      </w:r>
      <w:r>
        <w:rPr>
          <w:color w:val="44546A"/>
          <w:sz w:val="19"/>
          <w:szCs w:val="19"/>
        </w:rPr>
        <w:t xml:space="preserve"> (архив Abaqus_Modal_Comparator_Audit_121ba1d.zip)</w:t>
      </w:r>
    </w:p>
    <w:p>
      <w:pPr>
        <w:spacing w:after="40"/>
      </w:pPr>
      <w:r>
        <w:rPr>
          <w:b/>
          <w:bCs/>
          <w:color w:val="44546A"/>
          <w:sz w:val="19"/>
          <w:szCs w:val="19"/>
        </w:rPr>
        <w:t xml:space="preserve">Реальные данные, использованные при аудите:</w:t>
      </w:r>
      <w:r>
        <w:rPr>
          <w:color w:val="44546A"/>
          <w:sz w:val="19"/>
          <w:szCs w:val="19"/>
        </w:rPr>
        <w:t xml:space="preserve"> SP02 (honeycomb, Polytec UNV 03.08.2026), SP13 (auxetic, Polytec UNV 09.09.2026), таблица LMS Experiment_Freq_damping_LMS.xlsx</w:t>
      </w:r>
    </w:p>
    <w:p>
      <w:pPr>
        <w:spacing w:after="40"/>
      </w:pPr>
      <w:r>
        <w:rPr>
          <w:b/>
          <w:bCs/>
          <w:color w:val="44546A"/>
          <w:sz w:val="19"/>
          <w:szCs w:val="19"/>
        </w:rPr>
        <w:t xml:space="preserve">Сопроводительный документ:</w:t>
      </w:r>
      <w:r>
        <w:rPr>
          <w:color w:val="44546A"/>
          <w:sz w:val="19"/>
          <w:szCs w:val="19"/>
        </w:rPr>
        <w:t xml:space="preserve"> «Техническое задание: режим автоматической идентификации (Auto-ID) v1.1»</w:t>
      </w:r>
    </w:p>
    <w:p>
      <w:pPr>
        <w:spacing w:after="200"/>
      </w:pPr>
    </w:p>
    <w:p>
      <w:pPr>
        <w:pStyle w:val="Heading1"/>
      </w:pPr>
      <w:r>
        <w:t xml:space="preserve">1. Итог</w:t>
      </w:r>
    </w:p>
    <w:p>
      <w:pPr>
        <w:spacing w:after="120" w:line="276"/>
      </w:pPr>
      <w:r>
        <w:t xml:space="preserve">Нормальный Modal Comparator сделан аккуратно. Ключевые научные принципы, которые заявлены в брифе, в коде действительно соблюдены: геометрия выбирается без MAC, admissibility применяется до венгерского алгоритма, MAC считается только по измеренным DOF, переписывание INP детерминировано и ограничено разрешёнными полями. На Linux из 873 запущенных тестов 870 прошли, 1 упал и 2 пропущены.</w:t>
      </w:r>
    </w:p>
    <w:p>
      <w:pPr>
        <w:spacing w:after="120" w:line="276"/>
      </w:pPr>
      <w:r>
        <w:t xml:space="preserve">Цель «пользователь даёт два файла и получает E1 = 45000 с точностью 1–5 %» в текущем виде недостижима. Причин четыре, и кодовая среди них только одна: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Для идентификации экспериментальные частоты и формы сейчас берутся пиковым методом по сетке 0.3125 Гц. Резонансы уже одной линии частотной сетки; на SP13 одна мода потеряна и одна ложная создана (K1).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Критерий «rank 2» считается с машинным допуском и ничего не говорит о достижимой точности. Нужен критерий, привязанный к целевым 5 % / 8 % (K2).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G12, определённый только по сэндвичу, смешан с клеем, кором и интерфейсом. Без независимого ограничения этих параметров он не может получить вердикт «ОПРЕДЕЛЕНО»; разброс крутильной моды между повторными образцами 6–25 % (K3).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Геометрия Polytec не откалибрована, а панели почти квадратные. Без паспорта образца автоматическая регистрация в принципе неоднозначна, и программа справедливо останавливается (K4).</w:t>
      </w:r>
    </w:p>
    <w:p>
      <w:pPr>
        <w:spacing w:after="120" w:line="276"/>
      </w:pPr>
      <w:r>
        <w:t xml:space="preserve">Недостающая инженерная часть одна: нет оркестратора «кандидат → Abaqus → ODB → сопоставление → невязка → шаг» (V1). Все кирпичи для него уже существуют. Реалистичная цель после исправлений: </w:t>
      </w:r>
      <w:r>
        <w:rPr>
          <w:b/>
          <w:bCs/>
        </w:rPr>
        <w:t xml:space="preserve">E_in-plane с точностью 2–5 % на семейство карбона</w:t>
      </w:r>
      <w:r>
        <w:t xml:space="preserve"> (при измеренной толщине обшивки) и </w:t>
      </w:r>
      <w:r>
        <w:rPr>
          <w:b/>
          <w:bCs/>
        </w:rPr>
        <w:t xml:space="preserve">G12 с вердиктом «ОПРЕДЕЛЕНО» — по голой пластине</w:t>
      </w:r>
      <w:r>
        <w:t xml:space="preserve"> (Stage A, уже частично реализован); сэндвич даёт для G12 вторичное свидетельство.</w:t>
      </w:r>
    </w:p>
    <w:p>
      <w:pPr>
        <w:pStyle w:val="Heading1"/>
      </w:pPr>
      <w:r>
        <w:t xml:space="preserve">2. Что сделано при аудите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Прогон всего набора тестов: Linux, Python 3.12, tkinter под xvfb. Сводка unittest: </w:t>
      </w:r>
      <w:r>
        <w:rPr>
          <w:rFonts w:ascii="Consolas" w:cs="Consolas" w:eastAsia="Consolas" w:hAnsi="Consolas"/>
          <w:sz w:val="20"/>
          <w:szCs w:val="20"/>
        </w:rPr>
        <w:t xml:space="preserve">Ran 873 tests … FAILED (failures=1, skipped=2)</w:t>
      </w:r>
      <w:r>
        <w:t xml:space="preserve">, то есть 870 прошли, 1 упал (V7), 2 пропущены.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universal_reader.load_universal_modal_file</w:t>
      </w:r>
      <w:r>
        <w:t xml:space="preserve"> запущен на реальных UNV SP02 и SP13. Результат сравнивался с частотами и демпфированием LMS PolyMAX из Excel.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reviewed_core.geometry_alignment_candidates</w:t>
      </w:r>
      <w:r>
        <w:t xml:space="preserve"> запущен на реальных сетках сканирования SP02 и SP13 против плотной сетки пластины 510×515 и 510×520 (в м и мм).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Прочитан код по вопросам брифа §46: сопоставление и шлюзы, регистрация, кэш ODB, identifiability, inverse solver, shared-carbon forward, runner, документация (roadmap, coordinate calibration decision).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Независимая оценка чувствительностей: метод Ритца для ортотропной пластины Кирхгофа, free-free, 510×515 мм, жёсткости только от обшивок (D11 = D22 ∝ E·t·d²/2, D66 ∝ G12·t·d²/2, ν12 = 0.05). Сдвиг кора и клей не учтены, поэтому это верхняя оценка различимости параметров.</w:t>
      </w:r>
    </w:p>
    <w:p>
      <w:pPr>
        <w:spacing w:after="120" w:line="276"/>
      </w:pPr>
      <w:r>
        <w:t xml:space="preserve">В этом аудите </w:t>
      </w:r>
      <w:r>
        <w:rPr>
          <w:b/>
          <w:bCs/>
        </w:rPr>
        <w:t xml:space="preserve">не проверены</w:t>
      </w:r>
      <w:r>
        <w:t xml:space="preserve">: аналитическая чувствительность по собственным значениям (Q13–14), детали </w:t>
      </w:r>
      <w:r>
        <w:rPr>
          <w:rFonts w:ascii="Consolas" w:cs="Consolas" w:eastAsia="Consolas" w:hAnsi="Consolas"/>
          <w:sz w:val="20"/>
          <w:szCs w:val="20"/>
        </w:rPr>
        <w:t xml:space="preserve">FrozenRegistration.replay</w:t>
      </w:r>
      <w:r>
        <w:t xml:space="preserve"> (Q11), подпространственная обработка кластеров (Q10), полнота provenance (Q24), архитектурная связность </w:t>
      </w:r>
      <w:r>
        <w:rPr>
          <w:rFonts w:ascii="Consolas" w:cs="Consolas" w:eastAsia="Consolas" w:hAnsi="Consolas"/>
          <w:sz w:val="20"/>
          <w:szCs w:val="20"/>
        </w:rPr>
        <w:t xml:space="preserve">install_*</w:t>
      </w:r>
      <w:r>
        <w:t xml:space="preserve"> (Q26). Реальные ODB и INP не прилагались, поэтому Abaqus-путь проверен только по коду.</w:t>
      </w:r>
    </w:p>
    <w:p>
      <w:pPr>
        <w:pStyle w:val="Heading1"/>
      </w:pPr>
      <w:r>
        <w:t xml:space="preserve">3. Что показывают экспериментальные данные</w:t>
      </w:r>
    </w:p>
    <w:p>
      <w:pPr>
        <w:pStyle w:val="Heading2"/>
      </w:pPr>
      <w:r>
        <w:t xml:space="preserve">3.1. Формат файлов Polytec</w:t>
      </w:r>
    </w:p>
    <w:p>
      <w:pPr>
        <w:spacing w:after="120" w:line="276"/>
      </w:pPr>
      <w:r>
        <w:t xml:space="preserve">Оба UNV содержат только dataset 58: 121 точка (сетка 11×11), H1 velocity/force, coherence и cross spectrum, 1600 линий в диапазоне 0–500 Гц, Δf = 0.3125 Гц. Кривых аппроксимации мод (dataset 55/2414) в файлах нет. Направление измерения одно (dir 3), и маска измеренных DOF на реальных файлах определяется правильно — только U3. Координаты лежат в плоскости z = −1 и, согласно </w:t>
      </w:r>
      <w:r>
        <w:rPr>
          <w:rFonts w:ascii="Consolas" w:cs="Consolas" w:eastAsia="Consolas" w:hAnsi="Consolas"/>
          <w:sz w:val="20"/>
          <w:szCs w:val="20"/>
        </w:rPr>
        <w:t xml:space="preserve">COORDINATE_CALIBRATION_DECISION.md</w:t>
      </w:r>
      <w:r>
        <w:t xml:space="preserve">, являются некалиброванными координатами камеры.</w:t>
      </w:r>
    </w:p>
    <w:p>
      <w:pPr>
        <w:pStyle w:val="Heading2"/>
      </w:pPr>
      <w:r>
        <w:t xml:space="preserve">3.2. Пиковый метод и PolyMAX на реальных файлах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500"/>
        <w:gridCol w:w="2726"/>
      </w:tblGrid>
      <w:tr>
        <w:trPr>
          <w:tblHeader/>
        </w:trP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Образец / диапазон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LMS PolyMAX (Excel)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Программа (пиковый метод)</w:t>
            </w:r>
          </w:p>
        </w:tc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Комментарий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SP02, мода 1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28.006 Гц, ζ = 0.24 %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28.12 Гц, ζ = 0.64 %</w:t>
            </w:r>
          </w:p>
        </w:tc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+0.4 % по частоте, демпфирование завышено в 2.7 раза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SP13, 200–230 Гц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206.15 / 212.61 / 228.75 Гц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212.50 / 217.50 (ζ 2.1 %) / 229.06 Гц</w:t>
            </w:r>
          </w:p>
        </w:tc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Мода 206.15 потеряна (в индикаторе только «плечо»: 2.2 против 28.7 у соседней моды); пик 217.5 Гц ложный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SP02, &lt; 20 Гц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5.00 / 7.81 / 10.31 / 13.75 / 15.62 Гц, ζ до 49.5 %</w:t>
            </w:r>
          </w:p>
        </w:tc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Подвес и шум; пик 5.00 Гц стоит ровно на нижней границе поиска</w:t>
            </w:r>
          </w:p>
        </w:tc>
      </w:tr>
      <w:tr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SP13, 94–97 Гц</w:t>
            </w:r>
          </w:p>
        </w:tc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94.43 / 96.55 Гц</w:t>
            </w:r>
          </w:p>
        </w:tc>
        <w:tc>
          <w:tcPr>
            <w:tcW w:type="dxa" w:w="2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94.38 / 96.56 Гц</w:t>
            </w:r>
          </w:p>
        </w:tc>
        <w:tc>
          <w:tcPr>
            <w:tcW w:type="dxa" w:w="27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Пара 4a/4b разделена; когерентность в пике падает до 0.82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Ширина резонанса на уровне половинной мощности равна 2ζf. Для моды 1 SP02 это 2·0.0024·28 ≈ 0.13 Гц, то есть меньше одной линии сетки. Поэтому оценка демпфирования по половинной мощности на этих данных не работает, а частота пика квантуется с шагом ±0.16 Гц: это ±0.6 % на моде 1 и ±0.2 % на модах около 90 Гц.</w:t>
      </w:r>
    </w:p>
    <w:p>
      <w:pPr>
        <w:pStyle w:val="Heading2"/>
      </w:pPr>
      <w:r>
        <w:t xml:space="preserve">3.3. Повторяемость номинально одинаковых панелей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1500"/>
        <w:gridCol w:w="1350"/>
        <w:gridCol w:w="2176"/>
      </w:tblGrid>
      <w:tr>
        <w:trPr>
          <w:tblHeader/>
        </w:trP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Пара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Мода 1 (кручение)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Моды 2–3</w:t>
            </w:r>
          </w:p>
        </w:tc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Моды 4–9</w:t>
            </w:r>
          </w:p>
        </w:tc>
        <w:tc>
          <w:tcPr>
            <w:tcW w:type="dxa" w:w="21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Примечание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SP2 → SP10 (honeycomb, old plain)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28.01 → 29.72 Гц (+6.1 %)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+3.2 % / +1.9 %</w:t>
            </w:r>
          </w:p>
        </w:tc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+1.3 … +4.0 %</w:t>
            </w:r>
          </w:p>
        </w:tc>
        <w:tc>
          <w:tcPr>
            <w:tcW w:type="dxa" w:w="21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Чистая пара повторов (при условии одинаковых габаритов)</w:t>
            </w:r>
          </w:p>
        </w:tc>
      </w:tr>
      <w:tr>
        <w:tc>
          <w:tcPr>
            <w:tcW w:type="dxa" w:w="21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SP1 → SP13 (auxetic, old plain)</w:t>
            </w:r>
          </w:p>
        </w:tc>
        <w:tc>
          <w:tcPr>
            <w:tcW w:type="dxa" w:w="19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25.39 → 31.64 Гц (+24.6 %)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метки 2/3 переставлены</w:t>
            </w:r>
          </w:p>
        </w:tc>
        <w:tc>
          <w:tcPr>
            <w:tcW w:type="dxa" w:w="13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−3 … +5 %</w:t>
            </w:r>
          </w:p>
        </w:tc>
        <w:tc>
          <w:tcPr>
            <w:tcW w:type="dxa" w:w="21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 чистый повтор: SP1 обрезан по кор (≈502×499 мм), SP13 нет (≈510×520 мм)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Вывод для идентификации: разброс между образцами на модах 2–9 составляет 1–4 %, на крутильной моде 1 — не менее 6 %. Это разброс между образцами (specimen-to-specimen), а не шум наблюдения. Его место на уровне семейства: параметры образца с априорными распределениями. В ковариацию наблюдений Σ отдельного образца входит только повторяемость повторного испытания той же панели (переподвес, переустановка возбуждения) — её нужно измерить отдельно.</w:t>
      </w:r>
    </w:p>
    <w:p>
      <w:pPr>
        <w:pStyle w:val="Heading2"/>
      </w:pPr>
      <w:r>
        <w:t xml:space="preserve">3.4. Чувствительности по методу Ритца</w:t>
      </w:r>
    </w:p>
    <w:p>
      <w:pPr>
        <w:spacing w:after="120" w:line="276"/>
      </w:pPr>
      <w:r>
        <w:t xml:space="preserve">В свободной ортотропной пластине каждая мода делит чувствительность S = ∂ln f / ∂ln p между E и G12, и в сумме S_E + S_G = 0.5, поскольку частота пропорциональна корню из жёсткости. Результат расчёта для 510×515 мм, E = 52 ГПа, G12 = 4.5 ГПа: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6"/>
        <w:gridCol w:w="830"/>
        <w:gridCol w:w="830"/>
        <w:gridCol w:w="830"/>
        <w:gridCol w:w="830"/>
        <w:gridCol w:w="830"/>
        <w:gridCol w:w="830"/>
        <w:gridCol w:w="830"/>
        <w:gridCol w:w="830"/>
        <w:gridCol w:w="830"/>
      </w:tblGrid>
      <w:tr>
        <w:trPr>
          <w:tblHeader/>
        </w:trPr>
        <w:tc>
          <w:tcPr>
            <w:tcW w:type="dxa" w:w="15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Мода (по Ритцу)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5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 / f1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3.18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3.30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3.79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3.84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6.16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8.85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9.02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9.26</w:t>
            </w:r>
          </w:p>
        </w:tc>
      </w:tr>
      <w:tr>
        <w:tc>
          <w:tcPr>
            <w:tcW w:type="dxa" w:w="15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S_E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0.02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0.50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0.50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0.37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0.37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0.29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0.50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0.50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0.45</w:t>
            </w:r>
          </w:p>
        </w:tc>
      </w:tr>
      <w:tr>
        <w:tc>
          <w:tcPr>
            <w:tcW w:type="dxa" w:w="155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S_G12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0.48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0.14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0.13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0.21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0.00</w:t>
            </w:r>
          </w:p>
        </w:tc>
        <w:tc>
          <w:tcPr>
            <w:tcW w:type="dxa" w:w="8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0.05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1800"/>
        <w:gridCol w:w="1800"/>
        <w:gridCol w:w="1800"/>
      </w:tblGrid>
      <w:tr>
        <w:trPr>
          <w:tblHeader/>
        </w:trPr>
        <w:tc>
          <w:tcPr>
            <w:tcW w:type="dxa" w:w="3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Шум частот σ_f (на моду)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sd(E)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sd(G12)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κ</w:t>
            </w:r>
          </w:p>
        </w:tc>
      </w:tr>
      <w:tr>
        <w:tc>
          <w:tcPr>
            <w:tcW w:type="dxa" w:w="3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0.2 % (только измерение)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0.17 %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0.37 %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3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1 %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0.83 %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1.85 %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36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3 % (с учётом повторяемости)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2.5 %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5.5 %</w:t>
            </w:r>
          </w:p>
        </w:tc>
        <w:tc>
          <w:tcPr>
            <w:tcW w:type="dxa" w:w="18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2.4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По этой оценке задача с двумя параметрами хорошо обусловлена (κ ≈ 2.4), однако информацию о G12 несёт в основном мода 1 и частично моды 4a/4b и 5. У реальной панели отношение f2/f1 составляет 2.65 (SP02) и 2.34 (SP13), а у модели с одними обшивками 3.18. Значит, в реальную крутильную жёсткость заметно вкладываются клей, кор и контакт по рёбрам. Это и есть содержание находки K3.</w:t>
      </w:r>
    </w:p>
    <w:p>
      <w:pPr>
        <w:pStyle w:val="Heading1"/>
      </w:pPr>
      <w:r>
        <w:t xml:space="preserve">4. Сводная таблица находок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1400"/>
        <w:gridCol w:w="3826"/>
        <w:gridCol w:w="1500"/>
      </w:tblGrid>
      <w:tr>
        <w:trPr>
          <w:tblHeader/>
        </w:trP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Суть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результаты?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K1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scientific / numerical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Пиковый метод на Δf = 0.3125 Гц как вход идентификации: квантование, потерянные и ложные моды, неверное демпфирование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для CARBON-4C/5A (PolyMAX)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K2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numerical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Ранг считается с допуском eps; нет критерия, привязанного к целевой точности 5 % / 8 %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Трактовку §32 — да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K3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scientific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G12 только по сэндвичу не получает «ОПРЕДЕЛЕНО» без независимого ограничения кора и интерфейса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Трактовку G12 — да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K4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КРИТИЧНО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UX / architecture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Без паспорта образца регистрация некалиброванной сетки неоднозначна (16 эквивалентных кандидатов)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missing integration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 оркестратора Abaqus-цикла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V2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Shared-carbon жёстко привязан к SP02/SP13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V3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scientific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E параметризуется при фиксированной толщине; неопределённость толщины не распространяется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Погрешность E — да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V4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scientific / software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Внутри inverse-цикла пары пересобираются со шлюзами нормального режима (MAC ≥ 0.5, |Δf| ≤ 15 %)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UNKNOWN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V5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software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Идентичность кэша ODB = путь + размер + mtime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 (при уникальных именах job)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V6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software / UX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Пики подвеса и граничный артефакт на 5.0 Гц попадают в кандидаты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V7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software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CI на Linux красный: тест с Windows-путями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Ж1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1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ЖЕЛАТЕЛЬНО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tests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 регрессионных тестов на реальных UNV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Ж2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1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ЖЕЛАТЕЛЬНО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architecture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33 тыс. строк, многослойные обёртки; ядро Auto-ID должно быть тонким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6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Ж3</w:t>
            </w:r>
          </w:p>
        </w:tc>
        <w:tc>
          <w:tcPr>
            <w:tcW w:type="dxa" w:w="17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1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ЖЕЛАТЕЛЬНО</w:t>
            </w:r>
          </w:p>
        </w:tc>
        <w:tc>
          <w:tcPr>
            <w:tcW w:type="dxa" w:w="14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QC / UX</w:t>
            </w:r>
          </w:p>
        </w:tc>
        <w:tc>
          <w:tcPr>
            <w:tcW w:type="dxa" w:w="3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Флаги качества: разрешение по частоте, провалы когерентности в резонансе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Находки подробно</w:t>
      </w:r>
    </w:p>
    <w:p>
      <w:pPr>
        <w:pStyle w:val="Heading2"/>
      </w:pPr>
      <w:r>
        <w:t xml:space="preserve">КРИТИЧНО</w:t>
      </w:r>
    </w:p>
    <w:p>
      <w:pPr>
        <w:pStyle w:val="Heading3"/>
      </w:pPr>
      <w:r>
        <w:t xml:space="preserve">K1. Вход идентификации — пиковый метод на грубой частотной сетке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scientific / numerical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src/universal_reader.py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_detect_frf_peak_indices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_modes_from_frf_datasets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_estimate_half_power_damping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Если в UNV есть только dataset 58, моды строятся по пикам нормы FRF-матрицы. Перед этим индикатор сглаживается фильтром Савицкого–Голея (окно ≈ 2 Гц), а минимальное расстояние между пиками 1.25 Гц. На реальных данных (§3.2): мода 206.15 Гц у SP13 потеряна, ложный пик 217.5 Гц создан, демпфирование моды 1 у SP02 завышено в 2.7 раза. Пары ближе 1.25 Гц разделить нельзя в принципе: у SP1 расстояние 4a/4b равно 0.64 Гц.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Идентификация принимает только curve-fitted моды: dataset 55/2414 из Testlab PolyMAX (импорт уже есть) или встроенную многомодовую аппроксимацию FRF. Peak-derived моды допустимы только для просмотра и screening.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Частота моды 1 — главный источник G12 (S ≈ 0.48). Квантование ±0.6 % даёт ±1.2 % по G12. Ложная мода в окне ±15 % при MAC ≥ 0.5 может стать партнёром FE-моды 6a/6b и сдвинуть оптимум.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Воспроизведение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load_universal_modal_file(Path("SP13_…_260909.unv"))</w:t>
            </w:r>
            <w:r>
              <w:rPr>
                <w:sz w:val="19"/>
                <w:szCs w:val="19"/>
              </w:rPr>
              <w:t xml:space="preserve"> → частоты 212.50, 217.50, 229.06 в диапазоне 200–230 Гц; сравнить со столбцом SP13 в Excel.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(1) Запрет на peak-derived вход в identification с явным сообщением. (2) Сделать основным путём экспорт из Testlab UNV dataset 55 с формами. (3) Опционально: встроенный LSCF / rational-fraction fit в полосе вокруг каждого кандидата. (4) Протокол измерений: zoom-FFT или Δf ≤ ζ·f / 3.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для замороженных исследований CARBON-4C/5A.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docs/registrations/SP02_frozen_registration.json</w:t>
            </w:r>
            <w:r>
              <w:rPr>
                <w:sz w:val="19"/>
                <w:szCs w:val="19"/>
              </w:rPr>
              <w:t xml:space="preserve"> привязан к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SP02_polymax_retry_260803.unv</w:t>
            </w:r>
            <w:r>
              <w:rPr>
                <w:sz w:val="19"/>
                <w:szCs w:val="19"/>
              </w:rPr>
              <w:t xml:space="preserve"> (modal set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bravo-1</w:t>
            </w:r>
            <w:r>
              <w:rPr>
                <w:sz w:val="19"/>
                <w:szCs w:val="19"/>
              </w:rPr>
              <w:t xml:space="preserve">), SP13 — к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SP13_a_polymax.unv</w:t>
            </w:r>
            <w:r>
              <w:rPr>
                <w:sz w:val="19"/>
                <w:szCs w:val="19"/>
              </w:rPr>
              <w:t xml:space="preserve"> (modal set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best</w:t>
            </w:r>
            <w:r>
              <w:rPr>
                <w:sz w:val="19"/>
                <w:szCs w:val="19"/>
              </w:rPr>
              <w:t xml:space="preserve">, 289 точек), то есть к PolyMAX. Правило на будущее: peak-derived моды запрещены как вход production Auto-ID; любые другие прежние исследования проверяются по provenance экспериментальных modal sets.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K2. Числовой ранг с машинным допуском не отвечает на вопрос о точности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numerical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src/services/identifiability_service.py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_rank_tolerance</w:t>
            </w:r>
            <w:r>
              <w:rPr>
                <w:sz w:val="19"/>
                <w:szCs w:val="19"/>
              </w:rPr>
              <w:t xml:space="preserve"> (при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rcond=None</w:t>
            </w:r>
            <w:r>
              <w:rPr>
                <w:sz w:val="19"/>
                <w:szCs w:val="19"/>
              </w:rPr>
              <w:t xml:space="preserve"> допуск равен max(m, n)·eps·σ_max)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Допуск порядка 1e-15·σ_max. Чувствительности из конечных разностей Abaqus (шаг ±5 %, конечная точность решателя и записи в ODB) никогда не опускаются ниже такого порога, поэтому почти любая матрица получается полного ранга. Утверждение брифа §32 «rank 2» говорит лишь о том, что столбцы не коллинеарны в точности.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Практическая различимость с вердиктом относительно целевой точности. Нужно вычислить sd(ln p_j) = √[(S̃ᵀS̃)⁻¹]_jj для отбелённой матрицы S̃ = Σ^(−1/2)·S с реалистичной Σ (измерение + повторяемость повторного испытания той же панели), с параметрами образцов и их априорными распределениями в той же матрице, и выдать вердикт по порогам 5 % и 8 %. Model-form оценивается после подгонки отдельным блоком (ТЗ v1.1, S7), а не через Σ. Порог ранга должен быть не ниже шума конечных разностей, например rcond ≥ 1e-3.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Пользователь просит 1–5 %, максимум 8 %. Без такого вердикта программа выдаст число с ложной точностью: при Σ, содержащей только шум измерения (0.2 %), получится «G12 ± 0.4 %», а реальный разброс между образцами на порядок больше.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Воспроизведение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Любая матрица S размера 9×2 с почти коллинеарными столбцами (угол 0.1°) при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rcond=None</w:t>
            </w:r>
            <w:r>
              <w:rPr>
                <w:sz w:val="19"/>
                <w:szCs w:val="19"/>
              </w:rPr>
              <w:t xml:space="preserve"> даёт rank = 2.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Ввести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PracticalIdentifiability</w:t>
            </w:r>
            <w:r>
              <w:rPr>
                <w:sz w:val="19"/>
                <w:szCs w:val="19"/>
              </w:rPr>
              <w:t xml:space="preserve"> с полями sd_j, verdict ∈ {IDENTIFIED, WIDE, NOT_IDENTIFIABLE}, вклады в погрешность по источникам. Значение rcond по умолчанию увязать с шумом конечных разностей. Проверить, что ни один путь не позволяет переопределить вердикт NOT_IDENTIFIABLE.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Трактовку результата «rank 2» — да. Числа — нет.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K3. G12 только по сэндвичу не получает вердикт «ОПРЕДЕЛЕНО»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scientific (класс 3 по брифу §45, не дефект кода)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src/services/shared_carbon_forward.py</w:t>
            </w:r>
            <w:r>
              <w:rPr>
                <w:sz w:val="19"/>
                <w:szCs w:val="19"/>
              </w:rPr>
              <w:t xml:space="preserve"> (кандидат E_in-plane, G12); постановка shared-carbon v1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 свободной сэндвич-панели наибольшую чувствительность к G12 имеет мода 1 (кручение): S_G ≈ 0.48; у мод 4a/4b около 0.13, у моды 5 около 0.21, у остальных 0–0.05. Реальная full-Abaqus чувствительность CARBON-5A также показывает, что E и G12 локально различимы. Проблема не в отсутствии чувствительности, а в смешении с кором и интерфейсом. Разброс этой моды между повторами составляет +6.1 % для SP2 → SP10, что даёт Δln G ≈ 0.12 (около 13 % по G12). Для SP1 → SP13 разброс +24.6 %, то есть около 58 %, но там различаются габариты. Отношение f2/f1 у реальных панелей (2.34–2.65) далеко от модели с одними обшивками (3.18).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Основной источник G12 — голая пластина (Stage A: D66 = G·t³/12, кручение без клея и кора). Сэндвич даёт вторичное свидетельство. G12 только по сэндвичу получает «ОПРЕДЕЛЕНО» лишь при независимом ограничении параметров кора и интерфейса и пройденном тесте согласованности семейства. Решение принимается по полной матрице практической различимости, включая параметры образцов (ТЗ v1.1, S5).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Иначе оптимизатор запишет качество склейки конкретной панели в «свойство карбона», и для двух образцов из одного листа получатся разные G12. Это ровно тот конфликт SP02/SP13, который описан в брифе §33.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Воспроизведение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Excel, лист «SPname_files 260909»: столбцы SP2/SP10 и SP1/SP13, мода 1.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См. ТЗ v1.1, §4 и S5: E_in — общий параметр семейства, G12 — Stage A как основной источник, k_core и k_int — параметры образца; остаточная доля чувствительности q_G после проекции на пространство nuisance-параметров показывает, сколько информации о G12 остаётся у сэндвича.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Трактовку любого G12, полученного по сэндвичу, — да.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K4. Регистрация некалиброванной камеры-сетки неоднозначна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КРИТИЧНО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UX / architecture (правильный отказ, но блокирует автоматику)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src/reviewed_core.py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geometry_alignment_candidates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_select_unambiguous_geometry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Реальные сетки SP02 и SP13 сопоставлялись с плотной сеткой пластины. Получено 32 кандидата, из них 16 физически различных: два масштаба (0.79 или 0.85 против 1.0) × 8 ориентаций группы квадрата. У всех нормированная RMS одинакова (0.0028), поэтому выбрасывается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GeometryOrientationAmbiguousError</w:t>
            </w:r>
            <w:r>
              <w:rPr>
                <w:sz w:val="19"/>
                <w:szCs w:val="19"/>
              </w:rPr>
              <w:t xml:space="preserve">. С точки зрения науки поведение верное (см.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COORDINATE_CALIBRATION_DECISION.md</w:t>
            </w:r>
            <w:r>
              <w:rPr>
                <w:sz w:val="19"/>
                <w:szCs w:val="19"/>
              </w:rPr>
              <w:t xml:space="preserve">), но в режиме «два файла» программа на каждой почти квадратной панели будет останавливаться.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Калибровка и ориентация задаются один раз на образец физическими данными (паспорт образца), а не подбираются решателем.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Без этого «пользователь-дурак» не дойдёт до сравнения; а если позволить выбирать автоматически, ориентация будет выбираться по MAC, что запрещено.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Воспроизведение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geometry_alignment_candidates(FE_grid_510x520, SP13_coordinates)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_select_unambiguous_geometry</w:t>
            </w:r>
            <w:r>
              <w:rPr>
                <w:sz w:val="19"/>
                <w:szCs w:val="19"/>
              </w:rPr>
              <w:t xml:space="preserve"> → исключение с 16 кандидатами.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specimen.json</w:t>
            </w:r>
            <w:r>
              <w:rPr>
                <w:sz w:val="19"/>
                <w:szCs w:val="19"/>
              </w:rPr>
              <w:t xml:space="preserve"> с измеренными габаритами, признаком «сетка до краёв» или координатами углов сетки и маркером ориентации (какая точка UNV лежит у помеченного угла A). Изменение протокола в PSV: указывать реальное расстояние или эталонную длину, начинать сетку у помеченного угла, фотографировать.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ВАЖНО</w:t>
      </w:r>
    </w:p>
    <w:p>
      <w:pPr>
        <w:pStyle w:val="Heading3"/>
      </w:pPr>
      <w:r>
        <w:t xml:space="preserve">V1. Нет оркестратора Abaqus-цикла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missing integration (класс 5)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src/material_identification_runner.py</w:t>
            </w:r>
            <w:r>
              <w:rPr>
                <w:sz w:val="19"/>
                <w:szCs w:val="19"/>
              </w:rPr>
              <w:t xml:space="preserve"> (прямо заявлено «no … Abaqus process integration»),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src/services/matrix_model_service.py</w:t>
            </w:r>
            <w:r>
              <w:rPr>
                <w:sz w:val="19"/>
                <w:szCs w:val="19"/>
              </w:rPr>
              <w:t xml:space="preserve"> (subprocess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abaqus job=…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shared_carbon_forward.py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abaqus_bridge.py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Все компоненты существуют: запуск Abaqus с таймаутом, детерминированный INP, извлечение ODB, FrozenRegistration, провайдер сопоставления Stage A. Цепочки «кандидат → jobs → ODB → пары → невязка → шаг → останов» нет. Inverse solver работает только с аффинной матричной моделью Stage A.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Сервис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auto_identification</w:t>
            </w:r>
            <w:r>
              <w:rPr>
                <w:sz w:val="19"/>
                <w:szCs w:val="19"/>
              </w:rPr>
              <w:t xml:space="preserve"> с конечным числом запусков (1 + 2n на итерацию, не более 4–5 итераций), отслеживанием ветвей, критерием останова и возобновлением после сбоя.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Это единственная недостающая инженерная часть для цели «эксперимент + модель → константы» в случае сэндвича.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См. ТЗ Auto-ID, §5–6. Не добавлять новый слой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install_*</w:t>
            </w:r>
            <w:r>
              <w:rPr>
                <w:sz w:val="19"/>
                <w:szCs w:val="19"/>
              </w:rPr>
              <w:t xml:space="preserve">; сделать модуль сервиса и CLI-точку входа для пакетного прогона.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V2. Shared-carbon жёстко привязан к SP02/SP13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architecture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shared_carbon_forward.py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sp02_forward_baseline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sp13_forward_baseline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_SP0x_SOURCE_INP_SHA256</w:t>
            </w:r>
            <w:r>
              <w:rPr>
                <w:sz w:val="19"/>
                <w:szCs w:val="19"/>
              </w:rPr>
              <w:t xml:space="preserve">, имена материалов, число собственных значений;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src/sp13_evidence_adapter.py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Образцы, хэши INP, имена материалов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CFRP_T300_PlainWeave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CFRP_Face</w:t>
            </w:r>
            <w:r>
              <w:rPr>
                <w:sz w:val="19"/>
                <w:szCs w:val="19"/>
              </w:rPr>
              <w:t xml:space="preserve">), число запрашиваемых мод и хэши регистрации зашиты в код. Для 13 образцов и трёх семейств карбона придётся каждый раз править исходники.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Данные об образце живут в манифесте (JSON), код один для всех образцов.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Каждая правка кода под новый образец — это риск рассинхронизации provenance и повод заново прогонять весь набор тестов.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domain/specimen_manifest.py</w:t>
            </w:r>
            <w:r>
              <w:rPr>
                <w:sz w:val="19"/>
                <w:szCs w:val="19"/>
              </w:rPr>
              <w:t xml:space="preserve"> + универсальный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write_forward_job_inp(manifest, candidate)</w:t>
            </w:r>
            <w:r>
              <w:rPr>
                <w:sz w:val="19"/>
                <w:szCs w:val="19"/>
              </w:rPr>
              <w:t xml:space="preserve">. Приёмочный критерий: для SP02 и SP13 генерируются INP, байт в байт совпадающие с нынешними.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V3. E параметризуется при фиксированной толщине обшивки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scientific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shared_carbon_forward.py</w:t>
            </w:r>
            <w:r>
              <w:rPr>
                <w:sz w:val="19"/>
                <w:szCs w:val="19"/>
              </w:rPr>
              <w:t xml:space="preserve"> (кандидат E_in-plane), сравнить с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docs/ROADMAP_Stage_Inverse_Identification.md</w:t>
            </w:r>
            <w:r>
              <w:rPr>
                <w:sz w:val="19"/>
                <w:szCs w:val="19"/>
              </w:rPr>
              <w:t xml:space="preserve"> §1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Roadmap справедливо требует считать первичной величиной q_s = A·d_s² и выводить E с распространением погрешности (δA/A ≥ 2·δd/d). Shared-carbon v1 подбирает E напрямую при толщине из INP и не переносит неопределённость t и d на результат.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Для сэндвича δE/E ≈ δt/t + 2·δd/d. При t = 0.45 ± 0.02 мм и d = 2.41 ± 0.02 мм это около 6 %, то есть весь бюджет точности. Толщина должна быть параметром образца с априорным распределением из измерений, а E — выводиться с полной погрешностью.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Иначе «E = 45 000 ± 1 %» окажется ложной точностью. Значение 0.4 мм от производителя на деле даёт 0.45 мм, это 12 %.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Ввести толщину в паспорт образца (9+ точек микрометром на лист до склейки). В отчёте показывать E с разложением погрешности по источникам: частоты, толщина, повторяемость.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Погрешность любого опубликованного E — да.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V4. Внутри inverse-цикла применяются шлюзы нормального режима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scientific / software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src/services/stage_a_identification_service.py</w:t>
            </w:r>
            <w:r>
              <w:rPr>
                <w:sz w:val="19"/>
                <w:szCs w:val="19"/>
              </w:rPr>
              <w:t xml:space="preserve"> (около строки 964: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self.comparator(candidate, experimental, …)</w:t>
            </w:r>
            <w:r>
              <w:rPr>
                <w:sz w:val="19"/>
                <w:szCs w:val="19"/>
              </w:rPr>
              <w:t xml:space="preserve"> без порогов)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compare_modal_datasets</w:t>
            </w:r>
            <w:r>
              <w:rPr>
                <w:sz w:val="19"/>
                <w:szCs w:val="19"/>
              </w:rPr>
              <w:t xml:space="preserve"> с умолчаниями MAC ≥ 0.50, |Δf| ≤ 15 %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Production-провайдер сопоставления для каждого кандидата вызывает нормальный компаратор с его умолчаниями. Пороги из roadmap (0.7 / 0.85) в коде не найдены.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C3B2_MODE_IDENTITY_CAVEAT</w:t>
            </w:r>
            <w:r>
              <w:rPr>
                <w:sz w:val="19"/>
                <w:szCs w:val="19"/>
              </w:rPr>
              <w:t xml:space="preserve"> прямо указано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cluster_subspace_residual_implemented: False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Отдельная именованная политика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IdentificationPairingPolicy</w:t>
            </w:r>
            <w:r>
              <w:rPr>
                <w:sz w:val="19"/>
                <w:szCs w:val="19"/>
              </w:rPr>
              <w:t xml:space="preserve">: MAC ≥ 0.8 в опорной точке, набор пар замораживается, дальше ветви отслеживаются FE–FE (mass-)MAC. Близкие пары (4a/4b, 6a/6b) обрабатываются как кластер с невязкой по среднему ln f.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Почему это важно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 пар 4a/4b и 6a/6b расстояние 0.7–3 %, перекрёстный MAC у FE-кандидатов при изменении параметров может превышать 0.5. При мягких шлюзах пары меняются местами между итерациями, целевая функция «прыгает», и оптимум может оказаться на чужой ветви (вопрос брифа Q20).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Передавать политику явно, по умолчанию строгую. Добавить тест: при обмене пары между итерациями оптимизатор останавливается с отказом.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UNKNOWN (для синтетических кампаний Stage A).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V5. Идентичность кэша ODB определяется путём, размером и mtime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software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abaqus_bridge._source_signature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fast_cache._file_signature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Если файл копируется с сохранением времени (robocopy /COPY:DAT, распаковка 7z/zip, синхронизация облаком), а размер совпадает (та же модель, то же число мод), кэш примет чужой ODB. Внутри shared-carbon имена job содержат хэш INP, и это защищает цикл; ручной путь не защищён.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Идентичность по содержимому: SHA-256 ODB (или хотя бы хэш INP-источника плюс Abaqus job ID / дата из .msg).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Добавить в сигнатуру хэш INP 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.dat</w:t>
            </w:r>
            <w:r>
              <w:rPr>
                <w:sz w:val="19"/>
                <w:szCs w:val="19"/>
              </w:rPr>
              <w:t xml:space="preserve">-штамп завершения; для ODB объёмом до 2 ГБ полный SHA-256 занимает секунды и приемлем.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(при уникальных именах job).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V6. Пики подвеса и граничный артефакт попадают в экспериментальные кандидаты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software / UX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universal_reader._detect_frf_peak_indices</w:t>
            </w:r>
            <w:r>
              <w:rPr>
                <w:sz w:val="19"/>
                <w:szCs w:val="19"/>
              </w:rPr>
              <w:t xml:space="preserve"> (lower_frequency = 5 Гц)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У SP02 пять кандидатов ниже 16 Гц с ζ до 49.5 %; пик 5.00 Гц — граница диапазона поиска. Шлюзы не дают им сопоставиться, но пользователь видит их как «несопоставленные экспериментальные моды».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Порог подвеса задаётся в паспорте образца (или автоматически — по наибольшему относительному разрыву частот ниже первой моды с чистой формой); локальные максимумы на краю диапазона и кандидаты с ζ &gt; 5 % отбрасываются с пометкой в QC.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Как описано; ни в коем случае не использовать для этого частоты FE (roadmap прямо это запрещает).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V7. CI на Linux красный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ВАЖНО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software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tests/test_material_identification_ui.py::ProjectEvidenceStatusTests::test_selected_and_validated_states_display_correctly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Тест ожидает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panel.odb</w:t>
            </w:r>
            <w:r>
              <w:rPr>
                <w:sz w:val="19"/>
                <w:szCs w:val="19"/>
              </w:rPr>
              <w:t xml:space="preserve"> из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C:\models\panel.odb</w:t>
            </w:r>
            <w:r>
              <w:rPr>
                <w:sz w:val="19"/>
                <w:szCs w:val="19"/>
              </w:rPr>
              <w:t xml:space="preserve">. На Linux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Path(...).name</w:t>
            </w:r>
            <w:r>
              <w:rPr>
                <w:sz w:val="19"/>
                <w:szCs w:val="19"/>
              </w:rPr>
              <w:t xml:space="preserve"> не делит по обратной косой черте, поэтому возвращается весь путь. CI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ubuntu-latest</w:t>
            </w:r>
            <w:r>
              <w:rPr>
                <w:sz w:val="19"/>
                <w:szCs w:val="19"/>
              </w:rPr>
              <w:t xml:space="preserve">) на этом HEAD должен падать.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Как должно быть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Платформонезависимое отображение имени файла.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 коде отображения использовать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ntpath.basename</w:t>
            </w:r>
            <w:r>
              <w:rPr>
                <w:sz w:val="19"/>
                <w:szCs w:val="19"/>
              </w:rPr>
              <w:t xml:space="preserve"> или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PureWindowsPath</w:t>
            </w:r>
            <w:r>
              <w:rPr>
                <w:sz w:val="19"/>
                <w:szCs w:val="19"/>
              </w:rPr>
              <w:t xml:space="preserve"> для путей с обратной косой чертой, либо сделать тест нейтральным к платформе.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Меняет прежние научные результаты?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ЖЕЛАТЕЛЬНО</w:t>
      </w:r>
    </w:p>
    <w:p>
      <w:pPr>
        <w:pStyle w:val="Heading3"/>
      </w:pPr>
      <w:r>
        <w:t xml:space="preserve">Ж1. Нет регрессионных тестов на реальных UNV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1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ЖЕЛАТЕЛЬНО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tests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experimental_data/</w:t>
            </w:r>
            <w:r>
              <w:rPr>
                <w:sz w:val="19"/>
                <w:szCs w:val="19"/>
              </w:rPr>
              <w:t xml:space="preserve"> (только README),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Все 873 теста работают на синтетических данных. Реальные особенности (плечо моды 206 Гц, пики подвеса, некалиброванная сетка) тестами не покрыты (вопрос брифа Q28).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Добавить UNV SP02 и SP13 (около 8.5 МБ в RAR) через git LFS или внешний фикстур с закреплённым SHA-256; эталон — PolyMAX-частоты из Excel и FrozenRegistration-хэши.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Ж2. Объём и слоистость кода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1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ЖЕЛАТЕЛЬНО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architecture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78 модулей в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src/</w:t>
            </w:r>
            <w:r>
              <w:rPr>
                <w:sz w:val="19"/>
                <w:szCs w:val="19"/>
              </w:rPr>
              <w:t xml:space="preserve">, около 33 тыс. строк; слои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*_hardening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*_reviewed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install_*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Поведение сравнения собирается из нескольких слоёв обёрток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modal_core.compare_modal_datasets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quality_control_reviewed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quality_control</w:t>
            </w:r>
            <w:r>
              <w:rPr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reviewed_core</w:t>
            </w:r>
            <w:r>
              <w:rPr>
                <w:sz w:val="19"/>
                <w:szCs w:val="19"/>
              </w:rPr>
              <w:t xml:space="preserve">). Это затрудняет ответ на вопрос «какие шлюзы реально применились» (см. V4).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Ядро Auto-ID сделать тонким (ориентир 1–2 тыс. строк) с явной передачей политик; рефакторинг остального не требуется.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Ж3. Флаги качества эксперимента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1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ЖЕЛАТЕЛЬНО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Категория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QC / UX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Файл / функция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universal_reader</w:t>
            </w:r>
            <w:r>
              <w:rPr>
                <w:sz w:val="19"/>
                <w:szCs w:val="19"/>
              </w:rPr>
              <w:t xml:space="preserve">, FRF-дашборд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Что наблюдается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Средняя когерентность 0.99 скрывает провалы в резонансах: 0.76 на 212.5 Гц и 0.82 на 96.56 Гц у SP13 — типичный признак утечки при недостаточном разрешении. Демпфирование по половинной мощности при ширине резонанса меньше трёх линий не помечается как недостоверное.</w:t>
            </w:r>
          </w:p>
        </w:tc>
      </w:tr>
      <w:tr>
        <w:tc>
          <w:tcPr>
            <w:tcW w:type="dxa" w:w="22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1F3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Исправление</w:t>
            </w:r>
          </w:p>
        </w:tc>
        <w:tc>
          <w:tcPr>
            <w:tcW w:type="dxa" w:w="68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Флаг «резонанс не разрешён (2ζf &lt; 3Δf)» и флаг «когерентность в пике &lt; 0.9»; в отчёте Auto-ID показывать их рядом с каждой модой.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Что подтверждено как корректное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Вопрос брифа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Результат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Основание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Q3 Маска измеренных DOF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Корректно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На реальных UNV определена только U3; MAC считается по маске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Q4 Геометрия выбирается по MAC?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 — корректно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_select_unambiguous_geometry</w:t>
            </w:r>
            <w:r>
              <w:rPr>
                <w:sz w:val="18"/>
                <w:szCs w:val="18"/>
              </w:rPr>
              <w:t xml:space="preserve"> использует только RMS и долю совпавших точек; при неоднозначности отказ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Q7–8 Admissibility до венгерского алгоритма; может ли недопустимая пара пройти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Корректно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_admissible_assignment</w:t>
            </w:r>
            <w:r>
              <w:rPr>
                <w:sz w:val="18"/>
                <w:szCs w:val="18"/>
              </w:rPr>
              <w:t xml:space="preserve">: запрещённая стоимость + фиктивные «unmatched» + повторный фильтр по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admissible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Q9 Знак ошибки частоты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Корректно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frequency_error_percent</w:t>
            </w:r>
            <w:r>
              <w:rPr>
                <w:sz w:val="18"/>
                <w:szCs w:val="18"/>
              </w:rPr>
              <w:t xml:space="preserve"> = (FE − EXP) / |EXP|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Q21 MAC в целевой функции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 входит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inverse_solver</w:t>
            </w:r>
            <w:r>
              <w:rPr>
                <w:sz w:val="18"/>
                <w:szCs w:val="18"/>
              </w:rPr>
              <w:t xml:space="preserve">: MAC хранится как свидетельство сопоставления, невязка — по частотам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Q22–23 Детерминизм INP; затрагивается ли лишнее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Корректно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Фиксированный SHA источника, проверка исходных констант, меняются только E1/E2/G12 и число мод; имя job = хэш содержимого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Q25 GUI выдаёт research за production?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Вкладка Material Identification явно помечена как presentation-only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Q1 Устаревший кэш ODB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Частично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См. V5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Q16–17 Численный ранг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См. K2</w:t>
            </w:r>
          </w:p>
        </w:tc>
      </w:tr>
      <w:tr>
        <w:tc>
          <w:tcPr>
            <w:tcW w:type="dxa" w:w="30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Q27–28 Реальные данные в тестах</w:t>
            </w:r>
          </w:p>
        </w:tc>
        <w:tc>
          <w:tcPr>
            <w:tcW w:type="dxa" w:w="15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Нет</w:t>
            </w:r>
          </w:p>
        </w:tc>
        <w:tc>
          <w:tcPr>
            <w:tcW w:type="dxa" w:w="452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См. Ж1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Рекомендуемый порядок работ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V7 (CI) и Ж1 (реальные фикстуры) — чтобы каждое следующее изменение проверялось на SP02 и SP13.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K1: запрет peak-derived входа в идентификацию и импорт PolyMAX dataset 55 как основной путь. Параллельно — экспорт форм из Testlab для SP02 и SP13.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K4 + V2: паспорт образца (</w:t>
      </w:r>
      <w:r>
        <w:rPr>
          <w:rFonts w:ascii="Consolas" w:cs="Consolas" w:eastAsia="Consolas" w:hAnsi="Consolas"/>
          <w:sz w:val="20"/>
          <w:szCs w:val="20"/>
        </w:rPr>
        <w:t xml:space="preserve">specimen.json</w:t>
      </w:r>
      <w:r>
        <w:t xml:space="preserve">) и универсальный forward builder. Приёмка: прежние хэши SP02/SP13 воспроизводятся.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K2 + V3 + V4: практическая различимость, бюджет погрешности с толщиной, строгая политика сопоставления.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V1: оркестратор и синтетический тест «двойника» (эксперимент = Abaqus при известных E и G).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K3: голая пластина twill 350×350 через Stage A → G12 и D11; затем сэндвичи семейства → E_in; после CARBON-5F — расчёт q_G для G12 по сэндвичам.</w:t>
      </w:r>
    </w:p>
    <w:p>
      <w:pPr>
        <w:spacing w:after="120" w:line="276"/>
      </w:pPr>
      <w:r>
        <w:t xml:space="preserve">Подробная постановка, форматы входа и выхода и критерии приёмки по этапам — в сопроводительном ТЗ Auto-ID v1.1.</w:t>
      </w:r>
    </w:p>
    <w:p>
      <w:pPr>
        <w:pStyle w:val="Heading1"/>
      </w:pPr>
      <w:r>
        <w:t xml:space="preserve">8. Изменения в версии 1.1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Число тестов исправлено: 873 запущено, 870 прошли, 1 упал, 2 пропущены (в v1 ошибочно было 872 прошли).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K1: влияние на CARBON-4C/5A — NO; основание — provenance замороженных регистраций (PolyMAX).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K3 переформулирован: не «G12 по сэндвичу запрещён», а «без независимого ограничения nuisance-параметров G12 только по сэндвичу не получает ОПРЕДЕЛЕНО»; уточнены чувствительности мод 4a/4b и 5.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§3.3: разделены разброс между образцами (уровень семейства) и повторяемость повторного испытания одной панели (ковариация наблюдений).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4A3"/>
        <w:sz w:val="16"/>
        <w:szCs w:val="16"/>
      </w:rPr>
      <w:t xml:space="preserve">Аудит Modal Comparator 121ba1d — цель Auto-ID —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Аудит Modal Comparator 121ba1d — цель Auto-ID — v1.1</dc:title>
  <dc:creator>Claude</dc:creator>
  <cp:lastModifiedBy>Un-named</cp:lastModifiedBy>
  <cp:revision>1</cp:revision>
  <dcterms:created xsi:type="dcterms:W3CDTF">2026-10-03T12:02:51.891Z</dcterms:created>
  <dcterms:modified xsi:type="dcterms:W3CDTF">2026-10-03T12:02:51.891Z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