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A5F"/>
          <w:sz w:val="36"/>
          <w:szCs w:val="36"/>
        </w:rPr>
        <w:t xml:space="preserve">Техническое задание: режим автоматической идентификации (Auto-ID) v1.1</w:t>
      </w:r>
    </w:p>
    <w:p>
      <w:pPr>
        <w:pBdr>
          <w:bottom w:val="single" w:color="1F3A5F" w:sz="8" w:space="6"/>
        </w:pBdr>
        <w:spacing w:after="200"/>
      </w:pPr>
      <w:r>
        <w:rPr>
          <w:color w:val="44546A"/>
          <w:sz w:val="24"/>
          <w:szCs w:val="24"/>
        </w:rPr>
        <w:t xml:space="preserve">Abaqus–Simcenter Modal Comparator — от «двух файлов» к инженерным константам с честной оценкой точности</w:t>
      </w:r>
    </w:p>
    <w:p>
      <w:pPr>
        <w:spacing w:after="40"/>
      </w:pPr>
      <w:r>
        <w:rPr>
          <w:b/>
          <w:bCs/>
          <w:color w:val="44546A"/>
          <w:sz w:val="19"/>
          <w:szCs w:val="19"/>
        </w:rPr>
        <w:t xml:space="preserve">Версия:</w:t>
      </w:r>
      <w:r>
        <w:rPr>
          <w:color w:val="44546A"/>
          <w:sz w:val="19"/>
          <w:szCs w:val="19"/>
        </w:rPr>
        <w:t xml:space="preserve"> 1.1 (03.10.2026) — согласована после двух рецензий, изменения в §10  ·  </w:t>
      </w:r>
      <w:r>
        <w:rPr>
          <w:b/>
          <w:bCs/>
          <w:color w:val="44546A"/>
          <w:sz w:val="19"/>
          <w:szCs w:val="19"/>
        </w:rPr>
        <w:t xml:space="preserve">Базовый snapshot:</w:t>
      </w:r>
      <w:r>
        <w:rPr>
          <w:color w:val="44546A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44546A"/>
          <w:sz w:val="18"/>
          <w:szCs w:val="18"/>
        </w:rPr>
        <w:t xml:space="preserve">121ba1d</w:t>
      </w:r>
    </w:p>
    <w:p>
      <w:pPr>
        <w:spacing w:after="40"/>
      </w:pPr>
      <w:r>
        <w:rPr>
          <w:b/>
          <w:bCs/>
          <w:color w:val="44546A"/>
          <w:sz w:val="19"/>
          <w:szCs w:val="19"/>
        </w:rPr>
        <w:t xml:space="preserve">Связанный документ:</w:t>
      </w:r>
      <w:r>
        <w:rPr>
          <w:color w:val="44546A"/>
          <w:sz w:val="19"/>
          <w:szCs w:val="19"/>
        </w:rPr>
        <w:t xml:space="preserve"> «Аудит Modal Comparator 121ba1d — цель Auto-ID» v1.1 (ссылки на находки вида K1, V3)</w:t>
      </w:r>
    </w:p>
    <w:p>
      <w:pPr>
        <w:spacing w:after="40"/>
      </w:pPr>
      <w:r>
        <w:rPr>
          <w:b/>
          <w:bCs/>
          <w:color w:val="44546A"/>
          <w:sz w:val="19"/>
          <w:szCs w:val="19"/>
        </w:rPr>
        <w:t xml:space="preserve">Адресат:</w:t>
      </w:r>
      <w:r>
        <w:rPr>
          <w:color w:val="44546A"/>
          <w:sz w:val="19"/>
          <w:szCs w:val="19"/>
        </w:rPr>
        <w:t xml:space="preserve"> разработчик или агент, реализующий этапы M0–M8 строго по порядку</w:t>
      </w:r>
    </w:p>
    <w:p>
      <w:pPr>
        <w:spacing w:after="200"/>
      </w:pPr>
    </w:p>
    <w:p>
      <w:pPr>
        <w:pStyle w:val="Heading1"/>
      </w:pPr>
      <w:r>
        <w:t xml:space="preserve">0. Верхнее правило</w:t>
      </w:r>
    </w:p>
    <w:p>
      <w:pPr>
        <w:shd w:fill="EEF3F8" w:color="auto" w:val="clear"/>
        <w:spacing w:after="120" w:line="276"/>
      </w:pPr>
      <w:r>
        <w:rPr>
          <w:b/>
          <w:bCs/>
        </w:rPr>
        <w:t xml:space="preserve">Auto-ID выдаёт число только тогда, когда данные и модель позволяют определить его с заявленной точностью. Отказ выдать число является штатным научным результатом.</w:t>
      </w:r>
    </w:p>
    <w:p>
      <w:pPr>
        <w:spacing w:after="120" w:line="276"/>
      </w:pPr>
      <w:r>
        <w:t xml:space="preserve">Все остальные пункты ТЗ подчинены этому правилу. Ни один параметр, порог или режим не может быть использован так, чтобы превратить отказ в число.</w:t>
      </w:r>
    </w:p>
    <w:p>
      <w:pPr>
        <w:pStyle w:val="Heading1"/>
      </w:pPr>
      <w:r>
        <w:t xml:space="preserve">1. Цель и вердикты</w:t>
      </w:r>
    </w:p>
    <w:p>
      <w:pPr>
        <w:spacing w:after="120" w:line="276"/>
      </w:pPr>
      <w:r>
        <w:t xml:space="preserve">Пользователь указывает папку образца (или семейства образцов) и нажимает одну кнопку. Программа сама: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находит и сопоставляет моды эксперимента и FE;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запускает Abaqus столько раз, сколько нужно;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для каждого определяемого параметра выдаёт один из трёх вердиктов;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для параметров с вердиктом ОПРЕДЕЛЕНО или ШИРОКО формирует готовый блок </w:t>
      </w:r>
      <w:r>
        <w:rPr>
          <w:rFonts w:ascii="Consolas" w:cs="Consolas" w:eastAsia="Consolas" w:hAnsi="Consolas"/>
          <w:sz w:val="20"/>
          <w:szCs w:val="20"/>
        </w:rPr>
        <w:t xml:space="preserve">*Elastic, type=ENGINEERING CONSTANTS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Вердикт</w:t>
            </w:r>
          </w:p>
        </w:tc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Условие</w:t>
            </w:r>
          </w:p>
        </w:tc>
        <w:tc>
          <w:tcPr>
            <w:tcW w:type="dxa" w:w="2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Что видит пользователь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ОПРЕДЕЛЕНО</w:t>
            </w:r>
          </w:p>
        </w:tc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Консервативная погрешность (S7) ≤ 5 %; паттерн-тест пройден; у всех пар MAC ≥ 0.8; нет флага registration-limited; для глобальных параметров пройден тест согласованности семейства</w:t>
            </w:r>
          </w:p>
        </w:tc>
        <w:tc>
          <w:tcPr>
            <w:tcW w:type="dxa" w:w="2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Число ± погрешность, разложение по источникам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ШИРОКО</w:t>
            </w:r>
          </w:p>
        </w:tc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Консервативная погрешность от 5 до 8 %, остальные условия ОПРЕДЕЛЕНО выполнены</w:t>
            </w:r>
          </w:p>
        </w:tc>
        <w:tc>
          <w:tcPr>
            <w:tcW w:type="dxa" w:w="2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Число ± погрешность и главная причина погрешности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НЕ ОПРЕДЕЛЯЕТСЯ</w:t>
            </w:r>
          </w:p>
        </w:tc>
        <w:tc>
          <w:tcPr>
            <w:tcW w:type="dxa" w:w="4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Погрешность &gt; 8 %; или систематический паттерн невязок; или противоречие между образцами; или потеря пары; или registration-limited; или вход peak-derived</w:t>
            </w:r>
          </w:p>
        </w:tc>
        <w:tc>
          <w:tcPr>
            <w:tcW w:type="dxa" w:w="2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Числа нет. Причина и эксперимент, который это исправит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Пороги 5 % и 8 % — целевые значения пользователя. Программа никогда не ослабляет шлюзы, пороги MAC или априорные распределения, чтобы получить более зелёный вердикт. Допустимо, что на текущих данных (например, SP02 с частью пар при MAC &lt; 0.8) зелёного вердикта не будет: данные, достаточные для исследования, могут быть недостаточны для production-вердикта.</w:t>
      </w:r>
    </w:p>
    <w:p>
      <w:pPr>
        <w:pStyle w:val="Heading1"/>
      </w:pPr>
      <w:r>
        <w:t xml:space="preserve">2. Почему «ODB + UNV» недостаточно</w:t>
      </w:r>
    </w:p>
    <w:p>
      <w:pPr>
        <w:spacing w:after="120" w:line="276"/>
      </w:pPr>
      <w:r>
        <w:t xml:space="preserve">Один ODB — это одна точка в пространстве параметров. Чтобы понять, что E нужно уменьшить с 52 000 до 45 000, программа должна знать, как частоты меняются при изменении E. В сэндвиче они не масштабируются как √E, потому что кор и клей не меняются вместе с карбоном. Поэтому минимальный вход — </w:t>
      </w:r>
      <w:r>
        <w:rPr>
          <w:b/>
          <w:bCs/>
        </w:rPr>
        <w:t xml:space="preserve">модель, которую можно пересчитать (INP)</w:t>
      </w:r>
      <w:r>
        <w:t xml:space="preserve">; ODB, если есть, служит кэшем опорной точки.</w:t>
      </w:r>
    </w:p>
    <w:p>
      <w:pPr>
        <w:spacing w:after="120" w:line="276"/>
      </w:pPr>
      <w:r>
        <w:t xml:space="preserve">Для голой пластины (Stage A) матрица жёсткости аффинна по D11, D12, D66. Это уже реализовано в </w:t>
      </w:r>
      <w:r>
        <w:rPr>
          <w:rFonts w:ascii="Consolas" w:cs="Consolas" w:eastAsia="Consolas" w:hAnsi="Consolas"/>
          <w:sz w:val="20"/>
          <w:szCs w:val="20"/>
        </w:rPr>
        <w:t xml:space="preserve">matrix_model_service</w:t>
      </w:r>
      <w:r>
        <w:t xml:space="preserve">: матрицы экспортируются один раз, а оптимизация идёт без повторных запусков Abaqus.</w:t>
      </w:r>
    </w:p>
    <w:p>
      <w:pPr>
        <w:pStyle w:val="Heading1"/>
      </w:pPr>
      <w:r>
        <w:t xml:space="preserve">3. Вход: пакет образца</w:t>
      </w:r>
    </w:p>
    <w:p>
      <w:pPr>
        <w:pStyle w:val="Heading2"/>
      </w:pPr>
      <w:r>
        <w:t xml:space="preserve">3.1. Состав папки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726"/>
      </w:tblGrid>
      <w:tr>
        <w:trPr>
          <w:tblHeader/>
        </w:trPr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Файл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5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model.inp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dxa" w:w="5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Модель Abaqus с шагом *Frequency; имена материалов задаются в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specimen.json</w:t>
            </w:r>
          </w:p>
        </w:tc>
      </w:tr>
      <w:tr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modes.unv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да*</w:t>
            </w:r>
          </w:p>
        </w:tc>
        <w:tc>
          <w:tcPr>
            <w:tcW w:type="dxa" w:w="5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Testlab PolyMAX: dataset 15/2411 + 55 (curve-fitted формы и частоты)</w:t>
            </w:r>
          </w:p>
        </w:tc>
      </w:tr>
      <w:tr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frf.unv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5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Polytec или Testlab dataset 58: FRF и когерентность для QC и встроенной аппроксимации</w:t>
            </w:r>
          </w:p>
        </w:tc>
      </w:tr>
      <w:tr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specimen.json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dxa" w:w="5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Паспорт образца: измерения, калибровка и её неопределённость, ориентация, что определять</w:t>
            </w:r>
          </w:p>
        </w:tc>
      </w:tr>
      <w:tr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photo_*.jpg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5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Фото с помеченным углом A для ручной проверки ориентации</w:t>
            </w:r>
          </w:p>
        </w:tc>
      </w:tr>
      <w:tr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model.odb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5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Кэш опорного расчёта; идентичность проверяется по содержимому (аудит V5)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* Если </w:t>
      </w:r>
      <w:r>
        <w:rPr>
          <w:rFonts w:ascii="Consolas" w:cs="Consolas" w:eastAsia="Consolas" w:hAnsi="Consolas"/>
          <w:sz w:val="20"/>
          <w:szCs w:val="20"/>
        </w:rPr>
        <w:t xml:space="preserve">modes.unv</w:t>
      </w:r>
      <w:r>
        <w:t xml:space="preserve"> нет, а есть только </w:t>
      </w:r>
      <w:r>
        <w:rPr>
          <w:rFonts w:ascii="Consolas" w:cs="Consolas" w:eastAsia="Consolas" w:hAnsi="Consolas"/>
          <w:sz w:val="20"/>
          <w:szCs w:val="20"/>
        </w:rPr>
        <w:t xml:space="preserve">frf.unv</w:t>
      </w:r>
      <w:r>
        <w:t xml:space="preserve">, моды строятся встроенной многомодовой аппроксимацией (этап M1). Peak-derived моды как вход идентификации запрещены (аудит K1). Замороженные исследования CARBON-4C/5A этим не затронуты: они опираются на PolyMAX.</w:t>
      </w:r>
    </w:p>
    <w:p>
      <w:pPr>
        <w:pStyle w:val="Heading2"/>
      </w:pPr>
      <w:r>
        <w:t xml:space="preserve">3.2. specimen.json (пример)</w:t>
      </w:r>
    </w:p>
    <w:p>
      <w:pPr>
        <w:shd w:fill="F3F4F6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"schema": "auto-id/specimen/v1.1",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"id": "SP-13",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"family": "CFRP-T300-plain-0.45-oldstock",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"type": "sandwich",          // sandwich | bare_plate | core_tile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"plan_mm": {"Lx": 510.0, "Ly": 520.0, "sd": 1.0},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"masses_g": {"panel": 0, "core": 178.6, "adhesive": 90,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"face_top": 0, "face_bottom": 0},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"face_thickness_mm": {"top": [0.45, 0.46, 0.44, ...],   // 9+ точек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"bottom": [...]},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"core_height_mm": {"value": 1.96, "sd": 0.02},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"materials": {"face": "CFRP_Face", "core": "PLA_Auxetic",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"adhesive": "DP420"},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"suspension_max_hz": 18.0,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"geometry_calibration": {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"mode": "scan_to_panel_edges",         // или "corner_coordinates_mm"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"corner_A_unv_node": 1,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"corner_A_fe_xy_mm": [0.0, 0.0],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"x_axis_towards_unv_node": 11,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"uncertainty": {"translation_mm": 3.0, "scale_rel": 0.01,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"rotation_deg": 0.5}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"acquisition": {"session": "260909", "grid": "11x11", "remount_of": null},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"identify": "default"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 w:line="276"/>
      </w:pPr>
      <w:r>
        <w:t xml:space="preserve">GUI-мастер заполняет паспорт один раз на образец. Без блока </w:t>
      </w:r>
      <w:r>
        <w:rPr>
          <w:rFonts w:ascii="Consolas" w:cs="Consolas" w:eastAsia="Consolas" w:hAnsi="Consolas"/>
          <w:sz w:val="20"/>
          <w:szCs w:val="20"/>
        </w:rPr>
        <w:t xml:space="preserve">geometry_calibration</w:t>
      </w:r>
      <w:r>
        <w:t xml:space="preserve"> программа останавливается и предлагает подтвердить ориентацию по фото. Угадывать ориентацию или масштаб по MAC запрещено (аудит K4). Поле </w:t>
      </w:r>
      <w:r>
        <w:rPr>
          <w:rFonts w:ascii="Consolas" w:cs="Consolas" w:eastAsia="Consolas" w:hAnsi="Consolas"/>
          <w:sz w:val="20"/>
          <w:szCs w:val="20"/>
        </w:rPr>
        <w:t xml:space="preserve">acquisition.remount_of</w:t>
      </w:r>
      <w:r>
        <w:t xml:space="preserve"> связывает повторное испытание той же панели с первым — это источник Σ_setup (§5.4).</w:t>
      </w:r>
    </w:p>
    <w:p>
      <w:pPr>
        <w:pStyle w:val="Heading1"/>
      </w:pPr>
      <w:r>
        <w:t xml:space="preserve">4. Что определяется (политика v1.1)</w:t>
      </w:r>
    </w:p>
    <w:p>
      <w:pPr>
        <w:spacing w:after="120" w:line="276"/>
      </w:pPr>
      <w:r>
        <w:t xml:space="preserve">Каждый параметр определяется там, где он доминирует и где меньше всего посторонних неизвестных.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600"/>
        <w:gridCol w:w="3826"/>
      </w:tblGrid>
      <w:tr>
        <w:trPr>
          <w:tblHeader/>
        </w:trP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Правило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D11, D66 (→ E_flex, G12_flex)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Голая пластина, Stage A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глобальный для семейства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Основной источник G12. D12/D11 — по возможности; ν12 по умолчанию 0.05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E_in-plane (E1 = E2)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Сэндвичи семейства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глобальный для семейства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E1 ≠ E2 не открывать без прослеживаемой ориентации основы и утка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G12 по сэндвичу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Сэндвичи семейства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вторичное свидетельство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Может войти в подгонку, но «ОПРЕДЕЛЕНО» только при независимом ограничении кора и интерфейса и пройденном тесте согласованности; решение — по q_G и полной различимости (S5)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t_face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Измерение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параметр образца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Априорное распределение из 9+ точек; неопределённость обязательно переносится на E (аудит V3)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k_core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Независимый эксперимент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параметр образца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Множитель всех модулей явно смоделированной печатной решётки для данного процесса печати и топологии. Это не bulk PLA. Источник prior — модальный тест голой плитки кора (type = core_tile). Численное значение prior: TBD, provisional и настраиваемое; заполняется после CARBON-5F и теста плитки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k_int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Сэндвич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параметр образца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По умолчанию выключен; низшее крутильное семейство тогда идёт в hold-out (S3)</w:t>
            </w:r>
          </w:p>
        </w:tc>
      </w:tr>
      <w:tr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E3, ν13, ν23, G13, G23 карбона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фиксированы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Проверить, что их разумная вариация меняет частоты &lt; 0.3 %; иначе учесть в бюджете погрешности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Порядок для семейства: (1) голая пластина → D11, D66; (2) при наличии — плитка кора → prior для k_core; (3) сэндвичи семейства совместно → E_in и параметры образцов; (4) проверка согласованности. Если голой пластины нет, G12 получает «НЕ ОПРЕДЕЛЯЕТСЯ — нужна голая пластина», если только сэндвичевый путь сам не проходит условия строки «G12 по сэндвичу».</w:t>
      </w:r>
    </w:p>
    <w:p>
      <w:pPr>
        <w:pStyle w:val="Heading1"/>
      </w:pPr>
      <w:r>
        <w:t xml:space="preserve">5. Конвейер</w:t>
      </w:r>
    </w:p>
    <w:p>
      <w:pPr>
        <w:pStyle w:val="Heading2"/>
      </w:pPr>
      <w:r>
        <w:t xml:space="preserve">S1. Чтение и QC эксперимента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Источник мод: dataset 55 (приоритет) или встроенная аппроксимация (M1). Для каждой моды — f, ζ, форма и флаги: «резонанс не разрешён» (2ζf &lt; 3Δf), «когерентность в пике &lt; 0.9», «сложность фазы».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Моды ниже </w:t>
      </w:r>
      <w:r>
        <w:rPr>
          <w:rFonts w:ascii="Consolas" w:cs="Consolas" w:eastAsia="Consolas" w:hAnsi="Consolas"/>
          <w:sz w:val="20"/>
          <w:szCs w:val="20"/>
        </w:rPr>
        <w:t xml:space="preserve">suspension_max_hz</w:t>
      </w:r>
      <w:r>
        <w:t xml:space="preserve"> отбрасываются. FE-частоты для отбора экспериментальных мод не используются.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AutoMAC эксперимента: пары с off-diagonal &gt; 0.5 помечаются как неразличимые сеткой измерений.</w:t>
      </w:r>
    </w:p>
    <w:p>
      <w:pPr>
        <w:pStyle w:val="Heading2"/>
      </w:pPr>
      <w:r>
        <w:t xml:space="preserve">S2. Регистрация и её неопределённость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FrozenRegistration</w:t>
      </w:r>
      <w:r>
        <w:t xml:space="preserve"> строится из </w:t>
      </w:r>
      <w:r>
        <w:rPr>
          <w:rFonts w:ascii="Consolas" w:cs="Consolas" w:eastAsia="Consolas" w:hAnsi="Consolas"/>
          <w:sz w:val="20"/>
          <w:szCs w:val="20"/>
        </w:rPr>
        <w:t xml:space="preserve">geometry_calibration</w:t>
      </w:r>
      <w:r>
        <w:t xml:space="preserve">: масштаб — по измеренным габаритам, ориентация — по маркеру угла A. Хэш регистрации записывается в результат и обязан совпадать при повторных прогонах.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Диагностика, а не оптимизация.</w:t>
      </w:r>
      <w:r>
        <w:t xml:space="preserve"> После S3 сетка возмущается только в пределах </w:t>
      </w:r>
      <w:r>
        <w:rPr>
          <w:rFonts w:ascii="Consolas" w:cs="Consolas" w:eastAsia="Consolas" w:hAnsi="Consolas"/>
          <w:sz w:val="20"/>
          <w:szCs w:val="20"/>
        </w:rPr>
        <w:t xml:space="preserve">uncertainty</w:t>
      </w:r>
      <w:r>
        <w:t xml:space="preserve"> из паспорта (сдвиг, масштаб, поворот; детерминированный набор, например ±σ по каждой оси). Для каждой пары показывается диапазон MAC.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Если в пределах физической неопределённости MAC пары пересекает 0.8 или меняется назначение пар, ставится флаг </w:t>
      </w:r>
      <w:r>
        <w:rPr>
          <w:b/>
          <w:bCs/>
        </w:rPr>
        <w:t xml:space="preserve">registration-limited</w:t>
      </w:r>
      <w:r>
        <w:t xml:space="preserve">. Положение сетки с максимальным MAC не выбирается никогда — это был бы выбор по MAC.</w:t>
      </w:r>
    </w:p>
    <w:p>
      <w:pPr>
        <w:pStyle w:val="Heading2"/>
      </w:pPr>
      <w:r>
        <w:t xml:space="preserve">S3. Опорный расчёт, семейства мод и замороженный набор пар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Запуск Abaqus с p0 из INP → извлечение → сопоставление по </w:t>
      </w:r>
      <w:r>
        <w:rPr>
          <w:rFonts w:ascii="Consolas" w:cs="Consolas" w:eastAsia="Consolas" w:hAnsi="Consolas"/>
          <w:sz w:val="20"/>
          <w:szCs w:val="20"/>
        </w:rPr>
        <w:t xml:space="preserve">IdentificationPairingPolicy</w:t>
      </w:r>
      <w:r>
        <w:t xml:space="preserve">: MAC ≥ 0.80, |Δf| ≤ 15 %, admissibility до венгерского алгоритма (аудит V4).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Классификатор семейств мод</w:t>
      </w:r>
      <w:r>
        <w:t xml:space="preserve"> работает на FE-формах внешней поверхности. Он вычисляет непрерывные оценки чётности P_x = φᵀR_xφ / φᵀφ и P_y = φᵀR_yφ / φᵀφ, где R_x, R_y — отражения через срединные линии (отображение узлов по ближайшему зеркальному узлу), и число узловых линий. P ≈ +1 — чётная, P ≈ −1 — нечётная, промежуточные значения — смешанная или несимметричная. Для почти квадратных панелей дополнительно считается чётность относительно диагоналей.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Hold-out задаётся через семейства, а не через номера мод. По умолчанию в подгонку не входят </w:t>
      </w:r>
      <w:r>
        <w:rPr>
          <w:b/>
          <w:bCs/>
        </w:rPr>
        <w:t xml:space="preserve">низшее нечёт–нечётное (крутильное) семейство</w:t>
      </w:r>
      <w:r>
        <w:t xml:space="preserve">, если k_int выключен, и самое высокое сопоставленное семейство.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Правило кластера.</w:t>
      </w:r>
      <w:r>
        <w:t xml:space="preserve"> Близость |Δf|/f &lt; 3 % (в эксперименте или FE) — только триггер проверки. Кластер подтверждается устойчивостью подпространства: для каждого разрешённого направления параметров (E, G12, позже k_core) при возмущении ±5 % вычисляются главные углы между исходным и возмущённым двумерными подпространствами. Кластер подтверждён, если индивидуальный FE–FE MAC хотя бы одной моды &lt; 0.9, но cos²θ₁ &gt; 0.95 и cos²θ₂ &gt; 0.95 для всех направлений. Невязка подтверждённого кластера: r_C = (1/n_C)·Σ ln(f_FE / f_EXP).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Набор пар и кластеров замораживается. На следующих шагах ветви FE отслеживаются по FE–FE MAC (порог 0.9) с однозначным назначением. Если пара теряется — остановка с отказом, без пересопоставления обычным компаратором.</w:t>
      </w:r>
    </w:p>
    <w:p>
      <w:pPr>
        <w:pStyle w:val="Heading2"/>
      </w:pPr>
      <w:r>
        <w:t xml:space="preserve">S4. Чувствительности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Центральные конечные разности в ln p с шагом ±5 %: 2·n_p запусков, параллельно при наличии лицензионных токенов.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S_ij = (ln f⁺ − ln f⁻) / (ln p⁺ − ln p⁻); ветви отслеживаются по FE–FE MAC. Контроль шума: повтор с шагом ±2.5 % должен давать S в пределах 5 %.</w:t>
      </w:r>
    </w:p>
    <w:p>
      <w:pPr>
        <w:pStyle w:val="Heading2"/>
      </w:pPr>
      <w:r>
        <w:t xml:space="preserve">S5. Практическая различимость — до оптимизации</w:t>
      </w:r>
    </w:p>
    <w:p>
      <w:pPr>
        <w:spacing w:after="120" w:line="276"/>
      </w:pPr>
      <w:r>
        <w:t xml:space="preserve">Различимость считается по </w:t>
      </w:r>
      <w:r>
        <w:rPr>
          <w:b/>
          <w:bCs/>
        </w:rPr>
        <w:t xml:space="preserve">полной матрице</w:t>
      </w:r>
      <w:r>
        <w:t xml:space="preserve">: глобальные параметры и все параметры образцов кампании вместе. Отбелённая матрица дополняется строками априорных распределений nuisance-параметров:</w:t>
      </w:r>
    </w:p>
    <w:p>
      <w:pPr>
        <w:shd w:fill="F3F4F6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S~  = Σ^(−1/2) · [ s_E, s_G, s_t(SP02), s_t(SP13),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s_k(SP02), s_k(SP13), ... ]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   = [ S~ ;  C_prior^(−1/2) · E_nuis ]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# строки prior добавляются только для nuisance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   = (AᵀA)⁻¹ ;   sd_j = sqrt(C_jj)    # в единицах ln p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остаточная информация о G12 после всех остальных столбцов: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q_G = ‖(I − P_N) a_G‖ / ‖a_G‖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# P_N — проектор на span остальных столбцов A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sd(ln G12) = 1 / ‖(I − P_N) a_G‖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# если у G12 нет собственного prior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q_G ≈ 0 означает, что G12 поглощается кором, толщиной и другими nuisance-параметрами. Попарный |cos(s~_G, s~_core)| &gt; 0.9 выводится как понятное предупреждение, но вердикт определяется только полным расчётом.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Параметр с sd_j &gt; 8 % не подгоняется: фиксируется на исходном значении и получает «НЕ ОПРЕДЕЛЯЕТСЯ» с причиной. Пользователь не может это переопределить. Порог числового ранга по умолчанию rcond = 1e-3 (аудит K2).</w:t>
      </w:r>
    </w:p>
    <w:p>
      <w:pPr>
        <w:pStyle w:val="Heading2"/>
      </w:pPr>
      <w:r>
        <w:t xml:space="preserve">S6. Оптимизация</w:t>
      </w:r>
    </w:p>
    <w:p>
      <w:pPr>
        <w:spacing w:after="120" w:line="276"/>
      </w:pPr>
      <w:r>
        <w:t xml:space="preserve">Обозначения: r(x) — вектор отбелённых невязок, J_r = ∂r/∂x — якобиан невязок, Φ(x) = ½‖r(x)‖² — целевая функция.</w:t>
      </w:r>
    </w:p>
    <w:p>
      <w:pPr>
        <w:shd w:fill="F3F4F6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   = ln p             # в логарифмах, физические границы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r_i = (ln f_FE,i(x) − ln f_EXP,i) / σ_i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# пары и подтверждённые кластеры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r_prior = C_prior^(−1/2) · (x_nuis − x_nuis,0)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J_r — из S4; далее Бройден, повторные КР только при отказе шага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Δx    = −(J_rᵀJ_r + μ·diag(J_rᵀJ_r))⁻¹ · J_rᵀ r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x_new = x + Δx         # с проекцией на границы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принять, если Φ(x_new) &lt; Φ(x)  (1 проверочный запуск);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иначе μ ← 10μ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стоп: max|Δx_j| &lt; 0.2·sd_j, или 5 итераций, или потеря пары</w:t>
      </w:r>
    </w:p>
    <w:p>
      <w:pPr>
        <w:spacing w:after="80"/>
      </w:pPr>
    </w:p>
    <w:p>
      <w:pPr>
        <w:spacing w:after="120" w:line="276"/>
      </w:pPr>
      <w:r>
        <w:t xml:space="preserve">MAC в целевую функцию не входит; он используется только для идентичности ветвей. Ожидаемое число запусков Abaqus для двух глобальных параметров: около 10–20 на образец.</w:t>
      </w:r>
    </w:p>
    <w:p>
      <w:pPr>
        <w:pStyle w:val="Heading2"/>
      </w:pPr>
      <w:r>
        <w:t xml:space="preserve">S7. Проверка, паттерн-тест и блок робастности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Финальный запуск в точке p̂: таблица невязок по всем семействам, включая hold-out.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Паттерн-тест:</w:t>
      </w:r>
      <w:r>
        <w:t xml:space="preserve"> невязки группируются по семействам S3. Если в семействе все невязки одного знака и превышают 2σ, или невязки hold-out выходят за 3σ, выдаётся «систематический паттерн — вероятна ошибка модели (model-form)», и зелёный вердикт невозможен.</w:t>
      </w:r>
    </w:p>
    <w:p>
      <w:pPr>
        <w:spacing w:after="120" w:line="276"/>
      </w:pPr>
      <w:r>
        <w:t xml:space="preserve">Для каждого параметра хранятся </w:t>
      </w:r>
      <w:r>
        <w:rPr>
          <w:b/>
          <w:bCs/>
        </w:rPr>
        <w:t xml:space="preserve">три раздельные величины</w:t>
      </w:r>
      <w:r>
        <w:t xml:space="preserve">, которые не смешиваются в одно «1σ»: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026"/>
      </w:tblGrid>
      <w:tr>
        <w:trPr>
          <w:tblHeader/>
        </w:trP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3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Определение</w:t>
            </w:r>
          </w:p>
        </w:tc>
        <w:tc>
          <w:tcPr>
            <w:tcW w:type="dxa" w:w="30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Когда применяется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statistical_sd</w:t>
            </w:r>
          </w:p>
        </w:tc>
        <w:tc>
          <w:tcPr>
            <w:tcW w:type="dxa" w:w="3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sd из S5 в точке p̂: Σ (измерение + setup) и априорные распределения</w:t>
            </w:r>
          </w:p>
        </w:tc>
        <w:tc>
          <w:tcPr>
            <w:tcW w:type="dxa" w:w="30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Всегда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birge_adjusted_sd</w:t>
            </w:r>
          </w:p>
        </w:tc>
        <w:tc>
          <w:tcPr>
            <w:tcW w:type="dxa" w:w="3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statistical_sd · s_B, где s_B = √max(1, χ²/dof)</w:t>
            </w:r>
          </w:p>
        </w:tc>
        <w:tc>
          <w:tcPr>
            <w:tcW w:type="dxa" w:w="30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Только если паттерн-тест пройден, то есть невязки похожи на случайный разброс. Иначе поле не заполняется и вердикт не зелёный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model_form_robustness</w:t>
            </w:r>
          </w:p>
        </w:tc>
        <w:tc>
          <w:tcPr>
            <w:tcW w:type="dxa" w:w="3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Диапазон оценок при исключении по одному семейству мод (leave-one-family-out), в % от p̂</w:t>
            </w:r>
          </w:p>
        </w:tc>
        <w:tc>
          <w:tcPr>
            <w:tcW w:type="dxa" w:w="30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Всегда; в отчёте называется диапазоном, а не стандартным отклонением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Для вердикта используется консервативная огибающая: max(birge_adjusted_sd, половина диапазона model_form_robustness). Если birge_adjusted_sd не определён, вердикт не может быть выше «НЕ ОПРЕДЕЛЯЕТСЯ» по причине model-form.</w:t>
      </w:r>
    </w:p>
    <w:p>
      <w:pPr>
        <w:pStyle w:val="Heading2"/>
      </w:pPr>
      <w:r>
        <w:t xml:space="preserve">S8. Результат</w:t>
      </w:r>
    </w:p>
    <w:p>
      <w:pPr>
        <w:shd w:fill="F3F4F6" w:color="auto" w:val="clear"/>
        <w:spacing w:after="0" w:before="6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== SP-13 | семейство CFRP-T300-plain-0.45-oldstock ==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E_in: ОПРЕДЕЛЕНО  45 800 MPa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statistical_sd 3.6 %  (частоты 1.0 %, толщина 3.4 %, setup 0.6 %)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birge_adjusted_sd 4.1 %  (χ²/dof = 1.3)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model_form_robustness −2.8 … +3.1 %  (leave-one-family-out)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G12: НЕ ОПРЕДЕЛЯЕТСЯ — нет голой пластины; по сэндвичу q_G = 0.21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Регистрация: MAC-диапазон в пределах калибровки 0.86–0.97, без флага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*Material, name=CFRP_Face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*Elastic, type=ENGINEERING CONSTANTS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45800., 45800., 6700., 0.05, 0.3, 0.3, 4500., 2200.,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2200.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** G12 = 4500 — исходное значение из INP, НЕ определено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Hold-out: крутильное семейство Δf = +7.9 % → крутильная жёсткость модели занижена</w:t>
      </w:r>
    </w:p>
    <w:p>
      <w:pPr>
        <w:spacing w:after="80"/>
      </w:pPr>
    </w:p>
    <w:p>
      <w:pPr>
        <w:spacing w:after="120" w:line="276"/>
      </w:pPr>
      <w:r>
        <w:t xml:space="preserve">Все числа в примере иллюстративные. Сохраняется </w:t>
      </w:r>
      <w:r>
        <w:rPr>
          <w:rFonts w:ascii="Consolas" w:cs="Consolas" w:eastAsia="Consolas" w:hAnsi="Consolas"/>
          <w:sz w:val="20"/>
          <w:szCs w:val="20"/>
        </w:rPr>
        <w:t xml:space="preserve">result.json</w:t>
      </w:r>
      <w:r>
        <w:t xml:space="preserve"> с полным provenance: хэши INP, UNV, регистрации, политик и версии программы.</w:t>
      </w:r>
    </w:p>
    <w:p>
      <w:pPr>
        <w:pStyle w:val="Heading2"/>
      </w:pPr>
      <w:r>
        <w:t xml:space="preserve">5.4. Ковариация наблюдений и бюджет погрешности</w:t>
      </w:r>
    </w:p>
    <w:p>
      <w:pPr>
        <w:spacing w:after="120" w:line="276"/>
      </w:pPr>
      <w:r>
        <w:rPr>
          <w:b/>
          <w:bCs/>
        </w:rPr>
        <w:t xml:space="preserve">Σ = Σ_meas + Σ_setup.</w:t>
      </w:r>
      <w:r>
        <w:t xml:space="preserve"> Model-form в Σ не входит (оценивается в S7). Разброс между образцами в Σ не входит (уровень семейства, §6).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Где учитывается</w:t>
            </w:r>
          </w:p>
        </w:tc>
        <w:tc>
          <w:tcPr>
            <w:tcW w:type="dxa" w:w="40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Откуда берётся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Аппроксимация моды (Σ_meas)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Σ</w:t>
            </w:r>
          </w:p>
        </w:tc>
        <w:tc>
          <w:tcPr>
            <w:tcW w:type="dxa" w:w="40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PolyMAX или встроенный fit; обычно &lt; 0.1 %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Повторное испытание той же панели (Σ_setup)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Σ</w:t>
            </w:r>
          </w:p>
        </w:tc>
        <w:tc>
          <w:tcPr>
            <w:tcW w:type="dxa" w:w="40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Переподвес и переустановка возбуждения с той же сеткой и тем же протоколом. Пара SP13 121 / 289 точек пригодна только для частотной оценки и только если это одна панель с независимым переподвесом; для форм и MAC нужен повтор с той же сеткой. Пока данных нет — provisional 0.3 %, помечено в отчёте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Разброс между образцами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Параметры образцов и тест согласованности (§6)</w:t>
            </w:r>
          </w:p>
        </w:tc>
        <w:tc>
          <w:tcPr>
            <w:tcW w:type="dxa" w:w="40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Кампания; ориентир — пара SP2/SP10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Толщина обшивки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Prior параметра t_face</w:t>
            </w:r>
          </w:p>
        </w:tc>
        <w:tc>
          <w:tcPr>
            <w:tcW w:type="dxa" w:w="40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Разброс 9+ точек; δE/E ≈ δt/t (сэндвич), 3·δt/t (голая пластина)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Расстояние d между обшивками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Prior (вместе с высотой кора)</w:t>
            </w:r>
          </w:p>
        </w:tc>
        <w:tc>
          <w:tcPr>
            <w:tcW w:type="dxa" w:w="40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2·δd/d</w:t>
            </w:r>
          </w:p>
        </w:tc>
      </w:tr>
      <w:tr>
        <w:tc>
          <w:tcPr>
            <w:tcW w:type="dxa" w:w="2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Model-form</w:t>
            </w:r>
          </w:p>
        </w:tc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S7: паттерн-тест, Birge, leave-one-family-out</w:t>
            </w:r>
          </w:p>
        </w:tc>
        <w:tc>
          <w:tcPr>
            <w:tcW w:type="dxa" w:w="40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Не задаётся заранее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Режим кампании (семейство)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family.json</w:t>
      </w:r>
      <w:r>
        <w:t xml:space="preserve"> перечисляет образцы семейства. Глобальные параметры общие, параметры образцов свои; совместная Φ — сумма по образцам плюс априорные члены.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Тест согласованности:</w:t>
      </w:r>
      <w:r>
        <w:t xml:space="preserve"> Δχ² = χ²_shared − Σ_s χ²_separate,s и Δdof = k·(N_spec − 1), где k — число глобальных параметров, которым в раздельной модели разрешено отличаться по образцам. Отказ от общего набора — при p &lt; 0.01.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Аппроксимация χ²(Δdof) используется только при фиксированной Σ, внутреннем оптимуме (без активных границ), одинаковой модели наблюдений во всех образцах и выполненном условии различимости. При активных границах, слабой различимости, оценённой дисперсии или влиятельных априорных распределениях — </w:t>
      </w:r>
      <w:r>
        <w:rPr>
          <w:b/>
          <w:bCs/>
        </w:rPr>
        <w:t xml:space="preserve">параметрический bootstrap на линеаризованной модели</w:t>
      </w:r>
      <w:r>
        <w:t xml:space="preserve"> (через J_r, не менее 2000 повторений, без запусков Abaqus).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Если тест не пройден: «Один набор свойств карбона не объясняет все образцы семейства». Общего числа нет; каждый образец показывается отдельно.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Естественные семейства в имеющемся наборе: old plain 0.45 (SP1, SP2, SP10, SP13); twill 0.45 (SP3 и голая пластина 350×350); new plain 0.25 (SP8, SP9 и далее). Пара SP2/SP10 — опорный тест разброса между образцами.</w:t>
      </w:r>
    </w:p>
    <w:p>
      <w:pPr>
        <w:pStyle w:val="Heading1"/>
      </w:pPr>
      <w:r>
        <w:t xml:space="preserve">7. Требования к эксперименту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Ориентация.</w:t>
      </w:r>
      <w:r>
        <w:t xml:space="preserve"> Пометить угол A; сетку начинать от него, ось X направлять одинаково на всех образцах; фото с видимой сеткой.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Масштаб и его неопределённость.</w:t>
      </w:r>
      <w:r>
        <w:t xml:space="preserve"> В PSV вводить реальное расстояние или эталонную длину, либо фиксировать «сетка до краёв» с измеренными габаритами. Неопределённость калибровки записывать в паспорт.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Разрешение.</w:t>
      </w:r>
      <w:r>
        <w:t xml:space="preserve"> Для мод ниже 100 Гц при ζ около 0.1–0.3 % нужен шаг Δf ≤ 0.05 Гц (zoom-FFT или больше линий).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Curve fit.</w:t>
      </w:r>
      <w:r>
        <w:t xml:space="preserve"> Экспортировать из Testlab PolyMAX в UNV dataset 55 вместе с формами.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Две точки возбуждения.</w:t>
      </w:r>
      <w:r>
        <w:t xml:space="preserve"> У SP13 мода 206 Гц почти не возбуждалась.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Повтор той же панели</w:t>
      </w:r>
      <w:r>
        <w:t xml:space="preserve"> для Σ_setup: снять, заново подвесить и переустановить возбуждение; та же сетка и тот же протокол. Достаточно одной панели на семейство.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Толщины:</w:t>
      </w:r>
      <w:r>
        <w:t xml:space="preserve"> каждый лист в 9+ точках до склейки, готовая панель — по периметру.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Голая пластина:</w:t>
      </w:r>
      <w:r>
        <w:t xml:space="preserve"> мягкий подвес; масса крепления шейкера в модели или бесконтактное возбуждение.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Голая плитка кора</w:t>
      </w:r>
      <w:r>
        <w:t xml:space="preserve"> (prior для k_core): та же процедура free-free; её модель — та же явная решётка, что и в сэндвиче.</w:t>
      </w:r>
    </w:p>
    <w:p>
      <w:pPr>
        <w:pStyle w:val="Heading1"/>
      </w:pPr>
      <w:r>
        <w:t xml:space="preserve">8. Архитектура и запреты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src/domain/specimen_manifest.py</w:t>
      </w:r>
      <w:r>
        <w:t xml:space="preserve"> — паспорт образца и семейства, валидация, хэш.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src/services/auto_identification.py</w:t>
      </w:r>
      <w:r>
        <w:t xml:space="preserve"> — конвейер S1–S8 поверх существующих сервисов; ориентир 1–2 тыс. строк. Политики (шлюзы, пороги, prior) — явные объекты, которые входят в хэш результата.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CLI </w:t>
      </w:r>
      <w:r>
        <w:rPr>
          <w:rFonts w:ascii="Consolas" w:cs="Consolas" w:eastAsia="Consolas" w:hAnsi="Consolas"/>
          <w:sz w:val="20"/>
          <w:szCs w:val="20"/>
        </w:rPr>
        <w:t xml:space="preserve">python -m auto_id &lt;папка&gt;</w:t>
      </w:r>
      <w:r>
        <w:t xml:space="preserve"> для пакетных прогонов и тестов; GUI вызывает тот же сервис.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Каталог прогона </w:t>
      </w:r>
      <w:r>
        <w:rPr>
          <w:rFonts w:ascii="Consolas" w:cs="Consolas" w:eastAsia="Consolas" w:hAnsi="Consolas"/>
          <w:sz w:val="20"/>
          <w:szCs w:val="20"/>
        </w:rPr>
        <w:t xml:space="preserve">runs/&lt;family&gt;/&lt;specimen&gt;/&lt;hash&gt;/</w:t>
      </w:r>
      <w:r>
        <w:t xml:space="preserve">; прерванный прогон возобновляется по хэшам. Новых слоёв </w:t>
      </w:r>
      <w:r>
        <w:rPr>
          <w:rFonts w:ascii="Consolas" w:cs="Consolas" w:eastAsia="Consolas" w:hAnsi="Consolas"/>
          <w:sz w:val="20"/>
          <w:szCs w:val="20"/>
        </w:rPr>
        <w:t xml:space="preserve">install_*</w:t>
      </w:r>
      <w:r>
        <w:t xml:space="preserve"> не добавлять.</w:t>
      </w:r>
    </w:p>
    <w:p>
      <w:pPr>
        <w:spacing w:after="120" w:line="276"/>
      </w:pPr>
      <w:r>
        <w:rPr>
          <w:b/>
          <w:bCs/>
        </w:rPr>
        <w:t xml:space="preserve">Запрещено: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MAC в целевой функции;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выбор геометрии, ориентации или положения сетки по MAC или частоте, в том числе внутри неопределённости калибровки;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переопределение вердикта «НЕ ОПРЕДЕЛЯЕТСЯ» и ослабление шлюзов, порогов или prior ради результата;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идентификация по peak-derived модам;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model-form как слагаемое Σ в целевой функции;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E1 ≠ E2 без прослеживаемой ориентации ткани;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вердикт «ОПРЕДЕЛЕНО» для G12 только по сэндвичу без выполнения условий §4.</w:t>
      </w:r>
    </w:p>
    <w:p>
      <w:pPr>
        <w:pStyle w:val="Heading1"/>
      </w:pPr>
      <w:r>
        <w:t xml:space="preserve">9. Этапы и критерии приёмки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rPr>
          <w:tblHeader/>
        </w:trP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Этап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4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Критерий приёмки</w:t>
            </w:r>
          </w:p>
        </w:tc>
      </w:tr>
      <w:t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M0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Зелёный CI (V7); реальные фикстуры SP02, SP13 (Ж1)</w:t>
            </w:r>
          </w:p>
        </w:tc>
        <w:tc>
          <w:tcPr>
            <w:tcW w:type="dxa" w:w="4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Агент показывает фактическую сводку unittest (ожидаемо до исправления: 873 запущено / 870 прошли / 1 упал / 2 пропущены; после — 0 упавших) на Linux и Windows; SHA-256 фикстур закреплены</w:t>
            </w:r>
          </w:p>
        </w:tc>
      </w:tr>
      <w:t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Моды для идентификации: PolyMAX dataset 55 как основной путь; встроенная многомодовая аппроксимация; запрет peak-derived (K1)</w:t>
            </w:r>
          </w:p>
        </w:tc>
        <w:tc>
          <w:tcPr>
            <w:tcW w:type="dxa" w:w="4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SP13 по raw FRF: найдены 206.15 и 212.61 Гц (±0.05 Гц от PolyMAX), ложного 217.5 Гц нет; ζ в пределах 30 % от PolyMAX</w:t>
            </w:r>
          </w:p>
        </w:tc>
      </w:tr>
      <w:t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Паспорт образца, регистрация из него, диагностика неопределённости регистрации (K4, S2)</w:t>
            </w:r>
          </w:p>
        </w:tc>
        <w:tc>
          <w:tcPr>
            <w:tcW w:type="dxa" w:w="4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SP02/SP13 воспроизводят хэши существующих FrozenRegistration; диагностика не меняет выбранную регистрацию</w:t>
            </w:r>
          </w:p>
        </w:tc>
      </w:tr>
      <w:t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Универсальный forward builder (V2)</w:t>
            </w:r>
          </w:p>
        </w:tc>
        <w:tc>
          <w:tcPr>
            <w:tcW w:type="dxa" w:w="4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Для SP02 и SP13 INP совпадают с нынешними байт в байт</w:t>
            </w:r>
          </w:p>
        </w:tc>
      </w:tr>
      <w:t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Классификатор семейств, правило кластера, строгая политика сопоставления, оркестратор S3–S6 (V1, V4)</w:t>
            </w:r>
          </w:p>
        </w:tc>
        <w:tc>
          <w:tcPr>
            <w:tcW w:type="dxa" w:w="4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Синтетический двойник: «эксперимент» = Abaqus при E = 45 000, G = 4000 + шум 0.3 %; старт 52 000 / 4500; восстановление в пределах 1σ, ≤ 20 запусков. Тест: обмен пары между итерациями → отказ</w:t>
            </w:r>
          </w:p>
        </w:tc>
      </w:tr>
      <w:t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M5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Полная различимость с nuisance и q_G; блок робастности S7 (K2, V3)</w:t>
            </w:r>
          </w:p>
        </w:tc>
        <w:tc>
          <w:tcPr>
            <w:tcW w:type="dxa" w:w="4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Синтетика с G12, поглощённым k_core, даёт q_G ≈ 0 и «НЕ ОПРЕДЕЛЯЕТСЯ»; синтетика с систематической ошибкой модели не даёт зелёного вердикта</w:t>
            </w:r>
          </w:p>
        </w:tc>
      </w:tr>
      <w:t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M6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Голая пластина twill 350×350 через Stage A; затем плитка кора</w:t>
            </w:r>
          </w:p>
        </w:tc>
        <w:tc>
          <w:tcPr>
            <w:tcW w:type="dxa" w:w="4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D11, D66 → E, G12 с погрешностью; повтор той же пластины совпадает в пределах 1σ</w:t>
            </w:r>
          </w:p>
        </w:tc>
      </w:tr>
      <w:t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M7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Кампания old plain 0.45 (SP1, SP2, SP10, SP13)</w:t>
            </w:r>
          </w:p>
        </w:tc>
        <w:tc>
          <w:tcPr>
            <w:tcW w:type="dxa" w:w="4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Отчёт согласованности (Δχ² или bootstrap с указанием выбранного пути)</w:t>
            </w:r>
          </w:p>
        </w:tc>
      </w:tr>
      <w:tr>
        <w:tc>
          <w:tcPr>
            <w:tcW w:type="dxa" w:w="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M8</w:t>
            </w:r>
          </w:p>
        </w:tc>
        <w:tc>
          <w:tcPr>
            <w:tcW w:type="dxa" w:w="4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GUI-мастер и кнопка Auto-ID</w:t>
            </w:r>
          </w:p>
        </w:tc>
        <w:tc>
          <w:tcPr>
            <w:tcW w:type="dxa" w:w="42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Путь от папки до блока *Elastic без ручного ввода чисел, кроме паспорта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После CARBON-5F</w:t>
      </w:r>
      <w:r>
        <w:t xml:space="preserve"> — приложение «Evidence: core sensitivity» с матрицей [s_E, s_G, s_k] по SP02/SP13, значениями q_G и предложением численного prior для k_core. Основу ТЗ это приложение не меняет. Стальная балка или пластина как независимая проверка механизма — сразу после M6.</w:t>
      </w:r>
    </w:p>
    <w:p>
      <w:pPr>
        <w:pStyle w:val="Heading1"/>
      </w:pPr>
      <w:r>
        <w:t xml:space="preserve">10. Изменения в версии 1.1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Пункт</w:t>
            </w:r>
          </w:p>
        </w:tc>
        <w:tc>
          <w:tcPr>
            <w:tcW w:type="dxa" w:w="3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v1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Верхнее правило</w:t>
            </w:r>
          </w:p>
        </w:tc>
        <w:tc>
          <w:tcPr>
            <w:tcW w:type="dxa" w:w="3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§0: отказ выдать число — штатный результат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Шаг LM</w:t>
            </w:r>
          </w:p>
        </w:tc>
        <w:tc>
          <w:tcPr>
            <w:tcW w:type="dxa" w:w="3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Δx = (JᵀJ+μD)⁻¹Jᵀr без минуса; J — и якобиан, и цель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Δx = −(J_rᵀJ_r+μD)⁻¹J_rᵀr; якобиан J_r, цель Φ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Σ</w:t>
            </w:r>
          </w:p>
        </w:tc>
        <w:tc>
          <w:tcPr>
            <w:tcW w:type="dxa" w:w="3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σ_fit² + σ_rep² + σ_mf²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Σ_meas + Σ_setup; разброс образцов — уровень семейства; model-form — S7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Погрешность результата</w:t>
            </w:r>
          </w:p>
        </w:tc>
        <w:tc>
          <w:tcPr>
            <w:tcW w:type="dxa" w:w="3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Одно sd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statistical_sd, birge_adjusted_sd (только при пройденном паттерн-тесте), model_form_robustness (диапазон); вердикт по огибающей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Различимость</w:t>
            </w:r>
          </w:p>
        </w:tc>
        <w:tc>
          <w:tcPr>
            <w:tcW w:type="dxa" w:w="3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sd по S без nuisance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Полная матрица с nuisance и prior-строками; q_G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G12 по сэндвичу</w:t>
            </w:r>
          </w:p>
        </w:tc>
        <w:tc>
          <w:tcPr>
            <w:tcW w:type="dxa" w:w="3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Запрещено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Вторичное свидетельство; «ОПРЕДЕЛЕНО» только при независимом ограничении nuisance и согласованности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k_core</w:t>
            </w:r>
          </w:p>
        </w:tc>
        <w:tc>
          <w:tcPr>
            <w:tcW w:type="dxa" w:w="3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Lognormal sd 15 %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Эффективный множитель печатной решётки; prior TBD из теста плитки кора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Кластер</w:t>
            </w:r>
          </w:p>
        </w:tc>
        <w:tc>
          <w:tcPr>
            <w:tcW w:type="dxa" w:w="3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|Δf|/f &lt; 2 %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Триггер &lt; 3 % + устойчивость подпространства по всем направлениям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Hold-out</w:t>
            </w:r>
          </w:p>
        </w:tc>
        <w:tc>
          <w:tcPr>
            <w:tcW w:type="dxa" w:w="3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«Мода 1»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Низшее крутильное семейство по непрерывным оценкам чётности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Регистрация</w:t>
            </w:r>
          </w:p>
        </w:tc>
        <w:tc>
          <w:tcPr>
            <w:tcW w:type="dxa" w:w="3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Диагностика MAC в пределах физической неопределённости; флаг registration-limited; без оптимизации</w:t>
            </w:r>
          </w:p>
        </w:tc>
      </w:tr>
      <w:tr>
        <w:tc>
          <w:tcPr>
            <w:tcW w:type="dxa" w:w="2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Согласованность семейства</w:t>
            </w:r>
          </w:p>
        </w:tc>
        <w:tc>
          <w:tcPr>
            <w:tcW w:type="dxa" w:w="3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«p &lt; 0.01» без статистики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Δχ², Δdof = k(N−1), условия применимости; иначе bootstrap на линеаризованной модели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4A3"/>
        <w:sz w:val="16"/>
        <w:szCs w:val="16"/>
      </w:rPr>
      <w:t xml:space="preserve">ТЗ Auto-ID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4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Auto-ID v1.1</dc:title>
  <dc:creator>Claude</dc:creator>
  <cp:lastModifiedBy>Un-named</cp:lastModifiedBy>
  <cp:revision>1</cp:revision>
  <dcterms:created xsi:type="dcterms:W3CDTF">2026-10-03T12:05:59.260Z</dcterms:created>
  <dcterms:modified xsi:type="dcterms:W3CDTF">2026-10-03T12:05:59.261Z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