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Helvetica" w:hAnsi="Helvetica"/>
          <w:b/>
          <w:sz w:val="32"/>
        </w:rPr>
        <w:t>06 Density Concept</w:t>
      </w:r>
    </w:p>
    <w:p>
      <w:pPr>
        <w:pStyle w:val="Heading1"/>
      </w:pPr>
      <w:r>
        <w:rPr>
          <w:rFonts w:ascii="Helvetica" w:hAnsi="Helvetica"/>
          <w:b/>
          <w:sz w:val="28"/>
        </w:rPr>
        <w:t>Density Concept</w:t>
      </w:r>
    </w:p>
    <w:p>
      <w:r>
        <w:rPr>
          <w:rFonts w:ascii="Helvetica" w:hAnsi="Helvetica"/>
          <w:b/>
          <w:sz w:val="22"/>
        </w:rPr>
        <w:t>Date:</w:t>
      </w:r>
      <w:r>
        <w:rPr>
          <w:rFonts w:ascii="Helvetica" w:hAnsi="Helvetica"/>
          <w:sz w:val="22"/>
        </w:rPr>
        <w:t xml:space="preserve"> September 17, 2025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Version:</w:t>
      </w:r>
      <w:r>
        <w:rPr>
          <w:rFonts w:ascii="Helvetica" w:hAnsi="Helvetica"/>
          <w:sz w:val="22"/>
        </w:rPr>
        <w:t xml:space="preserve"> v1.0 - Extracted from combined density-size concept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Status:</w:t>
      </w:r>
      <w:r>
        <w:rPr>
          <w:rFonts w:ascii="Helvetica" w:hAnsi="Helvetica"/>
          <w:sz w:val="22"/>
        </w:rPr>
        <w:t xml:space="preserve"> To do</w:t>
      </w:r>
    </w:p>
    <w:p>
      <w:pPr>
        <w:pStyle w:val="Heading2"/>
      </w:pPr>
      <w:r>
        <w:rPr>
          <w:rFonts w:ascii="Helvetica" w:hAnsi="Helvetica"/>
          <w:b/>
          <w:sz w:val="24"/>
        </w:rPr>
        <w:t>Overview</w:t>
      </w:r>
    </w:p>
    <w:p>
      <w:r>
        <w:rPr>
          <w:rFonts w:ascii="Helvetica" w:hAnsi="Helvetica"/>
          <w:sz w:val="22"/>
        </w:rPr>
        <w:t xml:space="preserve">This document outlines the </w:t>
      </w:r>
      <w:r>
        <w:rPr>
          <w:rFonts w:ascii="Helvetica" w:hAnsi="Helvetica"/>
          <w:b/>
          <w:sz w:val="22"/>
        </w:rPr>
        <w:t>Density</w:t>
      </w:r>
      <w:r>
        <w:rPr>
          <w:rFonts w:ascii="Helvetica" w:hAnsi="Helvetica"/>
          <w:sz w:val="22"/>
        </w:rPr>
        <w:t xml:space="preserve"> system for component scaling, ensuring consistent layout breathing room and visual density control across different interface contexts.</w:t>
      </w:r>
    </w:p>
    <w:p>
      <w:pPr>
        <w:pStyle w:val="Heading2"/>
      </w:pPr>
      <w:r>
        <w:rPr>
          <w:rFonts w:ascii="Helvetica" w:hAnsi="Helvetica"/>
          <w:b/>
          <w:sz w:val="24"/>
        </w:rPr>
        <w:t>Design goals</w:t>
      </w:r>
    </w:p>
    <w:p>
      <w:pPr>
        <w:pStyle w:val="Heading3"/>
      </w:pPr>
      <w:r>
        <w:rPr>
          <w:rFonts w:ascii="Helvetica" w:hAnsi="Helvetica"/>
          <w:b/>
          <w:sz w:val="22"/>
        </w:rPr>
        <w:t>**Harmonious layout integration**</w:t>
      </w:r>
    </w:p>
    <w:p>
      <w:pPr>
        <w:pStyle w:val="ListBullet"/>
      </w:pPr>
      <w:r>
        <w:rPr>
          <w:rFonts w:ascii="Helvetica" w:hAnsi="Helvetica"/>
          <w:sz w:val="22"/>
        </w:rPr>
        <w:t>Page layouts work together consistently without visual conflicts</w:t>
      </w:r>
    </w:p>
    <w:p>
      <w:pPr>
        <w:pStyle w:val="ListBullet"/>
      </w:pPr>
      <w:r>
        <w:rPr>
          <w:rFonts w:ascii="Helvetica" w:hAnsi="Helvetica"/>
          <w:sz w:val="22"/>
        </w:rPr>
        <w:t>Density relationships feel natural and intentional</w:t>
      </w:r>
    </w:p>
    <w:p>
      <w:pPr>
        <w:pStyle w:val="ListBullet"/>
      </w:pPr>
      <w:r>
        <w:rPr>
          <w:rFonts w:ascii="Helvetica" w:hAnsi="Helvetica"/>
          <w:sz w:val="22"/>
        </w:rPr>
        <w:t>Proper visual hierarchy maintained across all density variants</w:t>
      </w:r>
    </w:p>
    <w:p>
      <w:pPr>
        <w:pStyle w:val="Heading3"/>
      </w:pPr>
      <w:r>
        <w:rPr>
          <w:rFonts w:ascii="Helvetica" w:hAnsi="Helvetica"/>
          <w:b/>
          <w:sz w:val="22"/>
        </w:rPr>
        <w:t>**Effortless user experience**</w:t>
      </w:r>
    </w:p>
    <w:p>
      <w:pPr>
        <w:pStyle w:val="ListBullet"/>
      </w:pPr>
      <w:r>
        <w:rPr>
          <w:rFonts w:ascii="Helvetica" w:hAnsi="Helvetica"/>
          <w:sz w:val="22"/>
        </w:rPr>
        <w:t>Consistent spacing patterns across different contexts</w:t>
      </w:r>
    </w:p>
    <w:p>
      <w:pPr>
        <w:pStyle w:val="ListBullet"/>
      </w:pPr>
      <w:r>
        <w:rPr>
          <w:rFonts w:ascii="Helvetica" w:hAnsi="Helvetica"/>
          <w:sz w:val="22"/>
        </w:rPr>
        <w:t>Predictable density behavior reduces cognitive load</w:t>
      </w:r>
    </w:p>
    <w:p>
      <w:pPr>
        <w:pStyle w:val="ListBullet"/>
      </w:pPr>
      <w:r>
        <w:rPr>
          <w:rFonts w:ascii="Helvetica" w:hAnsi="Helvetica"/>
          <w:sz w:val="22"/>
        </w:rPr>
        <w:t>Context-appropriate spacing for different user types</w:t>
      </w:r>
    </w:p>
    <w:p>
      <w:pPr>
        <w:pStyle w:val="Heading3"/>
      </w:pPr>
      <w:r>
        <w:rPr>
          <w:rFonts w:ascii="Helvetica" w:hAnsi="Helvetica"/>
          <w:b/>
          <w:sz w:val="22"/>
        </w:rPr>
        <w:t>**Accessible by design**</w:t>
      </w:r>
    </w:p>
    <w:p>
      <w:pPr>
        <w:pStyle w:val="ListBullet"/>
      </w:pPr>
      <w:r>
        <w:rPr>
          <w:rFonts w:ascii="Helvetica" w:hAnsi="Helvetica"/>
          <w:sz w:val="22"/>
        </w:rPr>
        <w:t>All density variants maintain usability standards</w:t>
      </w:r>
    </w:p>
    <w:p>
      <w:pPr>
        <w:pStyle w:val="ListBullet"/>
      </w:pPr>
      <w:r>
        <w:rPr>
          <w:rFonts w:ascii="Helvetica" w:hAnsi="Helvetica"/>
          <w:sz w:val="22"/>
        </w:rPr>
        <w:t>Visual breathing room preserved across scales</w:t>
      </w:r>
    </w:p>
    <w:p>
      <w:pPr>
        <w:pStyle w:val="Heading3"/>
      </w:pPr>
      <w:r>
        <w:rPr>
          <w:rFonts w:ascii="Helvetica" w:hAnsi="Helvetica"/>
          <w:b/>
          <w:sz w:val="22"/>
        </w:rPr>
        <w:t>**Developer experience**</w:t>
      </w:r>
    </w:p>
    <w:p>
      <w:pPr>
        <w:pStyle w:val="ListBullet"/>
      </w:pPr>
      <w:r>
        <w:rPr>
          <w:rFonts w:ascii="Helvetica" w:hAnsi="Helvetica"/>
          <w:sz w:val="22"/>
        </w:rPr>
        <w:t>Components automatically coordinate without requiring manual spacing matching by developers</w:t>
      </w:r>
    </w:p>
    <w:p>
      <w:pPr>
        <w:pStyle w:val="ListBullet"/>
      </w:pPr>
      <w:r>
        <w:rPr>
          <w:rFonts w:ascii="Helvetica" w:hAnsi="Helvetica"/>
          <w:sz w:val="22"/>
        </w:rPr>
        <w:t>Clear inheritance patterns reduce implementation complexity</w:t>
      </w:r>
    </w:p>
    <w:p>
      <w:pPr>
        <w:pStyle w:val="ListBullet"/>
      </w:pPr>
      <w:r>
        <w:rPr>
          <w:rFonts w:ascii="Helvetica" w:hAnsi="Helvetica"/>
          <w:sz w:val="22"/>
        </w:rPr>
        <w:t>Consistent API across density system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Density system (to do)</w:t>
      </w:r>
    </w:p>
    <w:p>
      <w:pPr>
        <w:pStyle w:val="Heading3"/>
      </w:pPr>
      <w:r>
        <w:rPr>
          <w:rFonts w:ascii="Helvetica" w:hAnsi="Helvetica"/>
          <w:b/>
          <w:sz w:val="22"/>
        </w:rPr>
        <w:t>**Definition**</w:t>
      </w:r>
    </w:p>
    <w:p>
      <w:pPr>
        <w:pStyle w:val="ListBullet"/>
      </w:pPr>
      <w:r>
        <w:rPr>
          <w:rFonts w:ascii="Helvetica" w:hAnsi="Helvetica"/>
          <w:sz w:val="22"/>
        </w:rPr>
        <w:t>**Triggers outer spacing** (outside components, mostly atoms and molecules)</w:t>
      </w:r>
    </w:p>
    <w:p>
      <w:pPr>
        <w:pStyle w:val="ListBullet"/>
      </w:pPr>
      <w:r>
        <w:rPr>
          <w:rFonts w:ascii="Helvetica" w:hAnsi="Helvetica"/>
          <w:sz w:val="22"/>
        </w:rPr>
        <w:t>**Determines visual density** of one page layout</w:t>
      </w:r>
    </w:p>
    <w:p>
      <w:pPr>
        <w:pStyle w:val="ListBullet"/>
      </w:pPr>
      <w:r>
        <w:rPr>
          <w:rFonts w:ascii="Helvetica" w:hAnsi="Helvetica"/>
          <w:sz w:val="22"/>
        </w:rPr>
        <w:t>**Does not trigger inset spacings** of smaller components like badges, buttons, form fields</w:t>
      </w:r>
    </w:p>
    <w:p>
      <w:pPr>
        <w:pStyle w:val="Heading3"/>
      </w:pPr>
      <w:r>
        <w:rPr>
          <w:rFonts w:ascii="Helvetica" w:hAnsi="Helvetica"/>
          <w:b/>
          <w:sz w:val="22"/>
        </w:rPr>
        <w:t>**Implementation**</w:t>
      </w:r>
    </w:p>
    <w:p>
      <w:pPr>
        <w:pStyle w:val="ListBullet"/>
      </w:pPr>
      <w:r>
        <w:rPr>
          <w:rFonts w:ascii="Helvetica" w:hAnsi="Helvetica"/>
          <w:sz w:val="22"/>
        </w:rPr>
        <w:t>**Figma**: Variable collection with variable modes (x, y, z - todo)</w:t>
      </w:r>
    </w:p>
    <w:p>
      <w:pPr>
        <w:pStyle w:val="ListBullet"/>
      </w:pPr>
      <w:r>
        <w:rPr>
          <w:rFonts w:ascii="Helvetica" w:hAnsi="Helvetica"/>
          <w:sz w:val="22"/>
        </w:rPr>
        <w:t>**Tokens Studio**: Theme group in .json files with themes (x, y, z - todo)</w:t>
      </w:r>
    </w:p>
    <w:p>
      <w:pPr>
        <w:pStyle w:val="Heading3"/>
      </w:pPr>
      <w:r>
        <w:rPr>
          <w:rFonts w:ascii="Helvetica" w:hAnsi="Helvetica"/>
          <w:b/>
          <w:sz w:val="22"/>
        </w:rPr>
        <w:t>**Scope**</w:t>
      </w:r>
    </w:p>
    <w:p>
      <w:pPr>
        <w:pStyle w:val="ListBullet"/>
      </w:pPr>
      <w:r>
        <w:rPr>
          <w:rFonts w:ascii="Helvetica" w:hAnsi="Helvetica"/>
          <w:sz w:val="22"/>
        </w:rPr>
        <w:t>Page-level visual density control</w:t>
      </w:r>
    </w:p>
    <w:p>
      <w:pPr>
        <w:pStyle w:val="ListBullet"/>
      </w:pPr>
      <w:r>
        <w:rPr>
          <w:rFonts w:ascii="Helvetica" w:hAnsi="Helvetica"/>
          <w:sz w:val="22"/>
        </w:rPr>
        <w:t>Layout spacing between components</w:t>
      </w:r>
    </w:p>
    <w:p>
      <w:pPr>
        <w:pStyle w:val="ListBullet"/>
      </w:pPr>
      <w:r>
        <w:rPr>
          <w:rFonts w:ascii="Helvetica" w:hAnsi="Helvetica"/>
          <w:sz w:val="22"/>
        </w:rPr>
        <w:t>Overall interface breathing room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Spacing roles</w:t>
      </w:r>
    </w:p>
    <w:p>
      <w:pPr>
        <w:pStyle w:val="Heading3"/>
      </w:pPr>
      <w:r>
        <w:rPr>
          <w:rFonts w:ascii="Helvetica" w:hAnsi="Helvetica"/>
          <w:b/>
          <w:sz w:val="22"/>
        </w:rPr>
        <w:t>**Density system spacing**</w:t>
      </w:r>
    </w:p>
    <w:p>
      <w:pPr>
        <w:pStyle w:val="ListBullet"/>
      </w:pPr>
      <w:r>
        <w:rPr>
          <w:rFonts w:ascii="Helvetica" w:hAnsi="Helvetica"/>
          <w:sz w:val="22"/>
        </w:rPr>
        <w:t>**Spacing as tool**: Controls outer gaps, margins, and layout breathing room</w:t>
      </w:r>
    </w:p>
    <w:p>
      <w:pPr>
        <w:pStyle w:val="ListBullet"/>
      </w:pPr>
      <w:r>
        <w:rPr>
          <w:rFonts w:ascii="Helvetica" w:hAnsi="Helvetica"/>
          <w:sz w:val="22"/>
        </w:rPr>
        <w:t>**Affects**: Section spacing, card gaps, component margins</w:t>
      </w:r>
    </w:p>
    <w:p>
      <w:pPr>
        <w:pStyle w:val="ListBullet"/>
      </w:pPr>
      <w:r>
        <w:rPr>
          <w:rFonts w:ascii="Helvetica" w:hAnsi="Helvetica"/>
          <w:sz w:val="22"/>
        </w:rPr>
        <w:t>**Does not affect**: Internal component padding or inset spacing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Density and size interplay</w:t>
      </w:r>
    </w:p>
    <w:p>
      <w:pPr>
        <w:pStyle w:val="Heading3"/>
      </w:pPr>
      <w:r>
        <w:rPr>
          <w:rFonts w:ascii="Helvetica" w:hAnsi="Helvetica"/>
          <w:b/>
          <w:sz w:val="22"/>
        </w:rPr>
        <w:t>**Coordinated combinations and design context matching**</w:t>
      </w:r>
    </w:p>
    <w:p>
      <w:pPr>
        <w:pStyle w:val="Heading4"/>
      </w:pPr>
      <w:r>
        <w:rPr>
          <w:rFonts w:ascii="Helvetica" w:hAnsi="Helvetica"/>
          <w:b/>
          <w:sz w:val="22"/>
        </w:rPr>
        <w:t>**Compact density + small size**</w:t>
      </w:r>
    </w:p>
    <w:p>
      <w:pPr>
        <w:pStyle w:val="ListBullet"/>
      </w:pPr>
      <w:r>
        <w:rPr>
          <w:rFonts w:ascii="Helvetica" w:hAnsi="Helvetica"/>
          <w:sz w:val="22"/>
        </w:rPr>
        <w:t>**Use case**: Frequently used apps for power user personas</w:t>
      </w:r>
    </w:p>
    <w:p>
      <w:pPr>
        <w:pStyle w:val="ListBullet"/>
      </w:pPr>
      <w:r>
        <w:rPr>
          <w:rFonts w:ascii="Helvetica" w:hAnsi="Helvetica"/>
          <w:sz w:val="22"/>
        </w:rPr>
        <w:t>**User type**: Power users prioritizing information density</w:t>
      </w:r>
    </w:p>
    <w:p>
      <w:pPr>
        <w:pStyle w:val="ListBullet"/>
      </w:pPr>
      <w:r>
        <w:rPr>
          <w:rFonts w:ascii="Helvetica" w:hAnsi="Helvetica"/>
          <w:sz w:val="22"/>
        </w:rPr>
        <w:t>**Context**: Data-heavy interfaces, administrative tools</w:t>
      </w:r>
    </w:p>
    <w:p>
      <w:pPr>
        <w:pStyle w:val="Heading4"/>
      </w:pPr>
      <w:r>
        <w:rPr>
          <w:rFonts w:ascii="Helvetica" w:hAnsi="Helvetica"/>
          <w:b/>
          <w:sz w:val="22"/>
        </w:rPr>
        <w:t>**Medium density + medium size (default)**</w:t>
      </w:r>
    </w:p>
    <w:p>
      <w:pPr>
        <w:pStyle w:val="ListBullet"/>
      </w:pPr>
      <w:r>
        <w:rPr>
          <w:rFonts w:ascii="Helvetica" w:hAnsi="Helvetica"/>
          <w:sz w:val="22"/>
        </w:rPr>
        <w:t>**Use case**: Standard applications</w:t>
      </w:r>
    </w:p>
    <w:p>
      <w:pPr>
        <w:pStyle w:val="ListBullet"/>
      </w:pPr>
      <w:r>
        <w:rPr>
          <w:rFonts w:ascii="Helvetica" w:hAnsi="Helvetica"/>
          <w:sz w:val="22"/>
        </w:rPr>
        <w:t>**User type**: Standard users requiring balanced approach</w:t>
      </w:r>
    </w:p>
    <w:p>
      <w:pPr>
        <w:pStyle w:val="ListBullet"/>
      </w:pPr>
      <w:r>
        <w:rPr>
          <w:rFonts w:ascii="Helvetica" w:hAnsi="Helvetica"/>
          <w:sz w:val="22"/>
        </w:rPr>
        <w:t>**Context**: General purpose applications, dashboards</w:t>
      </w:r>
    </w:p>
    <w:p>
      <w:pPr>
        <w:pStyle w:val="Heading4"/>
      </w:pPr>
      <w:r>
        <w:rPr>
          <w:rFonts w:ascii="Helvetica" w:hAnsi="Helvetica"/>
          <w:b/>
          <w:sz w:val="22"/>
        </w:rPr>
        <w:t>**Generous density + large size**</w:t>
      </w:r>
    </w:p>
    <w:p>
      <w:pPr>
        <w:pStyle w:val="ListBullet"/>
      </w:pPr>
      <w:r>
        <w:rPr>
          <w:rFonts w:ascii="Helvetica" w:hAnsi="Helvetica"/>
          <w:sz w:val="22"/>
        </w:rPr>
        <w:t>**Use case**: Simple flows, onboarding, simple dashboards, marketing websites</w:t>
      </w:r>
    </w:p>
    <w:p>
      <w:pPr>
        <w:pStyle w:val="ListBullet"/>
      </w:pPr>
      <w:r>
        <w:rPr>
          <w:rFonts w:ascii="Helvetica" w:hAnsi="Helvetica"/>
          <w:sz w:val="22"/>
        </w:rPr>
        <w:t>**User type**: Users prioritizing clarity and ease of use</w:t>
      </w:r>
    </w:p>
    <w:p>
      <w:pPr>
        <w:pStyle w:val="ListBullet"/>
      </w:pPr>
      <w:r>
        <w:rPr>
          <w:rFonts w:ascii="Helvetica" w:hAnsi="Helvetica"/>
          <w:sz w:val="22"/>
        </w:rPr>
        <w:t>**Context**: Marketing sites, onboarding flows, accessibility-focused interfaces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Key principles</w:t>
      </w:r>
    </w:p>
    <w:p>
      <w:pPr>
        <w:pStyle w:val="Heading3"/>
      </w:pPr>
      <w:r>
        <w:rPr>
          <w:rFonts w:ascii="Helvetica" w:hAnsi="Helvetica"/>
          <w:b/>
          <w:sz w:val="22"/>
        </w:rPr>
        <w:t>**Visual hierarchy maintenance**</w:t>
      </w:r>
    </w:p>
    <w:p>
      <w:pPr>
        <w:pStyle w:val="ListBullet"/>
      </w:pPr>
      <w:r>
        <w:rPr>
          <w:rFonts w:ascii="Helvetica" w:hAnsi="Helvetica"/>
          <w:sz w:val="22"/>
        </w:rPr>
        <w:t>Density relationships ensure proper layout hierarchy</w:t>
      </w:r>
    </w:p>
    <w:p>
      <w:pPr>
        <w:pStyle w:val="ListBullet"/>
      </w:pPr>
      <w:r>
        <w:rPr>
          <w:rFonts w:ascii="Helvetica" w:hAnsi="Helvetica"/>
          <w:sz w:val="22"/>
        </w:rPr>
        <w:t>Larger spacing maintains visual separation</w:t>
      </w:r>
    </w:p>
    <w:p>
      <w:pPr>
        <w:pStyle w:val="ListBullet"/>
      </w:pPr>
      <w:r>
        <w:rPr>
          <w:rFonts w:ascii="Helvetica" w:hAnsi="Helvetica"/>
          <w:sz w:val="22"/>
        </w:rPr>
        <w:t>Consistency across contexts and use cases</w:t>
      </w:r>
    </w:p>
    <w:p>
      <w:pPr>
        <w:pStyle w:val="ListBullet"/>
      </w:pPr>
      <w:r>
        <w:rPr>
          <w:rFonts w:ascii="Helvetica" w:hAnsi="Helvetica"/>
          <w:sz w:val="22"/>
        </w:rPr>
        <w:t>Components work together consistently without visual conflicts</w:t>
      </w:r>
    </w:p>
    <w:p>
      <w:pPr>
        <w:pStyle w:val="Heading3"/>
      </w:pPr>
      <w:r>
        <w:rPr>
          <w:rFonts w:ascii="Helvetica" w:hAnsi="Helvetica"/>
          <w:b/>
          <w:sz w:val="22"/>
        </w:rPr>
        <w:t>**Designer and developer efficiency**</w:t>
      </w:r>
    </w:p>
    <w:p>
      <w:pPr>
        <w:pStyle w:val="ListBullet"/>
      </w:pPr>
      <w:r>
        <w:rPr>
          <w:rFonts w:ascii="Helvetica" w:hAnsi="Helvetica"/>
          <w:sz w:val="22"/>
        </w:rPr>
        <w:t>Single density collection reduces decision fatigue</w:t>
      </w:r>
    </w:p>
    <w:p>
      <w:pPr>
        <w:pStyle w:val="ListBullet"/>
      </w:pPr>
      <w:r>
        <w:rPr>
          <w:rFonts w:ascii="Helvetica" w:hAnsi="Helvetica"/>
          <w:sz w:val="22"/>
        </w:rPr>
        <w:t>Unified naming convention across all layouts</w:t>
      </w:r>
    </w:p>
    <w:p>
      <w:pPr>
        <w:pStyle w:val="ListBullet"/>
      </w:pPr>
      <w:r>
        <w:rPr>
          <w:rFonts w:ascii="Helvetica" w:hAnsi="Helvetica"/>
          <w:sz w:val="22"/>
        </w:rPr>
        <w:t>Automatic inheritance reduces manual spacing work</w:t>
      </w:r>
    </w:p>
    <w:p>
      <w:pPr>
        <w:pStyle w:val="ListBullet"/>
      </w:pPr>
      <w:r>
        <w:rPr>
          <w:rFonts w:ascii="Helvetica" w:hAnsi="Helvetica"/>
          <w:sz w:val="22"/>
        </w:rPr>
        <w:t>Clear implementation patterns for development teams</w:t>
      </w:r>
    </w:p>
    <w:p>
      <w:pPr>
        <w:pStyle w:val="Heading3"/>
      </w:pPr>
      <w:r>
        <w:rPr>
          <w:rFonts w:ascii="Helvetica" w:hAnsi="Helvetica"/>
          <w:b/>
          <w:sz w:val="22"/>
        </w:rPr>
        <w:t>**User experience consistency**</w:t>
      </w:r>
    </w:p>
    <w:p>
      <w:pPr>
        <w:pStyle w:val="ListBullet"/>
      </w:pPr>
      <w:r>
        <w:rPr>
          <w:rFonts w:ascii="Helvetica" w:hAnsi="Helvetica"/>
          <w:sz w:val="22"/>
        </w:rPr>
        <w:t>Predictable spacing relationships across interface</w:t>
      </w:r>
    </w:p>
    <w:p>
      <w:pPr>
        <w:pStyle w:val="ListBullet"/>
      </w:pPr>
      <w:r>
        <w:rPr>
          <w:rFonts w:ascii="Helvetica" w:hAnsi="Helvetica"/>
          <w:sz w:val="22"/>
        </w:rPr>
        <w:t>Context-appropriate density for different user types</w:t>
      </w:r>
    </w:p>
    <w:p>
      <w:pPr>
        <w:pStyle w:val="ListBullet"/>
      </w:pPr>
      <w:r>
        <w:rPr>
          <w:rFonts w:ascii="Helvetica" w:hAnsi="Helvetica"/>
          <w:sz w:val="22"/>
        </w:rPr>
        <w:t>Consistent layout patterns across different contexts</w:t>
      </w:r>
    </w:p>
    <w:p>
      <w:pPr>
        <w:pStyle w:val="ListBullet"/>
      </w:pPr>
      <w:r>
        <w:rPr>
          <w:rFonts w:ascii="Helvetica" w:hAnsi="Helvetica"/>
          <w:sz w:val="22"/>
        </w:rPr>
        <w:t>Maintained usability across all density variants</w:t>
      </w:r>
    </w:p>
    <w:p>
      <w:pPr>
        <w:pStyle w:val="Heading3"/>
      </w:pPr>
      <w:r>
        <w:rPr>
          <w:rFonts w:ascii="Helvetica" w:hAnsi="Helvetica"/>
          <w:b/>
          <w:sz w:val="22"/>
        </w:rPr>
        <w:t>**Accessibility First**</w:t>
      </w:r>
    </w:p>
    <w:p>
      <w:pPr>
        <w:pStyle w:val="ListBullet"/>
      </w:pPr>
      <w:r>
        <w:rPr>
          <w:rFonts w:ascii="Helvetica" w:hAnsi="Helvetica"/>
          <w:sz w:val="22"/>
        </w:rPr>
        <w:t>Visual breathing room maintained in coordinated components</w:t>
      </w:r>
    </w:p>
    <w:p>
      <w:pPr>
        <w:pStyle w:val="ListBullet"/>
      </w:pPr>
      <w:r>
        <w:rPr>
          <w:rFonts w:ascii="Helvetica" w:hAnsi="Helvetica"/>
          <w:sz w:val="22"/>
        </w:rPr>
        <w:t>Content readability preserved in density modes</w:t>
      </w:r>
    </w:p>
    <w:p>
      <w:pPr>
        <w:pStyle w:val="ListBullet"/>
      </w:pPr>
      <w:r>
        <w:rPr>
          <w:rFonts w:ascii="Helvetica" w:hAnsi="Helvetica"/>
          <w:sz w:val="22"/>
        </w:rPr>
        <w:t>Focus indicators properly spaced for context</w:t>
      </w:r>
    </w:p>
    <w:p>
      <w:pPr>
        <w:pStyle w:val="ListBullet"/>
      </w:pPr>
      <w:r>
        <w:rPr>
          <w:rFonts w:ascii="Helvetica" w:hAnsi="Helvetica"/>
          <w:sz w:val="22"/>
        </w:rPr>
        <w:t>Universal design principles applied to all density variants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Token examples</w:t>
      </w:r>
    </w:p>
    <w:p>
      <w:pPr>
        <w:pStyle w:val="Heading3"/>
      </w:pPr>
      <w:r>
        <w:rPr>
          <w:rFonts w:ascii="Helvetica" w:hAnsi="Helvetica"/>
          <w:b/>
          <w:sz w:val="22"/>
        </w:rPr>
        <w:t>**Density token collection**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b/>
                <w:sz w:val="20"/>
              </w:rPr>
              <w:t>Token Name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b/>
                <w:sz w:val="20"/>
              </w:rPr>
              <w:t>Compact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b/>
                <w:sz w:val="20"/>
              </w:rPr>
              <w:t>Medium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b/>
                <w:sz w:val="20"/>
              </w:rPr>
              <w:t>Generous</w:t>
            </w:r>
          </w:p>
        </w:tc>
      </w:tr>
      <w:tr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`ob.density.layout.section.gap`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16px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24px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32px</w:t>
            </w:r>
          </w:p>
        </w:tc>
      </w:tr>
      <w:tr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`ob.density.layout.card.gap`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12px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16px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24px</w:t>
            </w:r>
          </w:p>
        </w:tc>
      </w:tr>
      <w:tr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`ob.density.component.margin`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8px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12px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16px</w:t>
            </w:r>
          </w:p>
        </w:tc>
      </w:tr>
      <w:tr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`ob.density.list.item.padding`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8px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12px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16px</w:t>
            </w:r>
          </w:p>
        </w:tc>
      </w:tr>
    </w:tbl>
    <w:p>
      <w:pPr>
        <w:pStyle w:val="Heading3"/>
      </w:pPr>
      <w:r>
        <w:rPr>
          <w:rFonts w:ascii="Helvetica" w:hAnsi="Helvetica"/>
          <w:b/>
          <w:sz w:val="22"/>
        </w:rPr>
        <w:t>**Combined token usage example**</w:t>
      </w:r>
    </w:p>
    <w:p>
      <w:r>
        <w:rPr>
          <w:rFonts w:ascii="Helvetica" w:hAnsi="Helvetica"/>
          <w:sz w:val="22"/>
        </w:rPr>
        <w:t>/* Container sets density context */</w:t>
      </w:r>
      <w:r>
        <w:rPr>
          <w:rFonts w:ascii="Helvetica" w:hAnsi="Helvetica"/>
          <w:sz w:val="22"/>
        </w:rPr>
        <w:br/>
        <w:t>.form-section[data-density="compact"] {</w:t>
      </w:r>
      <w:r>
        <w:rPr>
          <w:rFonts w:ascii="Helvetica" w:hAnsi="Helvetica"/>
          <w:sz w:val="22"/>
        </w:rPr>
        <w:br/>
        <w:t>--density-context: compact;</w:t>
      </w:r>
      <w:r>
        <w:rPr>
          <w:rFonts w:ascii="Helvetica" w:hAnsi="Helvetica"/>
          <w:sz w:val="22"/>
        </w:rPr>
        <w:br/>
        <w:t>gap: var(--ob-density-layout-section-gap-compact);</w:t>
      </w:r>
      <w:r>
        <w:rPr>
          <w:rFonts w:ascii="Helvetica" w:hAnsi="Helvetica"/>
          <w:sz w:val="22"/>
        </w:rPr>
        <w:br/>
        <w:t>}</w:t>
      </w:r>
    </w:p>
    <w:p>
      <w:r>
        <w:rPr>
          <w:rFonts w:ascii="Helvetica" w:hAnsi="Helvetica"/>
          <w:sz w:val="22"/>
        </w:rPr>
        <w:t>---</w:t>
      </w:r>
    </w:p>
    <w:p>
      <w:r>
        <w:rPr>
          <w:rFonts w:ascii="Helvetica" w:hAnsi="Helvetica"/>
          <w:sz w:val="22"/>
        </w:rPr>
        <w:t>*This document focuses specifically on the density system for layout spacing and visual breathing room control.*</w:t>
      </w:r>
    </w:p>
    <w:sectPr w:rsidR="00FC693F" w:rsidRPr="0006063C" w:rsidSect="00034616">
      <w:footerReference w:type="default" r:id="rId9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Helvetica" w:hAnsi="Helvetica"/>
        <w:sz w:val="18"/>
      </w:rPr>
      <w:t>06-density-concept | Last edited: 2025-09-17 15:43 | Page [X] of [Y]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