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07 Size Concept</w:t>
      </w:r>
    </w:p>
    <w:p>
      <w:pPr>
        <w:pStyle w:val="Heading1"/>
      </w:pPr>
      <w:r>
        <w:rPr>
          <w:rFonts w:ascii="Helvetica" w:hAnsi="Helvetica"/>
          <w:b/>
          <w:sz w:val="28"/>
        </w:rPr>
        <w:t>Size Concept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17,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Version:</w:t>
      </w:r>
      <w:r>
        <w:rPr>
          <w:rFonts w:ascii="Helvetica" w:hAnsi="Helvetica"/>
          <w:sz w:val="22"/>
        </w:rPr>
        <w:t xml:space="preserve"> v1.0 - Extracted from combined density-size concept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Status:</w:t>
      </w:r>
      <w:r>
        <w:rPr>
          <w:rFonts w:ascii="Helvetica" w:hAnsi="Helvetica"/>
          <w:sz w:val="22"/>
        </w:rPr>
        <w:t xml:space="preserve"> Done in https://github.com/oblique-bit/oblique/tree/tokens-develop-02.05</w:t>
      </w:r>
    </w:p>
    <w:p>
      <w:pPr>
        <w:pStyle w:val="Heading2"/>
      </w:pPr>
      <w:r>
        <w:rPr>
          <w:rFonts w:ascii="Helvetica" w:hAnsi="Helvetica"/>
          <w:b/>
          <w:sz w:val="24"/>
        </w:rPr>
        <w:t>Overview</w:t>
      </w:r>
    </w:p>
    <w:p>
      <w:r>
        <w:rPr>
          <w:rFonts w:ascii="Helvetica" w:hAnsi="Helvetica"/>
          <w:sz w:val="22"/>
        </w:rPr>
        <w:t xml:space="preserve">This document outlines the </w:t>
      </w:r>
      <w:r>
        <w:rPr>
          <w:rFonts w:ascii="Helvetica" w:hAnsi="Helvetica"/>
          <w:b/>
          <w:sz w:val="22"/>
        </w:rPr>
        <w:t>Size</w:t>
      </w:r>
      <w:r>
        <w:rPr>
          <w:rFonts w:ascii="Helvetica" w:hAnsi="Helvetica"/>
          <w:sz w:val="22"/>
        </w:rPr>
        <w:t xml:space="preserve"> system for component scaling through unified size modes, ensuring consistent component relationships and accessible user experiences.</w:t>
      </w:r>
    </w:p>
    <w:p>
      <w:pPr>
        <w:pStyle w:val="Heading2"/>
      </w:pPr>
      <w:r>
        <w:rPr>
          <w:rFonts w:ascii="Helvetica" w:hAnsi="Helvetica"/>
          <w:b/>
          <w:sz w:val="24"/>
        </w:rPr>
        <w:t>Design goals</w:t>
      </w:r>
    </w:p>
    <w:p>
      <w:pPr>
        <w:pStyle w:val="Heading3"/>
      </w:pPr>
      <w:r>
        <w:rPr>
          <w:rFonts w:ascii="Helvetica" w:hAnsi="Helvetica"/>
          <w:b/>
          <w:sz w:val="22"/>
        </w:rPr>
        <w:t>**Harmonious component integration**</w:t>
      </w:r>
    </w:p>
    <w:p>
      <w:pPr>
        <w:pStyle w:val="ListBullet"/>
      </w:pPr>
      <w:r>
        <w:rPr>
          <w:rFonts w:ascii="Helvetica" w:hAnsi="Helvetica"/>
          <w:sz w:val="22"/>
        </w:rPr>
        <w:t>Components work together consistently without visual conflicts</w:t>
      </w:r>
    </w:p>
    <w:p>
      <w:pPr>
        <w:pStyle w:val="ListBullet"/>
      </w:pPr>
      <w:r>
        <w:rPr>
          <w:rFonts w:ascii="Helvetica" w:hAnsi="Helvetica"/>
          <w:sz w:val="22"/>
        </w:rPr>
        <w:t>Size relationships feel natural and intentional</w:t>
      </w:r>
    </w:p>
    <w:p>
      <w:pPr>
        <w:pStyle w:val="ListBullet"/>
      </w:pPr>
      <w:r>
        <w:rPr>
          <w:rFonts w:ascii="Helvetica" w:hAnsi="Helvetica"/>
          <w:sz w:val="22"/>
        </w:rPr>
        <w:t>Proper component hierarchy maintained across all size variants</w:t>
      </w:r>
    </w:p>
    <w:p>
      <w:pPr>
        <w:pStyle w:val="Heading3"/>
      </w:pPr>
      <w:r>
        <w:rPr>
          <w:rFonts w:ascii="Helvetica" w:hAnsi="Helvetica"/>
          <w:b/>
          <w:sz w:val="22"/>
        </w:rPr>
        <w:t>**Effortless user experience**</w:t>
      </w:r>
    </w:p>
    <w:p>
      <w:pPr>
        <w:pStyle w:val="ListBullet"/>
      </w:pPr>
      <w:r>
        <w:rPr>
          <w:rFonts w:ascii="Helvetica" w:hAnsi="Helvetica"/>
          <w:sz w:val="22"/>
        </w:rPr>
        <w:t>Consistent interaction patterns across different contexts</w:t>
      </w:r>
    </w:p>
    <w:p>
      <w:pPr>
        <w:pStyle w:val="ListBullet"/>
      </w:pPr>
      <w:r>
        <w:rPr>
          <w:rFonts w:ascii="Helvetica" w:hAnsi="Helvetica"/>
          <w:sz w:val="22"/>
        </w:rPr>
        <w:t>Predictable sizing behavior reduces cognitive load</w:t>
      </w:r>
    </w:p>
    <w:p>
      <w:pPr>
        <w:pStyle w:val="ListBullet"/>
      </w:pPr>
      <w:r>
        <w:rPr>
          <w:rFonts w:ascii="Helvetica" w:hAnsi="Helvetica"/>
          <w:sz w:val="22"/>
        </w:rPr>
        <w:t>Context-appropriate scaling for different user types</w:t>
      </w:r>
    </w:p>
    <w:p>
      <w:pPr>
        <w:pStyle w:val="Heading3"/>
      </w:pPr>
      <w:r>
        <w:rPr>
          <w:rFonts w:ascii="Helvetica" w:hAnsi="Helvetica"/>
          <w:b/>
          <w:sz w:val="22"/>
        </w:rPr>
        <w:t>**Accessible by design**</w:t>
      </w:r>
    </w:p>
    <w:p>
      <w:pPr>
        <w:pStyle w:val="ListBullet"/>
      </w:pPr>
      <w:r>
        <w:rPr>
          <w:rFonts w:ascii="Helvetica" w:hAnsi="Helvetica"/>
          <w:sz w:val="22"/>
        </w:rPr>
        <w:t>All size variants maintain usability standards</w:t>
      </w:r>
    </w:p>
    <w:p>
      <w:pPr>
        <w:pStyle w:val="ListBullet"/>
      </w:pPr>
      <w:r>
        <w:rPr>
          <w:rFonts w:ascii="Helvetica" w:hAnsi="Helvetica"/>
          <w:sz w:val="22"/>
        </w:rPr>
        <w:t>Touch targets and readability preserved across scales</w:t>
      </w:r>
    </w:p>
    <w:p>
      <w:pPr>
        <w:pStyle w:val="Heading3"/>
      </w:pPr>
      <w:r>
        <w:rPr>
          <w:rFonts w:ascii="Helvetica" w:hAnsi="Helvetica"/>
          <w:b/>
          <w:sz w:val="22"/>
        </w:rPr>
        <w:t>**Developer experience**</w:t>
      </w:r>
    </w:p>
    <w:p>
      <w:pPr>
        <w:pStyle w:val="ListBullet"/>
      </w:pPr>
      <w:r>
        <w:rPr>
          <w:rFonts w:ascii="Helvetica" w:hAnsi="Helvetica"/>
          <w:sz w:val="22"/>
        </w:rPr>
        <w:t>Components automatically coordinate without requiring manual size matching by developers</w:t>
      </w:r>
    </w:p>
    <w:p>
      <w:pPr>
        <w:pStyle w:val="ListBullet"/>
      </w:pPr>
      <w:r>
        <w:rPr>
          <w:rFonts w:ascii="Helvetica" w:hAnsi="Helvetica"/>
          <w:sz w:val="22"/>
        </w:rPr>
        <w:t>Clear inheritance patterns reduce implementation complexity</w:t>
      </w:r>
    </w:p>
    <w:p>
      <w:pPr>
        <w:pStyle w:val="ListBullet"/>
      </w:pPr>
      <w:r>
        <w:rPr>
          <w:rFonts w:ascii="Helvetica" w:hAnsi="Helvetica"/>
          <w:sz w:val="22"/>
        </w:rPr>
        <w:t>Consistent API across size system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Size system (done)</w:t>
      </w:r>
    </w:p>
    <w:p>
      <w:pPr>
        <w:pStyle w:val="Heading3"/>
      </w:pPr>
      <w:r>
        <w:rPr>
          <w:rFonts w:ascii="Helvetica" w:hAnsi="Helvetica"/>
          <w:b/>
          <w:sz w:val="22"/>
        </w:rPr>
        <w:t>**Definition**</w:t>
      </w:r>
    </w:p>
    <w:p>
      <w:pPr>
        <w:pStyle w:val="ListBullet"/>
      </w:pPr>
      <w:r>
        <w:rPr>
          <w:rFonts w:ascii="Helvetica" w:hAnsi="Helvetica"/>
          <w:sz w:val="22"/>
        </w:rPr>
        <w:t>**Triggers inset spacing** (inside components, mostly atoms and molecules)</w:t>
      </w:r>
    </w:p>
    <w:p>
      <w:pPr>
        <w:pStyle w:val="ListBullet"/>
      </w:pPr>
      <w:r>
        <w:rPr>
          <w:rFonts w:ascii="Helvetica" w:hAnsi="Helvetica"/>
          <w:sz w:val="22"/>
        </w:rPr>
        <w:t>**Determines size of components** (primarily when grouped, in relation and context)</w:t>
      </w:r>
    </w:p>
    <w:p>
      <w:pPr>
        <w:pStyle w:val="Heading3"/>
      </w:pPr>
      <w:r>
        <w:rPr>
          <w:rFonts w:ascii="Helvetica" w:hAnsi="Helvetica"/>
          <w:b/>
          <w:sz w:val="22"/>
        </w:rPr>
        <w:t>**Implementation**</w:t>
      </w:r>
    </w:p>
    <w:p>
      <w:pPr>
        <w:pStyle w:val="ListBullet"/>
      </w:pPr>
      <w:r>
        <w:rPr>
          <w:rFonts w:ascii="Helvetica" w:hAnsi="Helvetica"/>
          <w:sz w:val="22"/>
        </w:rPr>
        <w:t>**Figma**: Variable collection with modes `sm`, `md`, `lg`</w:t>
      </w:r>
    </w:p>
    <w:p>
      <w:pPr>
        <w:pStyle w:val="ListBullet"/>
      </w:pPr>
      <w:r>
        <w:rPr>
          <w:rFonts w:ascii="Helvetica" w:hAnsi="Helvetica"/>
          <w:sz w:val="22"/>
        </w:rPr>
        <w:t>**Tokens Studio**: Theme group with themes `sm`, `md`, `lg`</w:t>
      </w:r>
    </w:p>
    <w:p>
      <w:pPr>
        <w:pStyle w:val="ListBullet"/>
      </w:pPr>
      <w:r>
        <w:rPr>
          <w:rFonts w:ascii="Helvetica" w:hAnsi="Helvetica"/>
          <w:sz w:val="22"/>
        </w:rPr>
        <w:t>**Current naming**: Uses `component-size` theme group in `$themes.json` (located at `/src/lib/themes/`) - called this way because only certain components react to it currently, but can be expanded and renamed later when more components support size modes</w:t>
      </w:r>
    </w:p>
    <w:p>
      <w:pPr>
        <w:pStyle w:val="Heading3"/>
      </w:pPr>
      <w:r>
        <w:rPr>
          <w:rFonts w:ascii="Helvetica" w:hAnsi="Helvetica"/>
          <w:b/>
          <w:sz w:val="22"/>
        </w:rPr>
        <w:t>**Shared component sizes philosophy**</w:t>
      </w:r>
    </w:p>
    <w:p>
      <w:r>
        <w:rPr>
          <w:rFonts w:ascii="Helvetica" w:hAnsi="Helvetica"/>
          <w:sz w:val="22"/>
        </w:rPr>
        <w:t>Shared sizes are beneficial for:</w:t>
      </w:r>
    </w:p>
    <w:p>
      <w:pPr>
        <w:pStyle w:val="ListBullet"/>
      </w:pPr>
      <w:r>
        <w:rPr>
          <w:rFonts w:ascii="Helvetica" w:hAnsi="Helvetica"/>
          <w:sz w:val="22"/>
        </w:rPr>
        <w:t>**Visual and interaction consistency** (end user experience)</w:t>
      </w:r>
    </w:p>
    <w:p>
      <w:pPr>
        <w:pStyle w:val="ListBullet"/>
      </w:pPr>
      <w:r>
        <w:rPr>
          <w:rFonts w:ascii="Helvetica" w:hAnsi="Helvetica"/>
          <w:sz w:val="22"/>
        </w:rPr>
        <w:t>**Efficiency** (product designer workflow)</w:t>
      </w:r>
    </w:p>
    <w:p>
      <w:pPr>
        <w:pStyle w:val="ListBullet"/>
      </w:pPr>
      <w:r>
        <w:rPr>
          <w:rFonts w:ascii="Helvetica" w:hAnsi="Helvetica"/>
          <w:sz w:val="22"/>
        </w:rPr>
        <w:t>**All components share one size collection**</w:t>
      </w:r>
    </w:p>
    <w:p>
      <w:pPr>
        <w:pStyle w:val="ListBullet"/>
      </w:pPr>
      <w:r>
        <w:rPr>
          <w:rFonts w:ascii="Helvetica" w:hAnsi="Helvetica"/>
          <w:sz w:val="22"/>
        </w:rPr>
        <w:t>**Contextual inheritance** (sizing flows through interface hierarchy)</w:t>
      </w:r>
    </w:p>
    <w:p>
      <w:pPr>
        <w:pStyle w:val="ListBullet"/>
      </w:pPr>
      <w:r>
        <w:rPr>
          <w:rFonts w:ascii="Helvetica" w:hAnsi="Helvetica"/>
          <w:sz w:val="22"/>
        </w:rPr>
        <w:t>**Component token boundaries** (each component defines its supported size range)</w:t>
      </w:r>
    </w:p>
    <w:p>
      <w:pPr>
        <w:pStyle w:val="ListBullet"/>
      </w:pPr>
      <w:r>
        <w:rPr>
          <w:rFonts w:ascii="Helvetica" w:hAnsi="Helvetica"/>
          <w:sz w:val="22"/>
        </w:rPr>
        <w:t>**Reduced cognitive load** (designers work with unified size modes rather than individual component sizing decisions)</w:t>
      </w:r>
    </w:p>
    <w:p>
      <w:pPr>
        <w:pStyle w:val="Heading3"/>
      </w:pPr>
      <w:r>
        <w:rPr>
          <w:rFonts w:ascii="Helvetica" w:hAnsi="Helvetica"/>
          <w:b/>
          <w:sz w:val="22"/>
        </w:rPr>
        <w:t>**Individual visual size with unified naming**</w:t>
      </w:r>
    </w:p>
    <w:p>
      <w:pPr>
        <w:pStyle w:val="ListBullet"/>
      </w:pPr>
      <w:r>
        <w:rPr>
          <w:rFonts w:ascii="Helvetica" w:hAnsi="Helvetica"/>
          <w:sz w:val="22"/>
        </w:rPr>
        <w:t>**Universal naming**: `sm`, `md`, `lg` across all components</w:t>
      </w:r>
    </w:p>
    <w:p>
      <w:pPr>
        <w:pStyle w:val="ListBullet"/>
      </w:pPr>
      <w:r>
        <w:rPr>
          <w:rFonts w:ascii="Helvetica" w:hAnsi="Helvetica"/>
          <w:sz w:val="22"/>
        </w:rPr>
        <w:t>**Component-relative scaling**: Each component's "large" is large relative to itself</w:t>
      </w:r>
    </w:p>
    <w:p>
      <w:pPr>
        <w:pStyle w:val="ListBullet"/>
      </w:pPr>
      <w:r>
        <w:rPr>
          <w:rFonts w:ascii="Helvetica" w:hAnsi="Helvetica"/>
          <w:sz w:val="22"/>
        </w:rPr>
        <w:t>**Visual compatibility**: LG button is larger than LG badge, but both are "large" and visually harmonious</w:t>
      </w:r>
    </w:p>
    <w:p>
      <w:pPr>
        <w:pStyle w:val="ListBullet"/>
      </w:pPr>
      <w:r>
        <w:rPr>
          <w:rFonts w:ascii="Helvetica" w:hAnsi="Helvetica"/>
          <w:sz w:val="22"/>
        </w:rPr>
        <w:t>**Maintains relationships**: Badge can't be larger than a button at the same size level</w:t>
      </w:r>
    </w:p>
    <w:p>
      <w:pPr>
        <w:pStyle w:val="Heading3"/>
      </w:pPr>
      <w:r>
        <w:rPr>
          <w:rFonts w:ascii="Helvetica" w:hAnsi="Helvetica"/>
          <w:b/>
          <w:sz w:val="22"/>
        </w:rPr>
        <w:t>**What one size represents (e.g., LG)**</w:t>
      </w:r>
    </w:p>
    <w:p>
      <w:pPr>
        <w:pStyle w:val="ListBullet"/>
      </w:pPr>
      <w:r>
        <w:rPr>
          <w:rFonts w:ascii="Helvetica" w:hAnsi="Helvetica"/>
          <w:sz w:val="22"/>
        </w:rPr>
        <w:t>**LG version of component itself**: Each component scales relative to its own baseline</w:t>
      </w:r>
    </w:p>
    <w:p>
      <w:pPr>
        <w:pStyle w:val="ListBullet"/>
      </w:pPr>
      <w:r>
        <w:rPr>
          <w:rFonts w:ascii="Helvetica" w:hAnsi="Helvetica"/>
          <w:sz w:val="22"/>
        </w:rPr>
        <w:t>**Context for grouped components**: All components react and follow the size context/mode</w:t>
      </w:r>
    </w:p>
    <w:p>
      <w:pPr>
        <w:pStyle w:val="ListBullet"/>
      </w:pPr>
      <w:r>
        <w:rPr>
          <w:rFonts w:ascii="Helvetica" w:hAnsi="Helvetica"/>
          <w:sz w:val="22"/>
        </w:rPr>
        <w:t>**Harmonious relationships**: Components maintain proportional relationships across sizes</w:t>
      </w:r>
    </w:p>
    <w:p>
      <w:pPr>
        <w:pStyle w:val="Heading3"/>
      </w:pPr>
      <w:r>
        <w:rPr>
          <w:rFonts w:ascii="Helvetica" w:hAnsi="Helvetica"/>
          <w:b/>
          <w:sz w:val="22"/>
        </w:rPr>
        <w:t>**Shared size context with boundaries**</w:t>
      </w:r>
    </w:p>
    <w:p>
      <w:r>
        <w:rPr>
          <w:rFonts w:ascii="Helvetica" w:hAnsi="Helvetica"/>
          <w:sz w:val="22"/>
        </w:rPr>
        <w:t>Size functions as an overarching contextual layer that flows through the interface hierarchy:</w:t>
      </w:r>
    </w:p>
    <w:p>
      <w:r>
        <w:rPr>
          <w:rFonts w:ascii="Helvetica" w:hAnsi="Helvetica"/>
          <w:b/>
          <w:sz w:val="22"/>
        </w:rPr>
        <w:t>Global size declaration</w:t>
      </w:r>
      <w:r>
        <w:rPr>
          <w:rFonts w:ascii="Helvetica" w:hAnsi="Helvetica"/>
          <w:sz w:val="22"/>
        </w:rPr>
        <w:t>: Container sets size context (sm/md/lg) for all descendants</w:t>
      </w:r>
      <w:r>
        <w:rPr>
          <w:rFonts w:ascii="Helvetica" w:hAnsi="Helvetica"/>
          <w:sz w:val="22"/>
        </w:rPr>
        <w:br/>
        <w:t>.form-section[data-size="lg"] {</w:t>
      </w:r>
      <w:r>
        <w:rPr>
          <w:rFonts w:ascii="Helvetica" w:hAnsi="Helvetica"/>
          <w:sz w:val="22"/>
        </w:rPr>
        <w:br/>
        <w:t>--size-context: lg;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b/>
          <w:sz w:val="22"/>
        </w:rPr>
        <w:t>Component boundary respect</w:t>
      </w:r>
      <w:r>
        <w:rPr>
          <w:rFonts w:ascii="Helvetica" w:hAnsi="Helvetica"/>
          <w:sz w:val="22"/>
        </w:rPr>
        <w:t>: Each component inherits the global context. Individual context can be set like for the navigation, both in Figma (baked-in variable mode inside the component) and code.</w:t>
      </w:r>
    </w:p>
    <w:p>
      <w:r>
        <w:rPr>
          <w:rFonts w:ascii="Helvetica" w:hAnsi="Helvetica"/>
          <w:b/>
          <w:sz w:val="22"/>
        </w:rPr>
        <w:t>Design system governance</w:t>
      </w:r>
      <w:r>
        <w:rPr>
          <w:rFonts w:ascii="Helvetica" w:hAnsi="Helvetica"/>
          <w:sz w:val="22"/>
        </w:rPr>
        <w:t>: Maintainers define and document size boundaries based on:</w:t>
      </w:r>
    </w:p>
    <w:p>
      <w:pPr>
        <w:pStyle w:val="ListBullet"/>
      </w:pPr>
      <w:r>
        <w:rPr>
          <w:rFonts w:ascii="Helvetica" w:hAnsi="Helvetica"/>
          <w:sz w:val="22"/>
        </w:rPr>
        <w:t>**Functional constraints**: Minimum usability requirements</w:t>
      </w:r>
    </w:p>
    <w:p>
      <w:pPr>
        <w:pStyle w:val="ListBullet"/>
      </w:pPr>
      <w:r>
        <w:rPr>
          <w:rFonts w:ascii="Helvetica" w:hAnsi="Helvetica"/>
          <w:sz w:val="22"/>
        </w:rPr>
        <w:t>**Visual hierarchy**: Maintaining component relationships</w:t>
      </w:r>
    </w:p>
    <w:p>
      <w:pPr>
        <w:pStyle w:val="ListBullet"/>
      </w:pPr>
      <w:r>
        <w:rPr>
          <w:rFonts w:ascii="Helvetica" w:hAnsi="Helvetica"/>
          <w:sz w:val="22"/>
        </w:rPr>
        <w:t>**Context appropriateness**: Preventing visual overwhelm or under-emphasis</w:t>
      </w:r>
    </w:p>
    <w:p>
      <w:pPr>
        <w:pStyle w:val="Heading3"/>
      </w:pPr>
      <w:r>
        <w:rPr>
          <w:rFonts w:ascii="Helvetica" w:hAnsi="Helvetica"/>
          <w:b/>
          <w:sz w:val="22"/>
        </w:rPr>
        <w:t>**Proportional constraints**</w:t>
      </w:r>
    </w:p>
    <w:p>
      <w:r>
        <w:rPr>
          <w:rFonts w:ascii="Helvetica" w:hAnsi="Helvetica"/>
          <w:sz w:val="22"/>
        </w:rPr>
        <w:t xml:space="preserve">Some components require </w:t>
      </w:r>
      <w:r>
        <w:rPr>
          <w:rFonts w:ascii="Helvetica" w:hAnsi="Helvetica"/>
          <w:b/>
          <w:sz w:val="22"/>
        </w:rPr>
        <w:t>width = height</w:t>
      </w:r>
      <w:r>
        <w:rPr>
          <w:rFonts w:ascii="Helvetica" w:hAnsi="Helvetica"/>
          <w:sz w:val="22"/>
        </w:rPr>
        <w:t xml:space="preserve"> to maintain visual proportion:</w:t>
      </w:r>
    </w:p>
    <w:p>
      <w:r>
        <w:rPr>
          <w:rFonts w:ascii="Helvetica" w:hAnsi="Helvetica"/>
          <w:b/>
          <w:sz w:val="22"/>
        </w:rPr>
        <w:t>Square components:</w:t>
      </w:r>
    </w:p>
    <w:p>
      <w:pPr>
        <w:pStyle w:val="ListBullet"/>
      </w:pPr>
      <w:r>
        <w:rPr>
          <w:rFonts w:ascii="Helvetica" w:hAnsi="Helvetica"/>
          <w:sz w:val="22"/>
        </w:rPr>
        <w:t>**icon_holder**: Must maintain 1:1 aspect ratio for visual harmony</w:t>
      </w:r>
    </w:p>
    <w:p>
      <w:r>
        <w:rPr>
          <w:rFonts w:ascii="Helvetica" w:hAnsi="Helvetica"/>
          <w:b/>
          <w:sz w:val="22"/>
        </w:rPr>
        <w:t>Token structure:</w:t>
      </w:r>
      <w:r>
        <w:rPr>
          <w:rFonts w:ascii="Helvetica" w:hAnsi="Helvetica"/>
          <w:sz w:val="22"/>
        </w:rPr>
        <w:br/>
        <w:t>"ob.size.icon-holder.dimension": {</w:t>
      </w:r>
      <w:r>
        <w:rPr>
          <w:rFonts w:ascii="Helvetica" w:hAnsi="Helvetica"/>
          <w:sz w:val="22"/>
        </w:rPr>
        <w:br/>
        <w:t>"sm": "16px", // height = width = 16px</w:t>
      </w:r>
      <w:r>
        <w:rPr>
          <w:rFonts w:ascii="Helvetica" w:hAnsi="Helvetica"/>
          <w:sz w:val="22"/>
        </w:rPr>
        <w:br/>
        <w:t>"md": "20px", // height = width = 20px</w:t>
      </w:r>
      <w:r>
        <w:rPr>
          <w:rFonts w:ascii="Helvetica" w:hAnsi="Helvetica"/>
          <w:sz w:val="22"/>
        </w:rPr>
        <w:br/>
        <w:t>"lg": "24px"  // height = width = 24px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Spacing roles</w:t>
      </w:r>
    </w:p>
    <w:p>
      <w:pPr>
        <w:pStyle w:val="Heading3"/>
      </w:pPr>
      <w:r>
        <w:rPr>
          <w:rFonts w:ascii="Helvetica" w:hAnsi="Helvetica"/>
          <w:b/>
          <w:sz w:val="22"/>
        </w:rPr>
        <w:t>**Size system spacing**</w:t>
      </w:r>
    </w:p>
    <w:p>
      <w:pPr>
        <w:pStyle w:val="ListBullet"/>
      </w:pPr>
      <w:r>
        <w:rPr>
          <w:rFonts w:ascii="Helvetica" w:hAnsi="Helvetica"/>
          <w:sz w:val="22"/>
        </w:rPr>
        <w:t>**Spacing as tool**: Controls internal padding, gaps within components</w:t>
      </w:r>
    </w:p>
    <w:p>
      <w:pPr>
        <w:pStyle w:val="ListBullet"/>
      </w:pPr>
      <w:r>
        <w:rPr>
          <w:rFonts w:ascii="Helvetica" w:hAnsi="Helvetica"/>
          <w:sz w:val="22"/>
        </w:rPr>
        <w:t>**Affects**: Button padding, input padding, icon gaps, internal component spacing</w:t>
      </w:r>
    </w:p>
    <w:p>
      <w:pPr>
        <w:pStyle w:val="ListBullet"/>
      </w:pPr>
      <w:r>
        <w:rPr>
          <w:rFonts w:ascii="Helvetica" w:hAnsi="Helvetica"/>
          <w:sz w:val="22"/>
        </w:rPr>
        <w:t>**Does not affect**: Layout spacing between different components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Context awareness and inheritance</w:t>
      </w:r>
    </w:p>
    <w:p>
      <w:pPr>
        <w:pStyle w:val="Heading3"/>
      </w:pPr>
      <w:r>
        <w:rPr>
          <w:rFonts w:ascii="Helvetica" w:hAnsi="Helvetica"/>
          <w:b/>
          <w:sz w:val="22"/>
        </w:rPr>
        <w:t>**Component role classification**</w:t>
      </w:r>
    </w:p>
    <w:p>
      <w:pPr>
        <w:pStyle w:val="Heading4"/>
      </w:pPr>
      <w:r>
        <w:rPr>
          <w:rFonts w:ascii="Helvetica" w:hAnsi="Helvetica"/>
          <w:b/>
          <w:sz w:val="22"/>
        </w:rPr>
        <w:t>**Size Context Providers** (Set sizing context)</w:t>
      </w:r>
    </w:p>
    <w:p>
      <w:pPr>
        <w:pStyle w:val="ListBullet"/>
      </w:pPr>
      <w:r>
        <w:rPr>
          <w:rFonts w:ascii="Helvetica" w:hAnsi="Helvetica"/>
          <w:sz w:val="22"/>
        </w:rPr>
        <w:t>**`dialog`** - Sets density context for all contents</w:t>
      </w:r>
    </w:p>
    <w:p>
      <w:pPr>
        <w:pStyle w:val="ListBullet"/>
      </w:pPr>
      <w:r>
        <w:rPr>
          <w:rFonts w:ascii="Helvetica" w:hAnsi="Helvetica"/>
          <w:sz w:val="22"/>
        </w:rPr>
        <w:t>**`form`** - Sets height-matching context</w:t>
      </w:r>
    </w:p>
    <w:p>
      <w:pPr>
        <w:pStyle w:val="ListBullet"/>
      </w:pPr>
      <w:r>
        <w:rPr>
          <w:rFonts w:ascii="Helvetica" w:hAnsi="Helvetica"/>
          <w:sz w:val="22"/>
        </w:rPr>
        <w:t>**`input`** - Sets context for tags, buttons, badges - also if no overarching context set by  form</w:t>
      </w:r>
    </w:p>
    <w:p>
      <w:pPr>
        <w:pStyle w:val="ListBullet"/>
      </w:pPr>
      <w:r>
        <w:rPr>
          <w:rFonts w:ascii="Helvetica" w:hAnsi="Helvetica"/>
          <w:sz w:val="22"/>
        </w:rPr>
        <w:t>**`service-nav`** - Sets compact context for actions</w:t>
      </w:r>
    </w:p>
    <w:p>
      <w:pPr>
        <w:pStyle w:val="Heading4"/>
      </w:pPr>
      <w:r>
        <w:rPr>
          <w:rFonts w:ascii="Helvetica" w:hAnsi="Helvetica"/>
          <w:b/>
          <w:sz w:val="22"/>
        </w:rPr>
        <w:t>**Size Context Consumers** (Inherit from context)</w:t>
      </w:r>
    </w:p>
    <w:p>
      <w:pPr>
        <w:pStyle w:val="ListBullet"/>
      </w:pPr>
      <w:r>
        <w:rPr>
          <w:rFonts w:ascii="Helvetica" w:hAnsi="Helvetica"/>
          <w:sz w:val="22"/>
        </w:rPr>
        <w:t>**`tag`** - Inherits from input fields</w:t>
      </w:r>
    </w:p>
    <w:p>
      <w:pPr>
        <w:pStyle w:val="ListBullet"/>
      </w:pPr>
      <w:r>
        <w:rPr>
          <w:rFonts w:ascii="Helvetica" w:hAnsi="Helvetica"/>
          <w:sz w:val="22"/>
        </w:rPr>
        <w:t>**`button`** - Inherits in form/dialog contexts</w:t>
      </w:r>
    </w:p>
    <w:p>
      <w:pPr>
        <w:pStyle w:val="ListBullet"/>
      </w:pPr>
      <w:r>
        <w:rPr>
          <w:rFonts w:ascii="Helvetica" w:hAnsi="Helvetica"/>
          <w:sz w:val="22"/>
        </w:rPr>
        <w:t>**`badge`** - Inherits from nearby components</w:t>
      </w:r>
    </w:p>
    <w:p>
      <w:pPr>
        <w:pStyle w:val="ListBullet"/>
      </w:pPr>
      <w:r>
        <w:rPr>
          <w:rFonts w:ascii="Helvetica" w:hAnsi="Helvetica"/>
          <w:sz w:val="22"/>
        </w:rPr>
        <w:t>**`icon`** - Always inherits from parent</w:t>
      </w:r>
    </w:p>
    <w:p>
      <w:pPr>
        <w:pStyle w:val="Heading3"/>
      </w:pPr>
      <w:r>
        <w:rPr>
          <w:rFonts w:ascii="Helvetica" w:hAnsi="Helvetica"/>
          <w:b/>
          <w:sz w:val="22"/>
        </w:rPr>
        <w:t>**Size coordination principle**</w:t>
      </w:r>
    </w:p>
    <w:p>
      <w:pPr>
        <w:pStyle w:val="ListBullet"/>
      </w:pPr>
      <w:r>
        <w:rPr>
          <w:rFonts w:ascii="Helvetica" w:hAnsi="Helvetica"/>
          <w:sz w:val="22"/>
        </w:rPr>
        <w:t>**Input text field LG ≠ badge LG** (different visual sizes)</w:t>
      </w:r>
    </w:p>
    <w:p>
      <w:pPr>
        <w:pStyle w:val="ListBullet"/>
      </w:pPr>
      <w:r>
        <w:rPr>
          <w:rFonts w:ascii="Helvetica" w:hAnsi="Helvetica"/>
          <w:sz w:val="22"/>
        </w:rPr>
        <w:t>**Both maintain visual relation** when scaled together</w:t>
      </w:r>
    </w:p>
    <w:p>
      <w:pPr>
        <w:pStyle w:val="ListBullet"/>
      </w:pPr>
      <w:r>
        <w:rPr>
          <w:rFonts w:ascii="Helvetica" w:hAnsi="Helvetica"/>
          <w:sz w:val="22"/>
        </w:rPr>
        <w:t>**Container-level inheritance**: Set MD on container → all children inherit MD and scale together</w:t>
      </w:r>
    </w:p>
    <w:p>
      <w:pPr>
        <w:pStyle w:val="ListBullet"/>
      </w:pPr>
      <w:r>
        <w:rPr>
          <w:rFonts w:ascii="Helvetica" w:hAnsi="Helvetica"/>
          <w:sz w:val="22"/>
        </w:rPr>
        <w:t>**Dimensional relationships preserved** across size changes</w:t>
      </w:r>
    </w:p>
    <w:p>
      <w:pPr>
        <w:pStyle w:val="Heading3"/>
      </w:pPr>
      <w:r>
        <w:rPr>
          <w:rFonts w:ascii="Helvetica" w:hAnsi="Helvetica"/>
          <w:b/>
          <w:sz w:val="22"/>
        </w:rPr>
        <w:t>**Inheritance types and key relationships**</w:t>
      </w:r>
    </w:p>
    <w:p>
      <w:pPr>
        <w:pStyle w:val="Heading4"/>
      </w:pPr>
      <w:r>
        <w:rPr>
          <w:rFonts w:ascii="Helvetica" w:hAnsi="Helvetica"/>
          <w:b/>
          <w:sz w:val="22"/>
        </w:rPr>
        <w:t>**Inheritance Patterns**</w:t>
      </w:r>
    </w:p>
    <w:p>
      <w:pPr>
        <w:pStyle w:val="ListNumber"/>
      </w:pPr>
      <w:r>
        <w:rPr>
          <w:rFonts w:ascii="Helvetica" w:hAnsi="Helvetica"/>
          <w:sz w:val="22"/>
        </w:rPr>
        <w:t>**Locked inheritance from parents** (automatic mode/token inheritance pro component)</w:t>
      </w:r>
    </w:p>
    <w:p>
      <w:pPr>
        <w:pStyle w:val="ListNumber"/>
      </w:pPr>
      <w:r>
        <w:rPr>
          <w:rFonts w:ascii="Helvetica" w:hAnsi="Helvetica"/>
          <w:sz w:val="22"/>
        </w:rPr>
        <w:t>**Overridable inheritance** (can be changed if needed)</w:t>
      </w:r>
    </w:p>
    <w:p>
      <w:pPr>
        <w:pStyle w:val="ListNumber"/>
      </w:pPr>
      <w:r>
        <w:rPr>
          <w:rFonts w:ascii="Helvetica" w:hAnsi="Helvetica"/>
          <w:sz w:val="22"/>
        </w:rPr>
        <w:t>**No inheritance** (totally free - MD as default, but designer can override via variable modes)</w:t>
      </w:r>
    </w:p>
    <w:p>
      <w:pPr>
        <w:pStyle w:val="Heading4"/>
      </w:pPr>
      <w:r>
        <w:rPr>
          <w:rFonts w:ascii="Helvetica" w:hAnsi="Helvetica"/>
          <w:b/>
          <w:sz w:val="22"/>
        </w:rPr>
        <w:t>**Key Component Relationships**</w:t>
      </w:r>
    </w:p>
    <w:p>
      <w:pPr>
        <w:pStyle w:val="ListBullet"/>
      </w:pPr>
      <w:r>
        <w:rPr>
          <w:rFonts w:ascii="Helvetica" w:hAnsi="Helvetica"/>
          <w:sz w:val="22"/>
        </w:rPr>
        <w:t>**Input + Tag inside**: Height matching for multi-select scenarios</w:t>
      </w:r>
    </w:p>
    <w:p>
      <w:pPr>
        <w:pStyle w:val="ListBullet"/>
      </w:pPr>
      <w:r>
        <w:rPr>
          <w:rFonts w:ascii="Helvetica" w:hAnsi="Helvetica"/>
          <w:sz w:val="22"/>
        </w:rPr>
        <w:t>**Input + Button**: Form row alignment</w:t>
      </w:r>
    </w:p>
    <w:p>
      <w:pPr>
        <w:pStyle w:val="ListBullet"/>
      </w:pPr>
      <w:r>
        <w:rPr>
          <w:rFonts w:ascii="Helvetica" w:hAnsi="Helvetica"/>
          <w:sz w:val="22"/>
        </w:rPr>
        <w:t>**Dialog + All Contents**: Density inheritance</w:t>
      </w:r>
    </w:p>
    <w:p>
      <w:pPr>
        <w:pStyle w:val="ListBullet"/>
      </w:pPr>
      <w:r>
        <w:rPr>
          <w:rFonts w:ascii="Helvetica" w:hAnsi="Helvetica"/>
          <w:sz w:val="22"/>
        </w:rPr>
        <w:t>**Infobox + Button**: Action buttons in notifications</w:t>
      </w:r>
    </w:p>
    <w:p>
      <w:pPr>
        <w:pStyle w:val="ListBullet"/>
      </w:pPr>
      <w:r>
        <w:rPr>
          <w:rFonts w:ascii="Helvetica" w:hAnsi="Helvetica"/>
          <w:sz w:val="22"/>
        </w:rPr>
        <w:t>**Any Component + Tooltip**: Context-aware help text</w:t>
      </w:r>
    </w:p>
    <w:p>
      <w:pPr>
        <w:pStyle w:val="ListBullet"/>
      </w:pPr>
      <w:r>
        <w:rPr>
          <w:rFonts w:ascii="Helvetica" w:hAnsi="Helvetica"/>
          <w:sz w:val="22"/>
        </w:rPr>
        <w:t>**Any Component + Icon**: Always inherits from parent component</w:t>
      </w:r>
    </w:p>
    <w:p>
      <w:pPr>
        <w:pStyle w:val="Heading3"/>
      </w:pPr>
      <w:r>
        <w:rPr>
          <w:rFonts w:ascii="Helvetica" w:hAnsi="Helvetica"/>
          <w:b/>
          <w:sz w:val="22"/>
        </w:rPr>
        <w:t>**Scaling Direction**</w:t>
      </w:r>
    </w:p>
    <w:p>
      <w:pPr>
        <w:pStyle w:val="ListBullet"/>
      </w:pPr>
      <w:r>
        <w:rPr>
          <w:rFonts w:ascii="Helvetica" w:hAnsi="Helvetica"/>
          <w:sz w:val="22"/>
        </w:rPr>
        <w:t>**Primarily vertical scaling** (up and down)</w:t>
      </w:r>
    </w:p>
    <w:p>
      <w:pPr>
        <w:pStyle w:val="ListBullet"/>
      </w:pPr>
      <w:r>
        <w:rPr>
          <w:rFonts w:ascii="Helvetica" w:hAnsi="Helvetica"/>
          <w:sz w:val="22"/>
        </w:rPr>
        <w:t>**Horizontal scaling** as secondary consideration for limited set of organisms such as Dialog.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Component sizing classification</w:t>
      </w:r>
    </w:p>
    <w:p>
      <w:pPr>
        <w:pStyle w:val="Heading3"/>
      </w:pPr>
      <w:r>
        <w:rPr>
          <w:rFonts w:ascii="Helvetica" w:hAnsi="Helvetica"/>
          <w:b/>
          <w:sz w:val="22"/>
        </w:rPr>
        <w:t>**Size boundary governance**</w:t>
      </w:r>
    </w:p>
    <w:p>
      <w:r>
        <w:rPr>
          <w:rFonts w:ascii="Helvetica" w:hAnsi="Helvetica"/>
          <w:sz w:val="22"/>
        </w:rPr>
        <w:t>Components are classified by their supported size range, determined by design system maintainers based on functional and visual constraints.</w:t>
      </w:r>
    </w:p>
    <w:p>
      <w:pPr>
        <w:pStyle w:val="Heading3"/>
      </w:pPr>
      <w:r>
        <w:rPr>
          <w:rFonts w:ascii="Helvetica" w:hAnsi="Helvetica"/>
          <w:b/>
          <w:sz w:val="22"/>
        </w:rPr>
        <w:t>**Full size range: sm, md, lg**</w:t>
      </w:r>
    </w:p>
    <w:p>
      <w:pPr>
        <w:pStyle w:val="ListBullet"/>
      </w:pPr>
      <w:r>
        <w:rPr>
          <w:rFonts w:ascii="Helvetica" w:hAnsi="Helvetica"/>
          <w:sz w:val="22"/>
        </w:rPr>
        <w:t>**Input components**: text field, text area, checkbox, radio</w:t>
      </w:r>
    </w:p>
    <w:p>
      <w:pPr>
        <w:pStyle w:val="ListBullet"/>
      </w:pPr>
      <w:r>
        <w:rPr>
          <w:rFonts w:ascii="Helvetica" w:hAnsi="Helvetica"/>
          <w:sz w:val="22"/>
        </w:rPr>
        <w:t>**Interactive elements**: badge, pill, button</w:t>
      </w:r>
    </w:p>
    <w:p>
      <w:pPr>
        <w:pStyle w:val="ListBullet"/>
      </w:pPr>
      <w:r>
        <w:rPr>
          <w:rFonts w:ascii="Helvetica" w:hAnsi="Helvetica"/>
          <w:sz w:val="22"/>
        </w:rPr>
        <w:t>**Rationale**: High contextual flexibility needed for different user scenarios</w:t>
      </w:r>
    </w:p>
    <w:p>
      <w:pPr>
        <w:pStyle w:val="Heading3"/>
      </w:pPr>
      <w:r>
        <w:rPr>
          <w:rFonts w:ascii="Helvetica" w:hAnsi="Helvetica"/>
          <w:b/>
          <w:sz w:val="22"/>
        </w:rPr>
        <w:t>**Limited size range: md, lg**</w:t>
      </w:r>
    </w:p>
    <w:p>
      <w:pPr>
        <w:pStyle w:val="ListBullet"/>
      </w:pPr>
      <w:r>
        <w:rPr>
          <w:rFonts w:ascii="Helvetica" w:hAnsi="Helvetica"/>
          <w:sz w:val="22"/>
        </w:rPr>
        <w:t>**Information components**: infobox, alert</w:t>
      </w:r>
    </w:p>
    <w:p>
      <w:pPr>
        <w:pStyle w:val="ListBullet"/>
      </w:pPr>
      <w:r>
        <w:rPr>
          <w:rFonts w:ascii="Helvetica" w:hAnsi="Helvetica"/>
          <w:sz w:val="22"/>
        </w:rPr>
        <w:t>**Rationale**: Small sizes compromise readability and information hierarchy</w:t>
      </w:r>
    </w:p>
    <w:p>
      <w:pPr>
        <w:pStyle w:val="Heading3"/>
      </w:pPr>
      <w:r>
        <w:rPr>
          <w:rFonts w:ascii="Helvetica" w:hAnsi="Helvetica"/>
          <w:b/>
          <w:sz w:val="22"/>
        </w:rPr>
        <w:t>**Minimal size range: sm, md**</w:t>
      </w:r>
    </w:p>
    <w:p>
      <w:pPr>
        <w:pStyle w:val="ListBullet"/>
      </w:pPr>
      <w:r>
        <w:rPr>
          <w:rFonts w:ascii="Helvetica" w:hAnsi="Helvetica"/>
          <w:sz w:val="22"/>
        </w:rPr>
        <w:t>**Contextual components**: tooltip, popover</w:t>
      </w:r>
    </w:p>
    <w:p>
      <w:pPr>
        <w:pStyle w:val="ListBullet"/>
      </w:pPr>
      <w:r>
        <w:rPr>
          <w:rFonts w:ascii="Helvetica" w:hAnsi="Helvetica"/>
          <w:sz w:val="22"/>
        </w:rPr>
        <w:t>**Rationale**: Large sizes become visually overwhelming and break spatial relationships</w:t>
      </w:r>
    </w:p>
    <w:p>
      <w:pPr>
        <w:pStyle w:val="Heading3"/>
      </w:pPr>
      <w:r>
        <w:rPr>
          <w:rFonts w:ascii="Helvetica" w:hAnsi="Helvetica"/>
          <w:b/>
          <w:sz w:val="22"/>
        </w:rPr>
        <w:t>**Width-only sizing**</w:t>
      </w:r>
    </w:p>
    <w:p>
      <w:pPr>
        <w:pStyle w:val="ListBullet"/>
      </w:pPr>
      <w:r>
        <w:rPr>
          <w:rFonts w:ascii="Helvetica" w:hAnsi="Helvetica"/>
          <w:sz w:val="22"/>
        </w:rPr>
        <w:t>**Modal components**: dialog, modal</w:t>
      </w:r>
    </w:p>
    <w:p>
      <w:pPr>
        <w:pStyle w:val="ListBullet"/>
      </w:pPr>
      <w:r>
        <w:rPr>
          <w:rFonts w:ascii="Helvetica" w:hAnsi="Helvetica"/>
          <w:sz w:val="22"/>
        </w:rPr>
        <w:t>**Rationale**: Height scaling handled by content, width responds to size context</w:t>
      </w:r>
    </w:p>
    <w:p>
      <w:pPr>
        <w:pStyle w:val="ListBullet"/>
      </w:pPr>
      <w:r>
        <w:rPr>
          <w:rFonts w:ascii="Helvetica" w:hAnsi="Helvetica"/>
          <w:sz w:val="22"/>
        </w:rPr>
        <w:t>**HowTo:**: Only width-property consumes token switchable by component-size-modes and reacts on mode/context.</w:t>
      </w:r>
    </w:p>
    <w:p>
      <w:pPr>
        <w:pStyle w:val="Heading3"/>
      </w:pPr>
      <w:r>
        <w:rPr>
          <w:rFonts w:ascii="Helvetica" w:hAnsi="Helvetica"/>
          <w:b/>
          <w:sz w:val="22"/>
        </w:rPr>
        <w:t>**Fixed size (static size)**</w:t>
      </w:r>
    </w:p>
    <w:p>
      <w:pPr>
        <w:pStyle w:val="ListBullet"/>
      </w:pPr>
      <w:r>
        <w:rPr>
          <w:rFonts w:ascii="Helvetica" w:hAnsi="Helvetica"/>
          <w:sz w:val="22"/>
        </w:rPr>
        <w:t>**Layout components**: master-layout navigation, paginator</w:t>
      </w:r>
    </w:p>
    <w:p>
      <w:pPr>
        <w:pStyle w:val="ListBullet"/>
      </w:pPr>
      <w:r>
        <w:rPr>
          <w:rFonts w:ascii="Helvetica" w:hAnsi="Helvetica"/>
          <w:sz w:val="22"/>
        </w:rPr>
        <w:t>**Rationale**: Consistency and recognition prioritized over size flexibility</w:t>
      </w:r>
    </w:p>
    <w:p>
      <w:pPr>
        <w:pStyle w:val="ListBullet"/>
      </w:pPr>
      <w:r>
        <w:rPr>
          <w:rFonts w:ascii="Helvetica" w:hAnsi="Helvetica"/>
          <w:sz w:val="22"/>
        </w:rPr>
        <w:t>**HowTo:**: Consumes static size/dimension tokens that do not react on mode/context.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b/>
          <w:sz w:val="22"/>
        </w:rPr>
        <w:t>Core principle</w:t>
      </w:r>
      <w:r>
        <w:rPr>
          <w:rFonts w:ascii="Helvetica" w:hAnsi="Helvetica"/>
          <w:sz w:val="22"/>
        </w:rPr>
        <w:t>: Size acts as an overarching context mode (sm/md/lg) that flows through the interface, but individual components have predetermined size boundaries set by design system maintainers.</w:t>
      </w:r>
    </w:p>
    <w:p>
      <w:r>
        <w:rPr>
          <w:rFonts w:ascii="Helvetica" w:hAnsi="Helvetica"/>
          <w:b/>
          <w:sz w:val="22"/>
        </w:rPr>
        <w:t>Technical implementation</w:t>
      </w:r>
      <w:r>
        <w:rPr>
          <w:rFonts w:ascii="Helvetica" w:hAnsi="Helvetica"/>
          <w:sz w:val="22"/>
        </w:rPr>
        <w:t>:</w:t>
      </w:r>
    </w:p>
    <w:p>
      <w:pPr>
        <w:pStyle w:val="ListBullet"/>
      </w:pPr>
      <w:r>
        <w:rPr>
          <w:rFonts w:ascii="Helvetica" w:hAnsi="Helvetica"/>
          <w:sz w:val="22"/>
        </w:rPr>
        <w:t>Components respect global size context when within their supported range</w:t>
      </w:r>
    </w:p>
    <w:p>
      <w:pPr>
        <w:pStyle w:val="ListBullet"/>
      </w:pPr>
      <w:r>
        <w:rPr>
          <w:rFonts w:ascii="Helvetica" w:hAnsi="Helvetica"/>
          <w:sz w:val="22"/>
        </w:rPr>
        <w:t>Components fallback to nearest boundary when context exceeds their limits</w:t>
      </w:r>
    </w:p>
    <w:p>
      <w:pPr>
        <w:pStyle w:val="ListBullet"/>
      </w:pPr>
      <w:r>
        <w:rPr>
          <w:rFonts w:ascii="Helvetica" w:hAnsi="Helvetica"/>
          <w:sz w:val="22"/>
        </w:rPr>
        <w:t>Size boundaries are documented and enforced at token level</w:t>
      </w:r>
    </w:p>
    <w:p>
      <w:pPr>
        <w:pStyle w:val="Heading3"/>
      </w:pPr>
      <w:r>
        <w:rPr>
          <w:rFonts w:ascii="Helvetica" w:hAnsi="Helvetica"/>
          <w:b/>
          <w:sz w:val="22"/>
        </w:rPr>
        <w:t>**Size inheritance workflow**</w:t>
      </w:r>
    </w:p>
    <w:p>
      <w:pPr>
        <w:pStyle w:val="ListBullet"/>
      </w:pPr>
      <w:r>
        <w:rPr>
          <w:rFonts w:ascii="Helvetica" w:hAnsi="Helvetica"/>
          <w:sz w:val="22"/>
        </w:rPr>
        <w:t>**Large group level**: Apply to organisms, sections, templates</w:t>
      </w:r>
    </w:p>
    <w:p>
      <w:pPr>
        <w:pStyle w:val="ListBullet"/>
      </w:pPr>
      <w:r>
        <w:rPr>
          <w:rFonts w:ascii="Helvetica" w:hAnsi="Helvetica"/>
          <w:sz w:val="22"/>
        </w:rPr>
        <w:t>**Contextual overrides**: Product designers can override for specific elements (e.g., primary conversion buttons)</w:t>
      </w:r>
    </w:p>
    <w:p>
      <w:pPr>
        <w:pStyle w:val="ListBullet"/>
      </w:pPr>
      <w:r>
        <w:rPr>
          <w:rFonts w:ascii="Helvetica" w:hAnsi="Helvetica"/>
          <w:sz w:val="22"/>
        </w:rPr>
        <w:t>**Business/UX exceptions**: Requirements can override grouped size patterns</w:t>
      </w:r>
    </w:p>
    <w:p>
      <w:pPr>
        <w:pStyle w:val="Heading3"/>
      </w:pPr>
      <w:r>
        <w:rPr>
          <w:rFonts w:ascii="Helvetica" w:hAnsi="Helvetica"/>
          <w:b/>
          <w:sz w:val="22"/>
        </w:rPr>
        <w:t>**Development approach**</w:t>
      </w:r>
    </w:p>
    <w:p>
      <w:pPr>
        <w:pStyle w:val="ListBullet"/>
      </w:pPr>
      <w:r>
        <w:rPr>
          <w:rFonts w:ascii="Helvetica" w:hAnsi="Helvetica"/>
          <w:sz w:val="22"/>
        </w:rPr>
        <w:t>**Holistic unification**: Size system implemented in single pass when all components ready</w:t>
      </w:r>
    </w:p>
    <w:p>
      <w:pPr>
        <w:pStyle w:val="ListBullet"/>
      </w:pPr>
      <w:r>
        <w:rPr>
          <w:rFonts w:ascii="Helvetica" w:hAnsi="Helvetica"/>
          <w:sz w:val="22"/>
        </w:rPr>
        <w:t>**Workflow**: Set LG container → all inside components inherit LG</w:t>
      </w:r>
    </w:p>
    <w:p>
      <w:pPr>
        <w:pStyle w:val="Heading3"/>
      </w:pPr>
      <w:r>
        <w:rPr>
          <w:rFonts w:ascii="Helvetica" w:hAnsi="Helvetica"/>
          <w:b/>
          <w:sz w:val="22"/>
        </w:rPr>
        <w:t>**Accessibility implementation**</w:t>
      </w:r>
    </w:p>
    <w:p>
      <w:pPr>
        <w:pStyle w:val="ListBullet"/>
      </w:pPr>
      <w:r>
        <w:rPr>
          <w:rFonts w:ascii="Helvetica" w:hAnsi="Helvetica"/>
          <w:sz w:val="22"/>
        </w:rPr>
        <w:t>**Touch target maintenance**: Minimum 44px touch targets preserved across all size variants</w:t>
      </w:r>
    </w:p>
    <w:p>
      <w:pPr>
        <w:pStyle w:val="ListBullet"/>
      </w:pPr>
      <w:r>
        <w:rPr>
          <w:rFonts w:ascii="Helvetica" w:hAnsi="Helvetica"/>
          <w:sz w:val="22"/>
        </w:rPr>
        <w:t>**Readability standards**: Text contrast and sizing meet WCAG guidelines</w:t>
      </w:r>
    </w:p>
    <w:p>
      <w:pPr>
        <w:pStyle w:val="ListBullet"/>
      </w:pPr>
      <w:r>
        <w:rPr>
          <w:rFonts w:ascii="Helvetica" w:hAnsi="Helvetica"/>
          <w:sz w:val="22"/>
        </w:rPr>
        <w:t>**Keyboard navigation**: Focus indicators properly sized for all contexts</w:t>
      </w:r>
    </w:p>
    <w:p>
      <w:pPr>
        <w:pStyle w:val="ListBullet"/>
      </w:pPr>
      <w:r>
        <w:rPr>
          <w:rFonts w:ascii="Helvetica" w:hAnsi="Helvetica"/>
          <w:sz w:val="22"/>
        </w:rPr>
        <w:t>**Screen reader compatibility**: Size changes don't break assistive technology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Size and density interplay</w:t>
      </w:r>
    </w:p>
    <w:p>
      <w:pPr>
        <w:pStyle w:val="Heading3"/>
      </w:pPr>
      <w:r>
        <w:rPr>
          <w:rFonts w:ascii="Helvetica" w:hAnsi="Helvetica"/>
          <w:b/>
          <w:sz w:val="22"/>
        </w:rPr>
        <w:t>**Coordinated combinations and design context matching**</w:t>
      </w:r>
    </w:p>
    <w:p>
      <w:pPr>
        <w:pStyle w:val="Heading4"/>
      </w:pPr>
      <w:r>
        <w:rPr>
          <w:rFonts w:ascii="Helvetica" w:hAnsi="Helvetica"/>
          <w:b/>
          <w:sz w:val="22"/>
        </w:rPr>
        <w:t>**Compact density + small size**</w:t>
      </w:r>
    </w:p>
    <w:p>
      <w:pPr>
        <w:pStyle w:val="ListBullet"/>
      </w:pPr>
      <w:r>
        <w:rPr>
          <w:rFonts w:ascii="Helvetica" w:hAnsi="Helvetica"/>
          <w:sz w:val="22"/>
        </w:rPr>
        <w:t>**Use case**: Frequently used apps for power user personas</w:t>
      </w:r>
    </w:p>
    <w:p>
      <w:pPr>
        <w:pStyle w:val="ListBullet"/>
      </w:pPr>
      <w:r>
        <w:rPr>
          <w:rFonts w:ascii="Helvetica" w:hAnsi="Helvetica"/>
          <w:sz w:val="22"/>
        </w:rPr>
        <w:t>**User type**: Power users prioritizing information density</w:t>
      </w:r>
    </w:p>
    <w:p>
      <w:pPr>
        <w:pStyle w:val="ListBullet"/>
      </w:pPr>
      <w:r>
        <w:rPr>
          <w:rFonts w:ascii="Helvetica" w:hAnsi="Helvetica"/>
          <w:sz w:val="22"/>
        </w:rPr>
        <w:t>**Context**: Data-heavy interfaces, administrative tools</w:t>
      </w:r>
    </w:p>
    <w:p>
      <w:pPr>
        <w:pStyle w:val="Heading4"/>
      </w:pPr>
      <w:r>
        <w:rPr>
          <w:rFonts w:ascii="Helvetica" w:hAnsi="Helvetica"/>
          <w:b/>
          <w:sz w:val="22"/>
        </w:rPr>
        <w:t>**Medium density + medium size (default)**</w:t>
      </w:r>
    </w:p>
    <w:p>
      <w:pPr>
        <w:pStyle w:val="ListBullet"/>
      </w:pPr>
      <w:r>
        <w:rPr>
          <w:rFonts w:ascii="Helvetica" w:hAnsi="Helvetica"/>
          <w:sz w:val="22"/>
        </w:rPr>
        <w:t>**Use case**: Standard applications</w:t>
      </w:r>
    </w:p>
    <w:p>
      <w:pPr>
        <w:pStyle w:val="ListBullet"/>
      </w:pPr>
      <w:r>
        <w:rPr>
          <w:rFonts w:ascii="Helvetica" w:hAnsi="Helvetica"/>
          <w:sz w:val="22"/>
        </w:rPr>
        <w:t>**User type**: Standard users requiring balanced approach</w:t>
      </w:r>
    </w:p>
    <w:p>
      <w:pPr>
        <w:pStyle w:val="ListBullet"/>
      </w:pPr>
      <w:r>
        <w:rPr>
          <w:rFonts w:ascii="Helvetica" w:hAnsi="Helvetica"/>
          <w:sz w:val="22"/>
        </w:rPr>
        <w:t>**Context**: General purpose applications, dashboards</w:t>
      </w:r>
    </w:p>
    <w:p>
      <w:pPr>
        <w:pStyle w:val="Heading4"/>
      </w:pPr>
      <w:r>
        <w:rPr>
          <w:rFonts w:ascii="Helvetica" w:hAnsi="Helvetica"/>
          <w:b/>
          <w:sz w:val="22"/>
        </w:rPr>
        <w:t>**Generous density + large size**</w:t>
      </w:r>
    </w:p>
    <w:p>
      <w:pPr>
        <w:pStyle w:val="ListBullet"/>
      </w:pPr>
      <w:r>
        <w:rPr>
          <w:rFonts w:ascii="Helvetica" w:hAnsi="Helvetica"/>
          <w:sz w:val="22"/>
        </w:rPr>
        <w:t>**Use case**: Simple flows, onboarding, simple dashboards, marketing websites</w:t>
      </w:r>
    </w:p>
    <w:p>
      <w:pPr>
        <w:pStyle w:val="ListBullet"/>
      </w:pPr>
      <w:r>
        <w:rPr>
          <w:rFonts w:ascii="Helvetica" w:hAnsi="Helvetica"/>
          <w:sz w:val="22"/>
        </w:rPr>
        <w:t>**User type**: Users prioritizing clarity and ease of use</w:t>
      </w:r>
    </w:p>
    <w:p>
      <w:pPr>
        <w:pStyle w:val="ListBullet"/>
      </w:pPr>
      <w:r>
        <w:rPr>
          <w:rFonts w:ascii="Helvetica" w:hAnsi="Helvetica"/>
          <w:sz w:val="22"/>
        </w:rPr>
        <w:t>**Context**: Marketing sites, onboarding flows, accessibility-focused interfaces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Key principles</w:t>
      </w:r>
    </w:p>
    <w:p>
      <w:pPr>
        <w:pStyle w:val="Heading3"/>
      </w:pPr>
      <w:r>
        <w:rPr>
          <w:rFonts w:ascii="Helvetica" w:hAnsi="Helvetica"/>
          <w:b/>
          <w:sz w:val="22"/>
        </w:rPr>
        <w:t>**Visual hierarchy maintenance**</w:t>
      </w:r>
    </w:p>
    <w:p>
      <w:pPr>
        <w:pStyle w:val="ListBullet"/>
      </w:pPr>
      <w:r>
        <w:rPr>
          <w:rFonts w:ascii="Helvetica" w:hAnsi="Helvetica"/>
          <w:sz w:val="22"/>
        </w:rPr>
        <w:t>Size relationships ensure proper component hierarchy</w:t>
      </w:r>
    </w:p>
    <w:p>
      <w:pPr>
        <w:pStyle w:val="ListBullet"/>
      </w:pPr>
      <w:r>
        <w:rPr>
          <w:rFonts w:ascii="Helvetica" w:hAnsi="Helvetica"/>
          <w:sz w:val="22"/>
        </w:rPr>
        <w:t>Larger components maintain visual dominance over smaller ones</w:t>
      </w:r>
    </w:p>
    <w:p>
      <w:pPr>
        <w:pStyle w:val="ListBullet"/>
      </w:pPr>
      <w:r>
        <w:rPr>
          <w:rFonts w:ascii="Helvetica" w:hAnsi="Helvetica"/>
          <w:sz w:val="22"/>
        </w:rPr>
        <w:t>Consistency across contexts and use cases</w:t>
      </w:r>
    </w:p>
    <w:p>
      <w:pPr>
        <w:pStyle w:val="ListBullet"/>
      </w:pPr>
      <w:r>
        <w:rPr>
          <w:rFonts w:ascii="Helvetica" w:hAnsi="Helvetica"/>
          <w:sz w:val="22"/>
        </w:rPr>
        <w:t>Components work together consistently without visual conflicts</w:t>
      </w:r>
    </w:p>
    <w:p>
      <w:pPr>
        <w:pStyle w:val="Heading3"/>
      </w:pPr>
      <w:r>
        <w:rPr>
          <w:rFonts w:ascii="Helvetica" w:hAnsi="Helvetica"/>
          <w:b/>
          <w:sz w:val="22"/>
        </w:rPr>
        <w:t>**Designer and developer efficiency**</w:t>
      </w:r>
    </w:p>
    <w:p>
      <w:pPr>
        <w:pStyle w:val="ListBullet"/>
      </w:pPr>
      <w:r>
        <w:rPr>
          <w:rFonts w:ascii="Helvetica" w:hAnsi="Helvetica"/>
          <w:sz w:val="22"/>
        </w:rPr>
        <w:t>Single size collection reduces decision fatigue</w:t>
      </w:r>
    </w:p>
    <w:p>
      <w:pPr>
        <w:pStyle w:val="ListBullet"/>
      </w:pPr>
      <w:r>
        <w:rPr>
          <w:rFonts w:ascii="Helvetica" w:hAnsi="Helvetica"/>
          <w:sz w:val="22"/>
        </w:rPr>
        <w:t>Unified naming convention across all components</w:t>
      </w:r>
    </w:p>
    <w:p>
      <w:pPr>
        <w:pStyle w:val="ListBullet"/>
      </w:pPr>
      <w:r>
        <w:rPr>
          <w:rFonts w:ascii="Helvetica" w:hAnsi="Helvetica"/>
          <w:sz w:val="22"/>
        </w:rPr>
        <w:t>Automatic inheritance reduces manual sizing work</w:t>
      </w:r>
    </w:p>
    <w:p>
      <w:pPr>
        <w:pStyle w:val="ListBullet"/>
      </w:pPr>
      <w:r>
        <w:rPr>
          <w:rFonts w:ascii="Helvetica" w:hAnsi="Helvetica"/>
          <w:sz w:val="22"/>
        </w:rPr>
        <w:t>Clear implementation patterns for development teams</w:t>
      </w:r>
    </w:p>
    <w:p>
      <w:pPr>
        <w:pStyle w:val="Heading3"/>
      </w:pPr>
      <w:r>
        <w:rPr>
          <w:rFonts w:ascii="Helvetica" w:hAnsi="Helvetica"/>
          <w:b/>
          <w:sz w:val="22"/>
        </w:rPr>
        <w:t>**User experience consistency**</w:t>
      </w:r>
    </w:p>
    <w:p>
      <w:pPr>
        <w:pStyle w:val="ListBullet"/>
      </w:pPr>
      <w:r>
        <w:rPr>
          <w:rFonts w:ascii="Helvetica" w:hAnsi="Helvetica"/>
          <w:sz w:val="22"/>
        </w:rPr>
        <w:t>Predictable size relationships across interface</w:t>
      </w:r>
    </w:p>
    <w:p>
      <w:pPr>
        <w:pStyle w:val="ListBullet"/>
      </w:pPr>
      <w:r>
        <w:rPr>
          <w:rFonts w:ascii="Helvetica" w:hAnsi="Helvetica"/>
          <w:sz w:val="22"/>
        </w:rPr>
        <w:t>Context-appropriate scaling for different user types</w:t>
      </w:r>
    </w:p>
    <w:p>
      <w:pPr>
        <w:pStyle w:val="ListBullet"/>
      </w:pPr>
      <w:r>
        <w:rPr>
          <w:rFonts w:ascii="Helvetica" w:hAnsi="Helvetica"/>
          <w:sz w:val="22"/>
        </w:rPr>
        <w:t>Consistent interaction patterns across different contexts</w:t>
      </w:r>
    </w:p>
    <w:p>
      <w:pPr>
        <w:pStyle w:val="ListBullet"/>
      </w:pPr>
      <w:r>
        <w:rPr>
          <w:rFonts w:ascii="Helvetica" w:hAnsi="Helvetica"/>
          <w:sz w:val="22"/>
        </w:rPr>
        <w:t>Maintained usability across all size variants</w:t>
      </w:r>
    </w:p>
    <w:p>
      <w:pPr>
        <w:pStyle w:val="Heading3"/>
      </w:pPr>
      <w:r>
        <w:rPr>
          <w:rFonts w:ascii="Helvetica" w:hAnsi="Helvetica"/>
          <w:b/>
          <w:sz w:val="22"/>
        </w:rPr>
        <w:t>**Accessibility First**</w:t>
      </w:r>
    </w:p>
    <w:p>
      <w:pPr>
        <w:pStyle w:val="ListBullet"/>
      </w:pPr>
      <w:r>
        <w:rPr>
          <w:rFonts w:ascii="Helvetica" w:hAnsi="Helvetica"/>
          <w:sz w:val="22"/>
        </w:rPr>
        <w:t>Touch target sizes maintained in coordinated components</w:t>
      </w:r>
    </w:p>
    <w:p>
      <w:pPr>
        <w:pStyle w:val="ListBullet"/>
      </w:pPr>
      <w:r>
        <w:rPr>
          <w:rFonts w:ascii="Helvetica" w:hAnsi="Helvetica"/>
          <w:sz w:val="22"/>
        </w:rPr>
        <w:t>Text readability preserved in size modes</w:t>
      </w:r>
    </w:p>
    <w:p>
      <w:pPr>
        <w:pStyle w:val="ListBullet"/>
      </w:pPr>
      <w:r>
        <w:rPr>
          <w:rFonts w:ascii="Helvetica" w:hAnsi="Helvetica"/>
          <w:sz w:val="22"/>
        </w:rPr>
        <w:t>Focus indicators properly sized for context</w:t>
      </w:r>
    </w:p>
    <w:p>
      <w:pPr>
        <w:pStyle w:val="ListBullet"/>
      </w:pPr>
      <w:r>
        <w:rPr>
          <w:rFonts w:ascii="Helvetica" w:hAnsi="Helvetica"/>
          <w:sz w:val="22"/>
        </w:rPr>
        <w:t>Universal design principles applied to all size variants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Token examples</w:t>
      </w:r>
    </w:p>
    <w:p>
      <w:pPr>
        <w:pStyle w:val="Heading3"/>
      </w:pPr>
      <w:r>
        <w:rPr>
          <w:rFonts w:ascii="Helvetica" w:hAnsi="Helvetica"/>
          <w:b/>
          <w:sz w:val="22"/>
        </w:rPr>
        <w:t>**Size token collection with boundaries**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Token Name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Small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Medium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Large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Boundary</w:t>
            </w:r>
          </w:p>
        </w:tc>
      </w:tr>
      <w:tr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`ob.size.input.height`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32px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40px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48px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sm/md/lg</w:t>
            </w:r>
          </w:p>
        </w:tc>
      </w:tr>
      <w:tr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`ob.size.badge.height`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20px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24px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28px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sm/md/lg</w:t>
            </w:r>
          </w:p>
        </w:tc>
      </w:tr>
      <w:tr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`ob.size.tag.height`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24px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32px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40px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sm/md/lg</w:t>
            </w:r>
          </w:p>
        </w:tc>
      </w:tr>
      <w:tr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`ob.size.infobox.height`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40px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40px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48px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md/lg only</w:t>
            </w:r>
          </w:p>
        </w:tc>
      </w:tr>
      <w:tr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`ob.size.tooltip.max-width`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200px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240px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240px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sm/md only</w:t>
            </w:r>
          </w:p>
        </w:tc>
      </w:tr>
      <w:tr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`ob.size.navigation.height`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56px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56px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56px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md fixed</w:t>
            </w:r>
          </w:p>
        </w:tc>
      </w:tr>
      <w:tr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`ob.size.icon.dimension`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16px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20px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24px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sm/md/lg</w:t>
            </w:r>
          </w:p>
        </w:tc>
      </w:tr>
    </w:tbl>
    <w:p>
      <w:pPr>
        <w:pStyle w:val="Heading3"/>
      </w:pPr>
      <w:r>
        <w:rPr>
          <w:rFonts w:ascii="Helvetica" w:hAnsi="Helvetica"/>
          <w:b/>
          <w:sz w:val="22"/>
        </w:rPr>
        <w:t>**Boundary implementation tokens**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3024"/>
        <w:gridCol w:w="3024"/>
        <w:gridCol w:w="3024"/>
      </w:tblGrid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Token Name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Description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Implementation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`ob.size.infobox.height.sm`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Falls back to md boundary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`{ob.size.infobox.height.md}`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`ob.size.tooltip.max-width.lg`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Falls back to md boundary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`{ob.size.tooltip.max-width.md}`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`ob.size.navigation.height.sm`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Ignores context, stays fixed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`{ob.size.navigation.height.md}`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`ob.size.navigation.height.lg`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Ignores context, stays fixed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`{ob.size.navigation.height.md}`</w:t>
            </w:r>
          </w:p>
        </w:tc>
      </w:tr>
    </w:tbl>
    <w:p>
      <w:pPr>
        <w:pStyle w:val="Heading3"/>
      </w:pPr>
      <w:r>
        <w:rPr>
          <w:rFonts w:ascii="Helvetica" w:hAnsi="Helvetica"/>
          <w:b/>
          <w:sz w:val="22"/>
        </w:rPr>
        <w:t>**Proportional square component tokens**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Token Name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Small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Medium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Large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Constraint</w:t>
            </w:r>
          </w:p>
        </w:tc>
      </w:tr>
      <w:tr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`ob.size.icon-holder.dimension`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16px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20px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24px</w:t>
            </w:r>
          </w:p>
        </w:tc>
        <w:tc>
          <w:tcPr>
            <w:tcW w:type="dxa" w:w="181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width = height</w:t>
            </w:r>
          </w:p>
        </w:tc>
      </w:tr>
    </w:tbl>
    <w:p>
      <w:pPr>
        <w:pStyle w:val="Heading3"/>
      </w:pPr>
      <w:r>
        <w:rPr>
          <w:rFonts w:ascii="Helvetica" w:hAnsi="Helvetica"/>
          <w:b/>
          <w:sz w:val="22"/>
        </w:rPr>
        <w:t>**Three-dimensional token example (Viewport × Size × Component)**</w:t>
      </w:r>
    </w:p>
    <w:p>
      <w:r>
        <w:rPr>
          <w:rFonts w:ascii="Helvetica" w:hAnsi="Helvetica"/>
          <w:sz w:val="22"/>
        </w:rPr>
        <w:t>"ob.size.icon-holder.dimension": {</w:t>
      </w:r>
      <w:r>
        <w:rPr>
          <w:rFonts w:ascii="Helvetica" w:hAnsi="Helvetica"/>
          <w:sz w:val="22"/>
        </w:rPr>
        <w:br/>
        <w:t>"desktop": {</w:t>
      </w:r>
      <w:r>
        <w:rPr>
          <w:rFonts w:ascii="Helvetica" w:hAnsi="Helvetica"/>
          <w:sz w:val="22"/>
        </w:rPr>
        <w:br/>
        <w:t>"sm": "16px",  // 16×16px square</w:t>
      </w:r>
      <w:r>
        <w:rPr>
          <w:rFonts w:ascii="Helvetica" w:hAnsi="Helvetica"/>
          <w:sz w:val="22"/>
        </w:rPr>
        <w:br/>
        <w:t>"md": "20px",  // 20×20px square</w:t>
      </w:r>
      <w:r>
        <w:rPr>
          <w:rFonts w:ascii="Helvetica" w:hAnsi="Helvetica"/>
          <w:sz w:val="22"/>
        </w:rPr>
        <w:br/>
        <w:t>"lg": "24px"   // 24×24px square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"mobile": {</w:t>
      </w:r>
      <w:r>
        <w:rPr>
          <w:rFonts w:ascii="Helvetica" w:hAnsi="Helvetica"/>
          <w:sz w:val="22"/>
        </w:rPr>
        <w:br/>
        <w:t>"sm": "20px",  // 20×20px square (touch-friendly)</w:t>
      </w:r>
      <w:r>
        <w:rPr>
          <w:rFonts w:ascii="Helvetica" w:hAnsi="Helvetica"/>
          <w:sz w:val="22"/>
        </w:rPr>
        <w:br/>
        <w:t>"md": "24px",  // 24×24px square</w:t>
      </w:r>
      <w:r>
        <w:rPr>
          <w:rFonts w:ascii="Helvetica" w:hAnsi="Helvetica"/>
          <w:sz w:val="22"/>
        </w:rPr>
        <w:br/>
        <w:t>"lg": "28px"   // 28×28px square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**Context-aware relationship tokens**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3024"/>
        <w:gridCol w:w="3024"/>
        <w:gridCol w:w="3024"/>
      </w:tblGrid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Token Name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Description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Value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`ob.size.tag.input-coordinated.height.sm`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Tag height when in small input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`calc({ob.size.input.height.sm} - 8px)`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`ob.size.tag.input-coordinated.height.md`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Tag height when in medium input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`calc({ob.size.input.height.md} - 8px)`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`ob.size.tag.input-coordinated.height.lg`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Tag height when in large input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`calc({ob.size.input.height.lg} - 8px)`</w:t>
            </w:r>
          </w:p>
        </w:tc>
      </w:tr>
    </w:tbl>
    <w:p>
      <w:pPr>
        <w:pStyle w:val="Heading3"/>
      </w:pPr>
      <w:r>
        <w:rPr>
          <w:rFonts w:ascii="Helvetica" w:hAnsi="Helvetica"/>
          <w:b/>
          <w:sz w:val="22"/>
        </w:rPr>
        <w:t>**Combined token usage example**</w:t>
      </w:r>
    </w:p>
    <w:p>
      <w:r>
        <w:rPr>
          <w:rFonts w:ascii="Helvetica" w:hAnsi="Helvetica"/>
          <w:sz w:val="22"/>
        </w:rPr>
        <w:t>/* Container sets size context */</w:t>
      </w:r>
      <w:r>
        <w:rPr>
          <w:rFonts w:ascii="Helvetica" w:hAnsi="Helvetica"/>
          <w:sz w:val="22"/>
        </w:rPr>
        <w:br/>
        <w:t>.form-section[data-size="sm"] {</w:t>
      </w:r>
      <w:r>
        <w:rPr>
          <w:rFonts w:ascii="Helvetica" w:hAnsi="Helvetica"/>
          <w:sz w:val="22"/>
        </w:rPr>
        <w:br/>
        <w:t>--size-context: sm;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/* Components inherit from context */</w:t>
      </w:r>
      <w:r>
        <w:rPr>
          <w:rFonts w:ascii="Helvetica" w:hAnsi="Helvetica"/>
          <w:sz w:val="22"/>
        </w:rPr>
        <w:br/>
        <w:t>.input {</w:t>
      </w:r>
      <w:r>
        <w:rPr>
          <w:rFonts w:ascii="Helvetica" w:hAnsi="Helvetica"/>
          <w:sz w:val="22"/>
        </w:rPr>
        <w:br/>
        <w:t>height: var(--ob-size-input-height-var(--size-context));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.tag {</w:t>
      </w:r>
      <w:r>
        <w:rPr>
          <w:rFonts w:ascii="Helvetica" w:hAnsi="Helvetica"/>
          <w:sz w:val="22"/>
        </w:rPr>
        <w:br/>
        <w:t>height: var(--ob-size-tag-input-coordinated-height-var(--size-context));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*This document focuses specifically on the size system for component scaling and inset spacing control.*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07-size-concept | Last edited: 2025-09-17 15:43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