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"р"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Недостатки системы учета самовольных переселенцев были отмечены в монографии Тюкавкина.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(стр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r w:rsidRPr="00EE112F">
        <w:lastRenderedPageBreak/>
        <w:t xml:space="preserve">Подавстрийские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Для 1908-1914 гг. "всего" перевычисляется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Управление Дежурнаго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сооответствует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 это было чудо» (Пьер Шоню в предисловии к </w:t>
      </w:r>
      <w:r w:rsidRPr="003D20C7">
        <w:rPr>
          <w:rFonts w:ascii="Times New Roman" w:eastAsia="Times New Roman" w:hAnsi="Times New Roman" w:cs="Times New Roman"/>
          <w:i/>
          <w:iCs/>
          <w:sz w:val="20"/>
          <w:szCs w:val="20"/>
          <w:lang w:eastAsia="ru-RU"/>
        </w:rPr>
        <w:t>J. Dupâquier, "La population rurale du Bassin Parisien à l’époque de Louis XIV",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Однако сведения УГВИ содержат три "</w:t>
      </w:r>
      <w:r w:rsidRPr="00C40F53">
        <w:t>чёрных</w:t>
      </w:r>
      <w:r w:rsidRPr="00EE112F">
        <w:t xml:space="preserve"> дыры"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Сифман, в этой ситуации, прибегает к решению, которое обозначает "довольно грубым"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7960A0">
        <w:rPr>
          <w:lang w:val="en-US"/>
        </w:rPr>
        <w:t xml:space="preserve"> </w:t>
      </w:r>
      <w:r w:rsidRPr="00EE112F">
        <w:t>программы</w:t>
      </w:r>
      <w:r w:rsidRPr="007960A0">
        <w:rPr>
          <w:lang w:val="en-US"/>
        </w:rPr>
        <w:t xml:space="preserve"> </w:t>
      </w:r>
      <w:r w:rsidRPr="007960A0">
        <w:rPr>
          <w:rFonts w:ascii="Courier New" w:hAnsi="Courier New" w:cs="Courier New"/>
          <w:sz w:val="20"/>
          <w:szCs w:val="20"/>
          <w:lang w:val="en-US"/>
        </w:rPr>
        <w:t>rtss.pre1917.tools.ShowAreaValues</w:t>
      </w:r>
      <w:r w:rsidRPr="007960A0">
        <w:rPr>
          <w:lang w:val="en-US"/>
        </w:rPr>
        <w:t>.</w:t>
      </w:r>
      <w:r w:rsidRPr="007960A0">
        <w:rPr>
          <w:lang w:val="en-US"/>
        </w:rPr>
        <w:br/>
      </w:r>
      <w:r w:rsidRPr="007960A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И Сыр-Дарьинской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Pr="00BD5B50">
        <w:rPr>
          <w:i/>
          <w:iCs/>
        </w:rPr>
        <w:t>"Естественное движение населения Союза ССР в 1926 г."</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r w:rsidRPr="00EE112F">
        <w:t>Дивногорцев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"по переписи"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"чр" и "чс" на 1896 г. в приводимой ниже таблице вычислены как таковое усреднение. Сведения в колонке "мигр"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r w:rsidRPr="00EE112F">
        <w:lastRenderedPageBreak/>
        <w:t xml:space="preserve">Елисаветпольская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Pr="00BE7278">
        <w:rPr>
          <w:rFonts w:ascii="Times New Roman" w:eastAsia="Times New Roman" w:hAnsi="Times New Roman" w:cs="Times New Roman"/>
          <w:i/>
          <w:iCs/>
          <w:lang w:eastAsia="ru-RU"/>
        </w:rPr>
        <w:t>"Suomen Tilastollinen Vuosikirja"</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601EC7" w:rsidRDefault="00EE112F" w:rsidP="00EE05E0">
      <w:pPr>
        <w:spacing w:after="240" w:line="240" w:lineRule="auto"/>
        <w:ind w:left="432" w:firstLine="432"/>
        <w:rPr>
          <w:rFonts w:ascii="Times New Roman" w:eastAsia="Times New Roman" w:hAnsi="Times New Roman" w:cs="Times New Roman"/>
          <w:sz w:val="24"/>
          <w:szCs w:val="24"/>
          <w:lang w:val="en-US"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Состав: Курляндская, Лифляндская, Эстляндская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Первая часть проверки – это анализ внутренней самосогласованности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3659A4" w:rsidP="00522061">
      <w:pPr>
        <w:pStyle w:val="XNormal"/>
        <w:spacing w:line="240" w:lineRule="auto"/>
      </w:pPr>
      <w:r w:rsidRPr="003659A4">
        <w:t>Но впридачу,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Мы исправили urban-male-28 c 586,498 на 486,498 для схождения с таблицей 11 (оба пола) и с суммой "итого" в таблице 10 для возрастов 20-29.</w:t>
      </w:r>
      <w:r w:rsidRPr="003659A4">
        <w:br/>
        <w:t>Также исправлено urban-female-12 с 526,895 на 525,895 для схождения с "итого"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контингент "А"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контингенты "Б"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"компенсации"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Любопытно (хотя и ожидаемо), что повышение множителя смертности от 1.1745 до 1.4 не переменяет общего вида "пилы" половозрастного расхождения передвижки с переписью 1939 года, и лишь немного изменяет размах зубьев "пилы".</w:t>
      </w:r>
    </w:p>
    <w:p w:rsidR="00ED400C"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"мирного"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"сыры</w:t>
      </w:r>
      <w:r w:rsidR="008C4741">
        <w:t>м</w:t>
      </w:r>
      <w:r w:rsidRPr="003659A4">
        <w:t>"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Курмана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На сколько требуется повысить коэффициенты смертности в таблице Госкомстата 1938-1939 гг., чтобы она удовлетворяла движению населения по реконструкции АДХ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Оценки неполноты учёта смертей принятые в реконструкции АДХ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"сырых"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bookmarkStart w:id="0" w:name="_GoBack"/>
      <w:bookmarkEnd w:id="0"/>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226012">
      <w:footerReference w:type="default" r:id="rId18"/>
      <w:pgSz w:w="12240" w:h="15840"/>
      <w:pgMar w:top="1440" w:right="864" w:bottom="1440" w:left="86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6A1" w:rsidRDefault="00F046A1" w:rsidP="009659E2">
      <w:pPr>
        <w:spacing w:after="0" w:line="240" w:lineRule="auto"/>
      </w:pPr>
      <w:r>
        <w:separator/>
      </w:r>
    </w:p>
  </w:endnote>
  <w:endnote w:type="continuationSeparator" w:id="0">
    <w:p w:rsidR="00F046A1" w:rsidRDefault="00F046A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8158291"/>
      <w:docPartObj>
        <w:docPartGallery w:val="Page Numbers (Bottom of Page)"/>
        <w:docPartUnique/>
      </w:docPartObj>
    </w:sdtPr>
    <w:sdtEndPr>
      <w:rPr>
        <w:noProof/>
      </w:rPr>
    </w:sdtEndPr>
    <w:sdtContent>
      <w:p w:rsidR="003659A4" w:rsidRDefault="003659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3659A4" w:rsidRDefault="003659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6A1" w:rsidRDefault="00F046A1" w:rsidP="009659E2">
      <w:pPr>
        <w:spacing w:after="0" w:line="240" w:lineRule="auto"/>
      </w:pPr>
      <w:r>
        <w:separator/>
      </w:r>
    </w:p>
  </w:footnote>
  <w:footnote w:type="continuationSeparator" w:id="0">
    <w:p w:rsidR="00F046A1" w:rsidRDefault="00F046A1"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А.Г. Рашин, "Население России за 100 лет (1811-1913)"; цикл книг С.Д. Морозова "Центральная Россия в 1897-1917 гг.".</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Сифман, "Динамика численности населения России за 1897-1914 гг.",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Сифман, "Динамика численности населения России за 1897-1914 гг.", стр. 66.</w:t>
      </w:r>
    </w:p>
  </w:footnote>
  <w:footnote w:id="9">
    <w:p w:rsidR="003659A4" w:rsidRPr="008E630A" w:rsidRDefault="003659A4">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p>
  </w:footnote>
  <w:footnote w:id="10">
    <w:p w:rsidR="003659A4" w:rsidRPr="00463B8B" w:rsidRDefault="003659A4">
      <w:pPr>
        <w:pStyle w:val="FootnoteText"/>
        <w:rPr>
          <w:lang w:val="en-US"/>
        </w:rPr>
      </w:pPr>
      <w:r>
        <w:rPr>
          <w:rStyle w:val="FootnoteReference"/>
        </w:rPr>
        <w:footnoteRef/>
      </w:r>
      <w:r>
        <w:t xml:space="preserve"> </w:t>
      </w:r>
      <w:r w:rsidRPr="00463B8B">
        <w:t>Напр: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т-ва "Гранит", 1918.</w:t>
      </w:r>
    </w:p>
  </w:footnote>
  <w:footnote w:id="11">
    <w:p w:rsidR="003659A4" w:rsidRPr="00EC5126" w:rsidRDefault="003659A4">
      <w:pPr>
        <w:pStyle w:val="FootnoteText"/>
      </w:pPr>
      <w:r>
        <w:rPr>
          <w:rStyle w:val="FootnoteReference"/>
        </w:rPr>
        <w:footnoteRef/>
      </w:r>
      <w:r>
        <w:t xml:space="preserve"> </w:t>
      </w:r>
      <w:r w:rsidRPr="00EC5126">
        <w:t>В. Кабузан, "Русские в мире : Динамика численности и расселения (1719-1989)",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BD73AF" w:rsidRDefault="003659A4">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rsidR="003659A4" w:rsidRPr="00334C5A" w:rsidRDefault="003659A4">
      <w:pPr>
        <w:pStyle w:val="FootnoteText"/>
        <w:rPr>
          <w:lang w:val="en-US"/>
        </w:rPr>
      </w:pPr>
      <w:r>
        <w:rPr>
          <w:rStyle w:val="FootnoteReference"/>
        </w:rPr>
        <w:footnoteRef/>
      </w:r>
      <w:r>
        <w:t xml:space="preserve"> </w:t>
      </w:r>
      <w:r w:rsidRPr="00334C5A">
        <w:t>Кабузан стр. 313; NBER стр. 130</w:t>
      </w:r>
      <w:r>
        <w:rPr>
          <w:lang w:val="en-US"/>
        </w:rPr>
        <w:t>.</w:t>
      </w:r>
    </w:p>
  </w:footnote>
  <w:footnote w:id="17">
    <w:p w:rsidR="003659A4" w:rsidRPr="000C3431" w:rsidRDefault="003659A4">
      <w:pPr>
        <w:pStyle w:val="FootnoteText"/>
        <w:rPr>
          <w:lang w:val="en-US"/>
        </w:rPr>
      </w:pPr>
      <w:r>
        <w:rPr>
          <w:rStyle w:val="FootnoteReference"/>
        </w:rPr>
        <w:footnoteRef/>
      </w:r>
      <w:r>
        <w:t xml:space="preserve"> </w:t>
      </w:r>
      <w:r w:rsidRPr="000C3431">
        <w:t>NBER:130</w:t>
      </w:r>
      <w:r>
        <w:rPr>
          <w:lang w:val="en-US"/>
        </w:rPr>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783072">
        <w:t>General Report And Analysis, Washington DC, 1913 (reprint April, 1915), стр. 1068</w:t>
      </w:r>
      <w:r>
        <w:rPr>
          <w:lang w:val="en-US"/>
        </w:rPr>
        <w:t>.</w:t>
      </w:r>
    </w:p>
  </w:footnote>
  <w:footnote w:id="19">
    <w:p w:rsidR="003659A4" w:rsidRPr="001063B1" w:rsidRDefault="003659A4">
      <w:pPr>
        <w:pStyle w:val="FootnoteText"/>
      </w:pPr>
      <w:r>
        <w:rPr>
          <w:rStyle w:val="FootnoteReference"/>
        </w:rPr>
        <w:footnoteRef/>
      </w:r>
      <w:r>
        <w:t xml:space="preserve"> С</w:t>
      </w:r>
      <w:r w:rsidRPr="001E68B7">
        <w:t>м. подробности и источники в файле emigration.xlsx; тж. агрегацию в NBER стр. 472-473, 476-481</w:t>
      </w:r>
      <w:r w:rsidRPr="001063B1">
        <w:t>.</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"Twelfth Census Of The United States, Taken In The Year 1900", Volume I, Part I, Washington DC, 1901, </w:t>
      </w:r>
      <w:r>
        <w:t>стр</w:t>
      </w:r>
      <w:r w:rsidRPr="00373E6B">
        <w:rPr>
          <w:lang w:val="en-US"/>
        </w:rPr>
        <w:t xml:space="preserve">. 733-735; "Thirteenth Census Of The United States Taken In The Year 1910", Volume I : "Population. General Report And Analysis", Washington DC, 1913 (reprint April, 1915), </w:t>
      </w:r>
      <w:r>
        <w:t>стр</w:t>
      </w:r>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"Historical Statistics of the United States : Colonial Times to 1970",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"Historical Statistics of the United States : Colonial Times to 1970", </w:t>
      </w:r>
      <w:r w:rsidRPr="00DE2904">
        <w:t>ч</w:t>
      </w:r>
      <w:r w:rsidRPr="00DE2904">
        <w:rPr>
          <w:lang w:val="en-US"/>
        </w:rPr>
        <w:t xml:space="preserve">. 1, </w:t>
      </w:r>
      <w:r w:rsidRPr="00DE2904">
        <w:t>стр</w:t>
      </w:r>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t xml:space="preserve"> </w:t>
      </w:r>
      <w:r w:rsidRPr="00903B87">
        <w:t>Кабузан, стр.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NBER, "International Migrations",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Н.Л. Тудоряну, "Очерки российской трудовой эмиграции периода империализма (в Германию, Скандинавские страны и США)", Кишинев, 1986; тж. одноименная диссертация д.и.н., ЛГУ, 1988; Кабузан,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r w:rsidRPr="000138C5">
        <w:t>Кабузан,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NBER, "International Migrations",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мужск. и обоих полов через Европейскую границу.</w:t>
      </w:r>
    </w:p>
  </w:footnote>
  <w:footnote w:id="36">
    <w:p w:rsidR="003659A4" w:rsidRDefault="003659A4">
      <w:pPr>
        <w:pStyle w:val="FootnoteText"/>
      </w:pPr>
      <w:r>
        <w:rPr>
          <w:rStyle w:val="FootnoteReference"/>
        </w:rPr>
        <w:footnoteRef/>
      </w:r>
      <w:r w:rsidRPr="0033398F">
        <w:rPr>
          <w:lang w:val="en-US"/>
        </w:rPr>
        <w:t xml:space="preserve"> NBER, "International Migrations",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 по Ежегодникам ЦСК.</w:t>
      </w:r>
    </w:p>
  </w:footnote>
  <w:footnote w:id="37">
    <w:p w:rsidR="003659A4" w:rsidRPr="00D444D5" w:rsidRDefault="003659A4">
      <w:pPr>
        <w:pStyle w:val="FootnoteText"/>
        <w:rPr>
          <w:lang w:val="en-US"/>
        </w:rPr>
      </w:pPr>
      <w:r>
        <w:rPr>
          <w:rStyle w:val="FootnoteReference"/>
        </w:rPr>
        <w:footnoteRef/>
      </w:r>
      <w:r w:rsidRPr="00D444D5">
        <w:rPr>
          <w:lang w:val="en-US"/>
        </w:rPr>
        <w:t xml:space="preserve"> NBER, "International Migrations",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 по Ежегодникам ЦСК.</w:t>
      </w:r>
    </w:p>
  </w:footnote>
  <w:footnote w:id="38">
    <w:p w:rsidR="003659A4" w:rsidRPr="00D56DD2" w:rsidRDefault="003659A4">
      <w:pPr>
        <w:pStyle w:val="FootnoteText"/>
        <w:rPr>
          <w:lang w:val="en-US"/>
        </w:rPr>
      </w:pPr>
      <w:r>
        <w:rPr>
          <w:rStyle w:val="FootnoteReference"/>
        </w:rPr>
        <w:footnoteRef/>
      </w:r>
      <w:r w:rsidRPr="00D56DD2">
        <w:rPr>
          <w:lang w:val="en-US"/>
        </w:rPr>
        <w:t xml:space="preserve"> NBER, "International Migrations",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 по Ежегодникам ЦСК.</w:t>
      </w:r>
    </w:p>
  </w:footnote>
  <w:footnote w:id="39">
    <w:p w:rsidR="003659A4" w:rsidRPr="00A07B7C" w:rsidRDefault="003659A4">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Hovannisian, "The Armenian People from Ancient to Modern Times",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Андрей Андреевич Кофод, "50 лет в России, 1878-1920: [воспоминания]",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"The Cheliabinsk Grain Tariff and the Rise of the Siberian Butter Industry" // Slavic Review, Vol. 35, No. 2 (Jun., 1976), </w:t>
      </w:r>
      <w:r w:rsidRPr="00652CAB">
        <w:t>стр</w:t>
      </w:r>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"The Market Reporter", 1921, vol. 3 №6, </w:t>
      </w:r>
      <w:r w:rsidRPr="00652CAB">
        <w:t>стр</w:t>
      </w:r>
      <w:r w:rsidRPr="00652CAB">
        <w:rPr>
          <w:lang w:val="en-US"/>
        </w:rPr>
        <w:t xml:space="preserve">. 96, </w:t>
      </w:r>
      <w:r w:rsidRPr="00652CAB">
        <w:t>заметка</w:t>
      </w:r>
      <w:r w:rsidRPr="00652CAB">
        <w:rPr>
          <w:lang w:val="en-US"/>
        </w:rPr>
        <w:t xml:space="preserve"> "England's Butter Imports..."</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r w:rsidRPr="00AE2534">
        <w:t>Кабузан, стр. 204</w:t>
      </w:r>
    </w:p>
  </w:footnote>
  <w:footnote w:id="45">
    <w:p w:rsidR="003659A4" w:rsidRPr="0046420D" w:rsidRDefault="003659A4">
      <w:pPr>
        <w:pStyle w:val="FootnoteText"/>
        <w:rPr>
          <w:lang w:val="en-US"/>
        </w:rPr>
      </w:pPr>
      <w:r>
        <w:rPr>
          <w:rStyle w:val="FootnoteReference"/>
        </w:rPr>
        <w:footnoteRef/>
      </w:r>
      <w:r>
        <w:t xml:space="preserve"> </w:t>
      </w:r>
      <w:r w:rsidRPr="0046420D">
        <w:t>Осинский, стр 115-116</w:t>
      </w:r>
      <w:r>
        <w:rPr>
          <w:lang w:val="en-US"/>
        </w:rPr>
        <w:t>.</w:t>
      </w:r>
    </w:p>
  </w:footnote>
  <w:footnote w:id="46">
    <w:p w:rsidR="003659A4" w:rsidRPr="00C97A0A" w:rsidRDefault="003659A4">
      <w:pPr>
        <w:pStyle w:val="FootnoteText"/>
      </w:pPr>
      <w:r>
        <w:rPr>
          <w:rStyle w:val="FootnoteReference"/>
        </w:rPr>
        <w:footnoteRef/>
      </w:r>
      <w:r>
        <w:t xml:space="preserve"> </w:t>
      </w:r>
      <w:r w:rsidRPr="00C97A0A">
        <w:t>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ХХ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ХХ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Эдви, 2013 вып. 7, стр. 193-202; В.С. Пукиш,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Бурыкина,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3659A4" w:rsidRPr="0075523B" w:rsidRDefault="003659A4">
      <w:pPr>
        <w:pStyle w:val="FootnoteText"/>
        <w:rPr>
          <w:lang w:val="en-US"/>
        </w:rPr>
      </w:pPr>
      <w:r>
        <w:rPr>
          <w:rStyle w:val="FootnoteReference"/>
        </w:rPr>
        <w:footnoteRef/>
      </w:r>
      <w:r>
        <w:t xml:space="preserve"> </w:t>
      </w:r>
      <w:r w:rsidRPr="0075523B">
        <w:t>Кабузан, стр. 203</w:t>
      </w:r>
      <w:r>
        <w:rPr>
          <w:lang w:val="en-US"/>
        </w:rPr>
        <w:t>.</w:t>
      </w:r>
    </w:p>
  </w:footnote>
  <w:footnote w:id="48">
    <w:p w:rsidR="003659A4" w:rsidRPr="00355623" w:rsidRDefault="003659A4">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3659A4" w:rsidRPr="00040AD1" w:rsidRDefault="003659A4">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3659A4" w:rsidRDefault="003659A4">
      <w:pPr>
        <w:pStyle w:val="FootnoteText"/>
      </w:pPr>
      <w:r>
        <w:rPr>
          <w:rStyle w:val="FootnoteReference"/>
        </w:rPr>
        <w:footnoteRef/>
      </w:r>
      <w:r>
        <w:t xml:space="preserve"> </w:t>
      </w:r>
      <w:r w:rsidRPr="008C31D2">
        <w:t>"Война с Японией 1904-1905 гг. : Caнитарно-статистический очерк", Пгр., 1914, стр. 14-15, 49, 247-248;</w:t>
      </w:r>
      <w:r>
        <w:t xml:space="preserve"> </w:t>
      </w:r>
      <w:r w:rsidRPr="008C31D2">
        <w:t>Я.И. Кефели,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3659A4" w:rsidRDefault="003659A4">
      <w:pPr>
        <w:pStyle w:val="FootnoteText"/>
      </w:pPr>
      <w:r>
        <w:rPr>
          <w:rStyle w:val="FootnoteReference"/>
        </w:rPr>
        <w:footnoteRef/>
      </w:r>
      <w:r>
        <w:t xml:space="preserve"> </w:t>
      </w:r>
      <w:r w:rsidRPr="002C51A5">
        <w:t>"Война с Японией", стр. 50</w:t>
      </w:r>
      <w:r>
        <w:t>.</w:t>
      </w:r>
    </w:p>
  </w:footnote>
  <w:footnote w:id="52">
    <w:p w:rsidR="003659A4" w:rsidRDefault="003659A4">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t>.</w:t>
      </w:r>
    </w:p>
  </w:footnote>
  <w:footnote w:id="53">
    <w:p w:rsidR="003659A4" w:rsidRDefault="003659A4">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3659A4" w:rsidRDefault="003659A4">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3659A4" w:rsidRDefault="003659A4">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3659A4" w:rsidRDefault="003659A4">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3659A4" w:rsidRDefault="003659A4">
      <w:pPr>
        <w:pStyle w:val="FootnoteText"/>
      </w:pPr>
      <w:r>
        <w:rPr>
          <w:rStyle w:val="FootnoteReference"/>
        </w:rPr>
        <w:footnoteRef/>
      </w:r>
      <w:r>
        <w:t xml:space="preserve"> </w:t>
      </w:r>
      <w:r w:rsidRPr="004A2536">
        <w:t>Корреспонденция помещённая во "Враче" (основатель В.А. Манассеин,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"Крещение совершается в восьмой день по рождении, а если ребёнок и мать больны, то и раньше, даже на другой день" (М. Бежанов, "Краткие сведения о с. Варташене и его жителях"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М. Осоргин, "Заметки старого книгоеда. Воспоминания", М. 2007, стр. 512-513.</w:t>
      </w:r>
    </w:p>
  </w:footnote>
  <w:footnote w:id="65">
    <w:p w:rsidR="003659A4" w:rsidRDefault="003659A4">
      <w:pPr>
        <w:pStyle w:val="FootnoteText"/>
      </w:pPr>
      <w:r>
        <w:rPr>
          <w:rStyle w:val="FootnoteReference"/>
        </w:rPr>
        <w:footnoteRef/>
      </w:r>
      <w:r>
        <w:t xml:space="preserve"> </w:t>
      </w:r>
      <w:r w:rsidRPr="00EE6169">
        <w:t>Ф. Пленкин, "Бумажная промышленность" // "Народное хозяйство России за 1921-1922 г. : Статистико-экономический ежегодник", М. : Экономическая жизнь, 1923, стр. 471</w:t>
      </w:r>
      <w:r>
        <w:t>.</w:t>
      </w:r>
    </w:p>
  </w:footnote>
  <w:footnote w:id="66">
    <w:p w:rsidR="003659A4" w:rsidRDefault="003659A4">
      <w:pPr>
        <w:pStyle w:val="FootnoteText"/>
      </w:pPr>
      <w:r>
        <w:rPr>
          <w:rStyle w:val="FootnoteReference"/>
        </w:rPr>
        <w:footnoteRef/>
      </w:r>
      <w:r>
        <w:t xml:space="preserve"> </w:t>
      </w:r>
      <w:r w:rsidRPr="00F44CA1">
        <w:t>"Статистика произведений печати вышедших в России в 1915 году", Пг.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С.П. Обогуев, "Надёжна ли таблица смертности ЦУНХУ / Госкомстата СССР для населения СССР 1938-1939 годов?"</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(А.Я. Боярский и др., "Основы демографии", М. : Статистика, 1980, стр. 185; А.Я. Боярский и др., "Курс демографии", М. : Статистика, 1985, стр. 96</w:t>
      </w:r>
      <w:r>
        <w:t>.</w:t>
      </w:r>
    </w:p>
  </w:footnote>
  <w:footnote w:id="70">
    <w:p w:rsidR="003659A4" w:rsidRDefault="003659A4">
      <w:pPr>
        <w:pStyle w:val="FootnoteText"/>
      </w:pPr>
      <w:r>
        <w:rPr>
          <w:rStyle w:val="FootnoteReference"/>
        </w:rPr>
        <w:footnoteRef/>
      </w:r>
      <w:r>
        <w:t xml:space="preserve"> </w:t>
      </w:r>
      <w:r w:rsidRPr="00AC1D39">
        <w:t>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ЦСК, "Ежегодник России" 1913:I/69-70</w:t>
      </w:r>
      <w:r>
        <w:t>.</w:t>
      </w:r>
    </w:p>
  </w:footnote>
  <w:footnote w:id="73">
    <w:p w:rsidR="003659A4" w:rsidRDefault="003659A4">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Фраза статьи Сифман "по исключении этих двух областей",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Андреев, Дарский, Харькова, "Население Советского Союза 1922-1991", стр. 16-23; "Демографическая история России 1927-1959", стр 20-28</w:t>
      </w:r>
    </w:p>
  </w:footnote>
  <w:footnote w:id="76">
    <w:p w:rsidR="003659A4" w:rsidRDefault="003659A4">
      <w:pPr>
        <w:pStyle w:val="FootnoteText"/>
      </w:pPr>
      <w:r>
        <w:rPr>
          <w:rStyle w:val="FootnoteReference"/>
        </w:rPr>
        <w:footnoteRef/>
      </w:r>
      <w:r>
        <w:t xml:space="preserve"> </w:t>
      </w:r>
      <w:r w:rsidRPr="00654306">
        <w:t>Д. Дивногорцев,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Дивногорцев, "Вопросы учета естественного движения населения в местностях с неналаженной сетью ячеек ЗАГСов" // Вестник Статистики, 1927 №4, стр. 331-337</w:t>
      </w:r>
      <w:r>
        <w:t>.</w:t>
      </w:r>
    </w:p>
  </w:footnote>
  <w:footnote w:id="77">
    <w:p w:rsidR="003659A4" w:rsidRDefault="003659A4">
      <w:pPr>
        <w:pStyle w:val="FootnoteText"/>
      </w:pPr>
      <w:r>
        <w:rPr>
          <w:rStyle w:val="FootnoteReference"/>
        </w:rPr>
        <w:footnoteRef/>
      </w:r>
      <w:r>
        <w:t xml:space="preserve"> </w:t>
      </w:r>
      <w:r w:rsidRPr="00D12630">
        <w:t>Дивногорцев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Для сведений ЦСУ 1926 см. ЦСУ СССР, "Естественное движение населения Союза ССР в 1926 г.", т. 1, вып. 2, стр. 44-47, доп. стр. 7, 13-14, 20. Для ЦСУ 1927 (сведения ЦСУ для 1927) см. ЦСУ СССР, "Статистический справочник СССР за 1928 г.",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Lorimer, "Culture and Human Fertility : A Study of the Relation of Cultural Conditions to Fertility in Non-industrial and Transitional Societies", Unesco, 1954, </w:t>
      </w:r>
      <w:r w:rsidRPr="00A13517">
        <w:t>стр</w:t>
      </w:r>
      <w:r w:rsidRPr="00A13517">
        <w:rPr>
          <w:lang w:val="en-US"/>
        </w:rPr>
        <w:t xml:space="preserve">. 31-32; F. Lorimer, "Population of the Soviet Union", League of Nations : Geneva, 1946, </w:t>
      </w:r>
      <w:r w:rsidRPr="00A13517">
        <w:t>стр</w:t>
      </w:r>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"Papers Relating to the Foreign Relations of the United States",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w:t>
      </w:r>
      <w:r>
        <w:t>–</w:t>
      </w:r>
      <w:r w:rsidRPr="00545588">
        <w:t xml:space="preserve"> начале ХХ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cл.; "Отчет лесного департамента об общественных лесных работах проводившихся по 1 января 1900 года в губерниях, пострадавших от неурожая 1898 года", С.-Пб, 1900; С. Зеленецкий,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Батыршин, «Голод 1890-х гг. в казанской губернии (по материалам "этнографического бюро" князя В.Н. Тенишева)»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p>
  </w:footnote>
  <w:footnote w:id="88">
    <w:p w:rsidR="003659A4" w:rsidRPr="006A0D61" w:rsidRDefault="003659A4" w:rsidP="006A0D61">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Pr="006A0D61" w:rsidRDefault="003659A4">
      <w:pPr>
        <w:pStyle w:val="FootnoteText"/>
        <w:rPr>
          <w:lang w:val="en-US"/>
        </w:rPr>
      </w:pPr>
      <w:r>
        <w:rPr>
          <w:lang w:val="en-US"/>
        </w:rPr>
        <w:t>/.</w:t>
      </w:r>
    </w:p>
  </w:footnote>
  <w:footnote w:id="89">
    <w:p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Pr="00DB0B41">
        <w:t>"Таблицы смертности и ожидаемой продолжительности жизни населения",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Р.М. Дмитриева, "Основные тенденции смертности населения СССР и демографическое прогнозирование", Науч.-исслед. ин-т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Экономико-статистический сектор Госплана СССР, "Смертность и продолжительность жизни населения СССР 1926 - 1927. Таблицы смертности", М.-Л. : Планхозгиз,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w:t>
      </w:r>
      <w:r w:rsidR="00BE37A0">
        <w:t xml:space="preserve">произведена </w:t>
      </w:r>
      <w:r w:rsidRPr="00C870AF">
        <w:t>модулем rtss.validate_table_193x.AnalyzeTable</w:t>
      </w:r>
      <w:r w:rsidRPr="00C870AF">
        <w:t>.</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w:t>
      </w:r>
      <w:r>
        <w:t>График в высоком разрешении:</w:t>
      </w:r>
      <w:r>
        <w:t xml:space="preserve">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98">
    <w:p w:rsidR="001A2D7B" w:rsidRDefault="001A2D7B">
      <w:pPr>
        <w:pStyle w:val="FootnoteText"/>
      </w:pPr>
      <w:r>
        <w:rPr>
          <w:rStyle w:val="FootnoteReference"/>
        </w:rPr>
        <w:footnoteRef/>
      </w:r>
      <w:r>
        <w:t xml:space="preserve"> </w:t>
      </w:r>
      <w:r>
        <w:t>График в высоком разрешении:</w:t>
      </w:r>
      <w:r w:rsidRPr="001A2D7B">
        <w:t xml:space="preserve"> </w:t>
      </w:r>
      <w:r w:rsidRPr="001A2D7B">
        <w:t>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w:t>
      </w:r>
      <w:r>
        <w:t>График в высоком разрешении:</w:t>
      </w:r>
      <w:r>
        <w:t xml:space="preserve">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В.Б. Жиромская, "Численность населения России в 1939 г. : Поиск истины" // "Население России в 1920-1950-е годы: Численность, потери, миграции", ИРИ РАН, М. 1994, стр. 36-37</w:t>
      </w:r>
      <w:r>
        <w:t>.</w:t>
      </w:r>
    </w:p>
  </w:footnote>
  <w:footnote w:id="101">
    <w:p w:rsidR="003F681E" w:rsidRDefault="003F681E">
      <w:pPr>
        <w:pStyle w:val="FootnoteText"/>
      </w:pPr>
      <w:r>
        <w:rPr>
          <w:rStyle w:val="FootnoteReference"/>
        </w:rPr>
        <w:footnoteRef/>
      </w:r>
      <w:r>
        <w:t xml:space="preserve"> </w:t>
      </w:r>
      <w:r w:rsidRPr="003F681E">
        <w:t>В.Б. Жиромская, Ю.А. Поляков, "Всесоюзная перепись населения 1937 года : Общие итоги", М. : РОССПЭН, 2007, стр. 77-84</w:t>
      </w:r>
      <w:r>
        <w:t>.</w:t>
      </w:r>
    </w:p>
  </w:footnote>
  <w:footnote w:id="102">
    <w:p w:rsidR="00193324" w:rsidRDefault="00193324">
      <w:pPr>
        <w:pStyle w:val="FootnoteText"/>
      </w:pPr>
      <w:r>
        <w:rPr>
          <w:rStyle w:val="FootnoteReference"/>
        </w:rPr>
        <w:footnoteRef/>
      </w:r>
      <w:r>
        <w:t xml:space="preserve"> </w:t>
      </w:r>
      <w:r w:rsidRPr="00193324">
        <w:t>Андреев,Дарский,Харькова, "Население Советского Союза 1922-1991", М. Наука, 1993, стр. 27</w:t>
      </w:r>
      <w:r>
        <w:t>.</w:t>
      </w:r>
    </w:p>
  </w:footnote>
  <w:footnote w:id="103">
    <w:p w:rsidR="00D052FC" w:rsidRDefault="00D052FC">
      <w:pPr>
        <w:pStyle w:val="FootnoteText"/>
      </w:pPr>
      <w:r>
        <w:rPr>
          <w:rStyle w:val="FootnoteReference"/>
        </w:rPr>
        <w:footnoteRef/>
      </w:r>
      <w:r>
        <w:t xml:space="preserve"> </w:t>
      </w:r>
      <w:r w:rsidRPr="00D052FC">
        <w:t>В.Б. Жиромская, "Численность населения России в 1939 г. : Поиск истины" // "Население России в 1920-1950-е годы: Численность, потери, миграции", ИРИ РАН, М. 1994, стр. 32, 35, 38-40; В.Б. Жиромская, Ю.А. Поляков и др., "Всесоюзная перепись населения 1939 года. Основные итоги. Россия", М. : ИРИ РАН, 1999, стр. 10-11, 15-16</w:t>
      </w:r>
      <w:r>
        <w:t>.</w:t>
      </w:r>
    </w:p>
  </w:footnote>
  <w:footnote w:id="104">
    <w:p w:rsidR="009A0CA5" w:rsidRDefault="009A0CA5">
      <w:pPr>
        <w:pStyle w:val="FootnoteText"/>
      </w:pPr>
      <w:r>
        <w:rPr>
          <w:rStyle w:val="FootnoteReference"/>
        </w:rPr>
        <w:footnoteRef/>
      </w:r>
      <w:r>
        <w:t xml:space="preserve"> </w:t>
      </w:r>
      <w:r w:rsidRPr="009A0CA5">
        <w:t>Волков, "Как стало кривым зеркало общества (К 60-летию переписи 1937 г.)" // Вопросы статистики, 1997, №3, стр. 14-21; см. также обсуждение Тольцем мнения Волкова</w:t>
      </w:r>
      <w:r>
        <w:t>.</w:t>
      </w:r>
    </w:p>
  </w:footnote>
  <w:footnote w:id="105">
    <w:p w:rsidR="00825F8E" w:rsidRDefault="00825F8E" w:rsidP="00825F8E">
      <w:pPr>
        <w:pStyle w:val="FootnoteText"/>
      </w:pPr>
      <w:r>
        <w:rPr>
          <w:rStyle w:val="FootnoteReference"/>
        </w:rPr>
        <w:footnoteRef/>
      </w:r>
      <w:r>
        <w:t xml:space="preserve"> </w:t>
      </w:r>
      <w:r>
        <w:t>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w:t>
      </w:r>
      <w:r>
        <w:t xml:space="preserve"> </w:t>
      </w:r>
      <w:r>
        <w:t>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6">
    <w:p w:rsidR="001F7810" w:rsidRDefault="001F7810">
      <w:pPr>
        <w:pStyle w:val="FootnoteText"/>
      </w:pPr>
      <w:r>
        <w:rPr>
          <w:rStyle w:val="FootnoteReference"/>
        </w:rPr>
        <w:footnoteRef/>
      </w:r>
      <w:r>
        <w:t xml:space="preserve"> </w:t>
      </w:r>
      <w:r w:rsidRPr="001F7810">
        <w:t>Н. Галин, "Как производились переписи населения в СССР", Мюнхен, 1951, стр. 32-34, 36-37</w:t>
      </w:r>
      <w:r>
        <w:t>.</w:t>
      </w:r>
    </w:p>
  </w:footnote>
  <w:footnote w:id="107">
    <w:p w:rsidR="009937FC" w:rsidRPr="009937FC" w:rsidRDefault="009937FC">
      <w:pPr>
        <w:pStyle w:val="FootnoteText"/>
      </w:pPr>
      <w:r>
        <w:rPr>
          <w:rStyle w:val="FootnoteReference"/>
        </w:rPr>
        <w:footnoteRef/>
      </w:r>
      <w:r w:rsidRPr="009937FC">
        <w:t xml:space="preserve"> </w:t>
      </w:r>
      <w:r w:rsidRPr="009937FC">
        <w:t>Е.М. Андреев, Л.Е. Дарский, Т.Л. Харькова, "Людские потери СССР во Второй мировой войне : методика оценки и результаты" // "Людские потери СССР в период второй мировой войны", ИРИ РАН, Гос. архивная служба РФ, С.-Пб, 1995, стр. 37-40</w:t>
      </w:r>
      <w:r>
        <w:t>.</w:t>
      </w:r>
    </w:p>
  </w:footnote>
  <w:footnote w:id="108">
    <w:p w:rsidR="00BD12BE" w:rsidRPr="00BD12BE" w:rsidRDefault="00BD12BE">
      <w:pPr>
        <w:pStyle w:val="FootnoteText"/>
        <w:rPr>
          <w:lang w:val="en-US"/>
        </w:rPr>
      </w:pPr>
      <w:r>
        <w:rPr>
          <w:rStyle w:val="FootnoteReference"/>
        </w:rPr>
        <w:footnoteRef/>
      </w:r>
      <w:r w:rsidRPr="00BD12BE">
        <w:rPr>
          <w:lang w:val="en-US"/>
        </w:rPr>
        <w:t xml:space="preserve"> </w:t>
      </w:r>
      <w:r w:rsidRPr="00BD12BE">
        <w:rPr>
          <w:lang w:val="en-US"/>
        </w:rPr>
        <w:t xml:space="preserve">S. Wheatcroft, “The Great Leap Upwards” // Slavic Review, Spring 1999, </w:t>
      </w:r>
      <w:r w:rsidRPr="00BD12BE">
        <w:t>стр</w:t>
      </w:r>
      <w:r w:rsidRPr="00BD12BE">
        <w:rPr>
          <w:lang w:val="en-US"/>
        </w:rPr>
        <w:t xml:space="preserve">. 28; </w:t>
      </w:r>
      <w:r w:rsidRPr="00BD12BE">
        <w:t>Уиткрофт</w:t>
      </w:r>
      <w:r w:rsidRPr="00BD12BE">
        <w:rPr>
          <w:lang w:val="en-US"/>
        </w:rPr>
        <w:t xml:space="preserve"> </w:t>
      </w:r>
      <w:r w:rsidRPr="00BD12BE">
        <w:t>и</w:t>
      </w:r>
      <w:r w:rsidRPr="00BD12BE">
        <w:rPr>
          <w:lang w:val="en-US"/>
        </w:rPr>
        <w:t xml:space="preserve"> </w:t>
      </w:r>
      <w:r w:rsidRPr="00BD12BE">
        <w:t>Дэвис</w:t>
      </w:r>
      <w:r w:rsidRPr="00BD12BE">
        <w:rPr>
          <w:lang w:val="en-US"/>
        </w:rPr>
        <w:t>, “</w:t>
      </w:r>
      <w:r w:rsidRPr="00BD12BE">
        <w:t>Кризис</w:t>
      </w:r>
      <w:r w:rsidRPr="00BD12BE">
        <w:rPr>
          <w:lang w:val="en-US"/>
        </w:rPr>
        <w:t xml:space="preserve"> </w:t>
      </w:r>
      <w:r w:rsidRPr="00BD12BE">
        <w:t>в</w:t>
      </w:r>
      <w:r w:rsidRPr="00BD12BE">
        <w:rPr>
          <w:lang w:val="en-US"/>
        </w:rPr>
        <w:t xml:space="preserve"> </w:t>
      </w:r>
      <w:r w:rsidRPr="00BD12BE">
        <w:t>советском</w:t>
      </w:r>
      <w:r w:rsidRPr="00BD12BE">
        <w:rPr>
          <w:lang w:val="en-US"/>
        </w:rPr>
        <w:t xml:space="preserve"> </w:t>
      </w:r>
      <w:r w:rsidRPr="00BD12BE">
        <w:t>сельском</w:t>
      </w:r>
      <w:r w:rsidRPr="00BD12BE">
        <w:rPr>
          <w:lang w:val="en-US"/>
        </w:rPr>
        <w:t xml:space="preserve"> </w:t>
      </w:r>
      <w:r w:rsidRPr="00BD12BE">
        <w:t>хозяйстве</w:t>
      </w:r>
      <w:r w:rsidRPr="00BD12BE">
        <w:rPr>
          <w:lang w:val="en-US"/>
        </w:rPr>
        <w:t xml:space="preserve"> (1931-1933 </w:t>
      </w:r>
      <w:r w:rsidRPr="00BD12BE">
        <w:t>гг</w:t>
      </w:r>
      <w:r w:rsidRPr="00BD12BE">
        <w:rPr>
          <w:lang w:val="en-US"/>
        </w:rPr>
        <w:t xml:space="preserve">.) ” // </w:t>
      </w:r>
      <w:r w:rsidRPr="00BD12BE">
        <w:t>Отечественная</w:t>
      </w:r>
      <w:r w:rsidRPr="00BD12BE">
        <w:rPr>
          <w:lang w:val="en-US"/>
        </w:rPr>
        <w:t xml:space="preserve"> </w:t>
      </w:r>
      <w:r w:rsidRPr="00BD12BE">
        <w:t>история</w:t>
      </w:r>
      <w:r w:rsidRPr="00BD12BE">
        <w:rPr>
          <w:lang w:val="en-US"/>
        </w:rPr>
        <w:t xml:space="preserve">, 1998 №6, </w:t>
      </w:r>
      <w:r w:rsidRPr="00BD12BE">
        <w:t>стр</w:t>
      </w:r>
      <w:r w:rsidRPr="00BD12BE">
        <w:rPr>
          <w:lang w:val="en-US"/>
        </w:rPr>
        <w:t xml:space="preserve">. 95-109 </w:t>
      </w:r>
      <w:r w:rsidRPr="00BD12BE">
        <w:t>и</w:t>
      </w:r>
      <w:r w:rsidRPr="00BD12BE">
        <w:rPr>
          <w:lang w:val="en-US"/>
        </w:rPr>
        <w:t xml:space="preserve"> </w:t>
      </w:r>
      <w:r w:rsidRPr="00BD12BE">
        <w:t>далее</w:t>
      </w:r>
      <w:r w:rsidRPr="00BD12BE">
        <w:rPr>
          <w:lang w:val="en-US"/>
        </w:rPr>
        <w:t xml:space="preserve"> </w:t>
      </w:r>
      <w:r w:rsidRPr="00BD12BE">
        <w:t>обсуждение</w:t>
      </w:r>
      <w:r w:rsidRPr="00BD12BE">
        <w:rPr>
          <w:lang w:val="en-US"/>
        </w:rPr>
        <w:t xml:space="preserve"> </w:t>
      </w:r>
      <w:r w:rsidRPr="00BD12BE">
        <w:t>на</w:t>
      </w:r>
      <w:r w:rsidRPr="00BD12BE">
        <w:rPr>
          <w:lang w:val="en-US"/>
        </w:rPr>
        <w:t xml:space="preserve"> </w:t>
      </w:r>
      <w:r w:rsidRPr="00BD12BE">
        <w:t>семинаре</w:t>
      </w:r>
      <w:r w:rsidRPr="00BD12BE">
        <w:rPr>
          <w:lang w:val="en-US"/>
        </w:rPr>
        <w:t xml:space="preserve"> </w:t>
      </w:r>
      <w:r w:rsidRPr="00BD12BE">
        <w:t>в</w:t>
      </w:r>
      <w:r w:rsidRPr="00BD12BE">
        <w:rPr>
          <w:lang w:val="en-US"/>
        </w:rPr>
        <w:t xml:space="preserve"> </w:t>
      </w:r>
      <w:r w:rsidRPr="00BD12BE">
        <w:t>ИРИ</w:t>
      </w:r>
      <w:r w:rsidRPr="00BD12BE">
        <w:rPr>
          <w:lang w:val="en-US"/>
        </w:rPr>
        <w:t xml:space="preserve"> </w:t>
      </w:r>
      <w:r w:rsidRPr="00BD12BE">
        <w:t>РАН</w:t>
      </w:r>
      <w:r w:rsidRPr="00BD12BE">
        <w:rPr>
          <w:lang w:val="en-US"/>
        </w:rPr>
        <w:t xml:space="preserve">, </w:t>
      </w:r>
      <w:r w:rsidRPr="00BD12BE">
        <w:t>стр</w:t>
      </w:r>
      <w:r w:rsidRPr="00BD12BE">
        <w:rPr>
          <w:lang w:val="en-US"/>
        </w:rPr>
        <w:t xml:space="preserve">. 109-132; S. Wheatcroft, R. Davis, "The economic transformation of the Soviet Union, 1913-1945", Cambridge University Press, 1994, </w:t>
      </w:r>
      <w:r w:rsidRPr="00BD12BE">
        <w:t>стр</w:t>
      </w:r>
      <w:r w:rsidRPr="00BD12BE">
        <w:rPr>
          <w:lang w:val="en-US"/>
        </w:rPr>
        <w:t>. 115-116</w:t>
      </w:r>
      <w:r w:rsidRPr="00BD12BE">
        <w:rPr>
          <w:lang w:val="en-US"/>
        </w:rPr>
        <w:t>.</w:t>
      </w:r>
    </w:p>
  </w:footnote>
  <w:footnote w:id="109">
    <w:p w:rsidR="00DC5F48" w:rsidRPr="00DC5F48" w:rsidRDefault="00DC5F48">
      <w:pPr>
        <w:pStyle w:val="FootnoteText"/>
        <w:rPr>
          <w:lang w:val="en-US"/>
        </w:rPr>
      </w:pPr>
      <w:r>
        <w:rPr>
          <w:rStyle w:val="FootnoteReference"/>
        </w:rPr>
        <w:footnoteRef/>
      </w:r>
      <w:r w:rsidRPr="00DC5F48">
        <w:rPr>
          <w:lang w:val="en-US"/>
        </w:rPr>
        <w:t xml:space="preserve"> </w:t>
      </w:r>
      <w:r w:rsidRPr="00DC5F48">
        <w:rPr>
          <w:lang w:val="en-US"/>
        </w:rPr>
        <w:t>https://oboguev.github.io/RTSS/population-projection/images/ussr-lifetable-1938-1939/census-1937-vs-1939.gif</w:t>
      </w:r>
      <w:r w:rsidRPr="00DC5F48">
        <w:rPr>
          <w:lang w:val="en-US"/>
        </w:rPr>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Зам. Начальника Отдела населения и здравоохранения М.В. Курман -- Начальнику ЦУНХУ Кравалю И.А, Докладная записка "О естественном движении населения в период между двумя переписями 17.12.1926 - 6.01.1937 гг." (14.03.1937),</w:t>
      </w:r>
      <w:r w:rsidR="00AD68A1">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3">
    <w:p w:rsidR="00FE5AB0" w:rsidRDefault="00FE5AB0">
      <w:pPr>
        <w:pStyle w:val="FootnoteText"/>
      </w:pPr>
      <w:r>
        <w:rPr>
          <w:rStyle w:val="FootnoteReference"/>
        </w:rPr>
        <w:footnoteRef/>
      </w:r>
      <w:r>
        <w:t xml:space="preserve"> </w:t>
      </w:r>
      <w:r w:rsidRPr="00FE5AB0">
        <w:t>В.Б. Жиромская, "Всесоюзные переписи населения 1926, 1937, 1939 годов : История подготовки и проведения" // История СССР, 1990 №3, стр. 86</w:t>
      </w:r>
      <w:r>
        <w:t>.</w:t>
      </w:r>
    </w:p>
  </w:footnote>
  <w:footnote w:id="114">
    <w:p w:rsidR="00B65E52" w:rsidRDefault="00B65E52">
      <w:pPr>
        <w:pStyle w:val="FootnoteText"/>
      </w:pPr>
      <w:r>
        <w:rPr>
          <w:rStyle w:val="FootnoteReference"/>
        </w:rPr>
        <w:footnoteRef/>
      </w:r>
      <w:r>
        <w:t xml:space="preserve"> </w:t>
      </w:r>
      <w:r w:rsidRPr="00B65E52">
        <w:t>"Население Советского Союза 1922-1991", М. 1993, стр. 44</w:t>
      </w:r>
      <w:r>
        <w:t>.</w:t>
      </w:r>
    </w:p>
  </w:footnote>
  <w:footnote w:id="115">
    <w:p w:rsidR="00EB6BA8" w:rsidRDefault="00EB6BA8">
      <w:pPr>
        <w:pStyle w:val="FootnoteText"/>
      </w:pPr>
      <w:r>
        <w:rPr>
          <w:rStyle w:val="FootnoteReference"/>
        </w:rPr>
        <w:footnoteRef/>
      </w:r>
      <w:r>
        <w:t xml:space="preserve"> </w:t>
      </w:r>
      <w:r w:rsidRPr="00EB6BA8">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7">
    <w:p w:rsidR="00C11C0E" w:rsidRPr="00C11C0E" w:rsidRDefault="00C11C0E">
      <w:pPr>
        <w:pStyle w:val="FootnoteText"/>
      </w:pPr>
      <w:r>
        <w:rPr>
          <w:rStyle w:val="FootnoteReference"/>
        </w:rPr>
        <w:footnoteRef/>
      </w:r>
      <w:r w:rsidRPr="00C11C0E">
        <w:t xml:space="preserve"> </w:t>
      </w:r>
      <w:r w:rsidRPr="00C11C0E">
        <w:t>А.Я. Боярский и др., "Основы демографии", М. : Статистика, 1980, стр. 185; А.Я. Боярский и др., "Курс демографии", М. : Статистика, 1985, стр. 96</w:t>
      </w:r>
      <w:r>
        <w:t>.</w:t>
      </w:r>
    </w:p>
  </w:footnote>
  <w:footnote w:id="118">
    <w:p w:rsidR="00863C93" w:rsidRPr="00863C93" w:rsidRDefault="00863C93">
      <w:pPr>
        <w:pStyle w:val="FootnoteText"/>
        <w:rPr>
          <w:lang w:val="en-US"/>
        </w:rPr>
      </w:pPr>
      <w:r>
        <w:rPr>
          <w:rStyle w:val="FootnoteReference"/>
        </w:rPr>
        <w:footnoteRef/>
      </w:r>
      <w:r w:rsidRPr="00863C93">
        <w:rPr>
          <w:lang w:val="en-US"/>
        </w:rPr>
        <w:t xml:space="preserve"> </w:t>
      </w:r>
      <w:r w:rsidRPr="00863C93">
        <w:t>В</w:t>
      </w:r>
      <w:r w:rsidRPr="00863C93">
        <w:rPr>
          <w:lang w:val="en-US"/>
        </w:rPr>
        <w:t>.</w:t>
      </w:r>
      <w:r w:rsidRPr="00863C93">
        <w:t>Г</w:t>
      </w:r>
      <w:r w:rsidRPr="00863C93">
        <w:rPr>
          <w:lang w:val="en-US"/>
        </w:rPr>
        <w:t xml:space="preserve">. </w:t>
      </w:r>
      <w:r w:rsidRPr="00863C93">
        <w:t>Вишняков</w:t>
      </w:r>
      <w:r w:rsidRPr="00863C93">
        <w:rPr>
          <w:lang w:val="en-US"/>
        </w:rPr>
        <w:t>, "</w:t>
      </w:r>
      <w:r w:rsidRPr="00863C93">
        <w:t>Структура</w:t>
      </w:r>
      <w:r w:rsidRPr="00863C93">
        <w:rPr>
          <w:lang w:val="en-US"/>
        </w:rPr>
        <w:t xml:space="preserve"> </w:t>
      </w:r>
      <w:r w:rsidRPr="00863C93">
        <w:t>и</w:t>
      </w:r>
      <w:r w:rsidRPr="00863C93">
        <w:rPr>
          <w:lang w:val="en-US"/>
        </w:rPr>
        <w:t xml:space="preserve"> </w:t>
      </w:r>
      <w:r w:rsidRPr="00863C93">
        <w:t>штаты</w:t>
      </w:r>
      <w:r w:rsidRPr="00863C93">
        <w:rPr>
          <w:lang w:val="en-US"/>
        </w:rPr>
        <w:t xml:space="preserve"> </w:t>
      </w:r>
      <w:r w:rsidRPr="00863C93">
        <w:t>органов</w:t>
      </w:r>
      <w:r w:rsidRPr="00863C93">
        <w:rPr>
          <w:lang w:val="en-US"/>
        </w:rPr>
        <w:t xml:space="preserve"> </w:t>
      </w:r>
      <w:r w:rsidRPr="00863C93">
        <w:t>советского</w:t>
      </w:r>
      <w:r w:rsidRPr="00863C93">
        <w:rPr>
          <w:lang w:val="en-US"/>
        </w:rPr>
        <w:t xml:space="preserve"> </w:t>
      </w:r>
      <w:r w:rsidRPr="00863C93">
        <w:t>государственного</w:t>
      </w:r>
      <w:r w:rsidRPr="00863C93">
        <w:rPr>
          <w:lang w:val="en-US"/>
        </w:rPr>
        <w:t xml:space="preserve"> </w:t>
      </w:r>
      <w:r w:rsidRPr="00863C93">
        <w:t>управления</w:t>
      </w:r>
      <w:r w:rsidRPr="00863C93">
        <w:rPr>
          <w:lang w:val="en-US"/>
        </w:rPr>
        <w:t xml:space="preserve">", </w:t>
      </w:r>
      <w:r w:rsidRPr="00863C93">
        <w:t>М</w:t>
      </w:r>
      <w:r w:rsidRPr="00863C93">
        <w:rPr>
          <w:lang w:val="en-US"/>
        </w:rPr>
        <w:t xml:space="preserve">. : </w:t>
      </w:r>
      <w:r w:rsidRPr="00863C93">
        <w:t>Наука</w:t>
      </w:r>
      <w:r w:rsidRPr="00863C93">
        <w:rPr>
          <w:lang w:val="en-US"/>
        </w:rPr>
        <w:t xml:space="preserve">, 1972, </w:t>
      </w:r>
      <w:r w:rsidRPr="00863C93">
        <w:t>примечание</w:t>
      </w:r>
      <w:r w:rsidRPr="00863C93">
        <w:rPr>
          <w:lang w:val="en-US"/>
        </w:rPr>
        <w:t xml:space="preserve"> 42, </w:t>
      </w:r>
      <w:r w:rsidRPr="00863C93">
        <w:t>цит</w:t>
      </w:r>
      <w:r w:rsidRPr="00863C93">
        <w:rPr>
          <w:lang w:val="en-US"/>
        </w:rPr>
        <w:t xml:space="preserve">. </w:t>
      </w:r>
      <w:r w:rsidRPr="00863C93">
        <w:t>по</w:t>
      </w:r>
      <w:r w:rsidRPr="00863C93">
        <w:rPr>
          <w:lang w:val="en-US"/>
        </w:rPr>
        <w:t xml:space="preserve"> E. Jones, F. Grupp, "Infant Mortality Trends in the Soviet Union" // Population and Development Review, </w:t>
      </w:r>
      <w:r w:rsidRPr="00863C93">
        <w:t>т</w:t>
      </w:r>
      <w:r w:rsidRPr="00863C93">
        <w:rPr>
          <w:lang w:val="en-US"/>
        </w:rPr>
        <w:t xml:space="preserve">. 9 №2 (June 1983), </w:t>
      </w:r>
      <w:r w:rsidRPr="00863C93">
        <w:t>стр</w:t>
      </w:r>
      <w:r w:rsidRPr="00863C93">
        <w:rPr>
          <w:lang w:val="en-US"/>
        </w:rPr>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274F0"/>
    <w:rsid w:val="000405BE"/>
    <w:rsid w:val="00040AD1"/>
    <w:rsid w:val="00041615"/>
    <w:rsid w:val="0004219C"/>
    <w:rsid w:val="00044003"/>
    <w:rsid w:val="00047C11"/>
    <w:rsid w:val="00050244"/>
    <w:rsid w:val="000566EB"/>
    <w:rsid w:val="000725A9"/>
    <w:rsid w:val="0008209F"/>
    <w:rsid w:val="00084F18"/>
    <w:rsid w:val="00090F83"/>
    <w:rsid w:val="00096086"/>
    <w:rsid w:val="000A0E9A"/>
    <w:rsid w:val="000B0EF8"/>
    <w:rsid w:val="000C3431"/>
    <w:rsid w:val="000C4534"/>
    <w:rsid w:val="000D34CC"/>
    <w:rsid w:val="00101BEF"/>
    <w:rsid w:val="001063B1"/>
    <w:rsid w:val="00111BD2"/>
    <w:rsid w:val="00116A81"/>
    <w:rsid w:val="00121E3B"/>
    <w:rsid w:val="001347D0"/>
    <w:rsid w:val="00141FFE"/>
    <w:rsid w:val="00142341"/>
    <w:rsid w:val="00154449"/>
    <w:rsid w:val="00157B49"/>
    <w:rsid w:val="00162D65"/>
    <w:rsid w:val="00175EA7"/>
    <w:rsid w:val="00176BE8"/>
    <w:rsid w:val="0018648E"/>
    <w:rsid w:val="001930BE"/>
    <w:rsid w:val="00193324"/>
    <w:rsid w:val="0019741A"/>
    <w:rsid w:val="001A1FCB"/>
    <w:rsid w:val="001A21F3"/>
    <w:rsid w:val="001A2D7B"/>
    <w:rsid w:val="001A3885"/>
    <w:rsid w:val="001A3EDA"/>
    <w:rsid w:val="001A608C"/>
    <w:rsid w:val="001B7FE3"/>
    <w:rsid w:val="001D1A54"/>
    <w:rsid w:val="001D1B14"/>
    <w:rsid w:val="001E68B7"/>
    <w:rsid w:val="001F0263"/>
    <w:rsid w:val="001F2A5E"/>
    <w:rsid w:val="001F2D3A"/>
    <w:rsid w:val="001F7810"/>
    <w:rsid w:val="00212638"/>
    <w:rsid w:val="00226012"/>
    <w:rsid w:val="00227F8C"/>
    <w:rsid w:val="00235A97"/>
    <w:rsid w:val="0023612A"/>
    <w:rsid w:val="00236A74"/>
    <w:rsid w:val="002373B6"/>
    <w:rsid w:val="0024304E"/>
    <w:rsid w:val="00243307"/>
    <w:rsid w:val="00246E43"/>
    <w:rsid w:val="002609EC"/>
    <w:rsid w:val="00264693"/>
    <w:rsid w:val="00271C4B"/>
    <w:rsid w:val="002721EC"/>
    <w:rsid w:val="00273BC7"/>
    <w:rsid w:val="00275090"/>
    <w:rsid w:val="00281F09"/>
    <w:rsid w:val="00282CF2"/>
    <w:rsid w:val="00295197"/>
    <w:rsid w:val="002A36A4"/>
    <w:rsid w:val="002A6A46"/>
    <w:rsid w:val="002A7816"/>
    <w:rsid w:val="002C17B5"/>
    <w:rsid w:val="002C51A5"/>
    <w:rsid w:val="002D7336"/>
    <w:rsid w:val="002E01BA"/>
    <w:rsid w:val="002E6E29"/>
    <w:rsid w:val="002F45BB"/>
    <w:rsid w:val="002F6C93"/>
    <w:rsid w:val="00300788"/>
    <w:rsid w:val="0030342B"/>
    <w:rsid w:val="00313507"/>
    <w:rsid w:val="0031401C"/>
    <w:rsid w:val="003218C6"/>
    <w:rsid w:val="00332188"/>
    <w:rsid w:val="0033398F"/>
    <w:rsid w:val="00334C5A"/>
    <w:rsid w:val="003456AB"/>
    <w:rsid w:val="003500D7"/>
    <w:rsid w:val="00355623"/>
    <w:rsid w:val="00365096"/>
    <w:rsid w:val="003659A4"/>
    <w:rsid w:val="00373E6B"/>
    <w:rsid w:val="00393DF7"/>
    <w:rsid w:val="00395347"/>
    <w:rsid w:val="003B10DA"/>
    <w:rsid w:val="003D20C7"/>
    <w:rsid w:val="003D592F"/>
    <w:rsid w:val="003F123E"/>
    <w:rsid w:val="003F681E"/>
    <w:rsid w:val="003F76B4"/>
    <w:rsid w:val="00402B63"/>
    <w:rsid w:val="00410287"/>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214E3"/>
    <w:rsid w:val="00522061"/>
    <w:rsid w:val="00530F89"/>
    <w:rsid w:val="00533E26"/>
    <w:rsid w:val="00545588"/>
    <w:rsid w:val="00550A0C"/>
    <w:rsid w:val="00552A24"/>
    <w:rsid w:val="00570ECE"/>
    <w:rsid w:val="00576F39"/>
    <w:rsid w:val="005809A7"/>
    <w:rsid w:val="00582D1E"/>
    <w:rsid w:val="005945F1"/>
    <w:rsid w:val="005A4BB2"/>
    <w:rsid w:val="005A6DC7"/>
    <w:rsid w:val="005B4FF3"/>
    <w:rsid w:val="005C28DE"/>
    <w:rsid w:val="005C5031"/>
    <w:rsid w:val="005D42F1"/>
    <w:rsid w:val="005D60F7"/>
    <w:rsid w:val="005D629A"/>
    <w:rsid w:val="005D69EB"/>
    <w:rsid w:val="005D6A1E"/>
    <w:rsid w:val="005F2755"/>
    <w:rsid w:val="00601EC7"/>
    <w:rsid w:val="006104A4"/>
    <w:rsid w:val="00620644"/>
    <w:rsid w:val="00621A68"/>
    <w:rsid w:val="00625FC2"/>
    <w:rsid w:val="00626E99"/>
    <w:rsid w:val="0064060E"/>
    <w:rsid w:val="006432A7"/>
    <w:rsid w:val="00645FEE"/>
    <w:rsid w:val="00652757"/>
    <w:rsid w:val="00652CAB"/>
    <w:rsid w:val="00654306"/>
    <w:rsid w:val="006723FA"/>
    <w:rsid w:val="00675A35"/>
    <w:rsid w:val="006850FA"/>
    <w:rsid w:val="00686E7F"/>
    <w:rsid w:val="00692E7B"/>
    <w:rsid w:val="006A0D61"/>
    <w:rsid w:val="006A28B5"/>
    <w:rsid w:val="006B13C8"/>
    <w:rsid w:val="006B3443"/>
    <w:rsid w:val="006B537D"/>
    <w:rsid w:val="006C0971"/>
    <w:rsid w:val="006C3720"/>
    <w:rsid w:val="006C4E06"/>
    <w:rsid w:val="006E318B"/>
    <w:rsid w:val="006E3CE2"/>
    <w:rsid w:val="006F2F03"/>
    <w:rsid w:val="006F594F"/>
    <w:rsid w:val="00702285"/>
    <w:rsid w:val="00707DF2"/>
    <w:rsid w:val="00712366"/>
    <w:rsid w:val="0071317E"/>
    <w:rsid w:val="00714459"/>
    <w:rsid w:val="00723870"/>
    <w:rsid w:val="00726D11"/>
    <w:rsid w:val="007410DC"/>
    <w:rsid w:val="00745991"/>
    <w:rsid w:val="00745B50"/>
    <w:rsid w:val="0075523B"/>
    <w:rsid w:val="007578B9"/>
    <w:rsid w:val="00757B1C"/>
    <w:rsid w:val="007605D5"/>
    <w:rsid w:val="00760907"/>
    <w:rsid w:val="00770C8F"/>
    <w:rsid w:val="0077173F"/>
    <w:rsid w:val="00775561"/>
    <w:rsid w:val="00783072"/>
    <w:rsid w:val="007878B7"/>
    <w:rsid w:val="00791554"/>
    <w:rsid w:val="00794887"/>
    <w:rsid w:val="007960A0"/>
    <w:rsid w:val="007B481E"/>
    <w:rsid w:val="007C5531"/>
    <w:rsid w:val="007C7C18"/>
    <w:rsid w:val="007D0F6D"/>
    <w:rsid w:val="007D47C2"/>
    <w:rsid w:val="007E4367"/>
    <w:rsid w:val="007E4C60"/>
    <w:rsid w:val="007E5249"/>
    <w:rsid w:val="007E7762"/>
    <w:rsid w:val="007F41E3"/>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45522"/>
    <w:rsid w:val="009528C9"/>
    <w:rsid w:val="00954191"/>
    <w:rsid w:val="00957946"/>
    <w:rsid w:val="00963C25"/>
    <w:rsid w:val="009646F7"/>
    <w:rsid w:val="009659E2"/>
    <w:rsid w:val="00970967"/>
    <w:rsid w:val="009772FB"/>
    <w:rsid w:val="009869E8"/>
    <w:rsid w:val="009937FC"/>
    <w:rsid w:val="009A0CA5"/>
    <w:rsid w:val="009A43A4"/>
    <w:rsid w:val="009A6C04"/>
    <w:rsid w:val="009C2731"/>
    <w:rsid w:val="009C438D"/>
    <w:rsid w:val="009E6D15"/>
    <w:rsid w:val="009E6F9E"/>
    <w:rsid w:val="009F2933"/>
    <w:rsid w:val="009F3637"/>
    <w:rsid w:val="00A01A2F"/>
    <w:rsid w:val="00A070B8"/>
    <w:rsid w:val="00A07B7C"/>
    <w:rsid w:val="00A13517"/>
    <w:rsid w:val="00A20F11"/>
    <w:rsid w:val="00A32F34"/>
    <w:rsid w:val="00A41FCE"/>
    <w:rsid w:val="00A50494"/>
    <w:rsid w:val="00A50983"/>
    <w:rsid w:val="00A575FB"/>
    <w:rsid w:val="00A64334"/>
    <w:rsid w:val="00A64B72"/>
    <w:rsid w:val="00A72D6F"/>
    <w:rsid w:val="00A745DD"/>
    <w:rsid w:val="00A7475E"/>
    <w:rsid w:val="00A90E5C"/>
    <w:rsid w:val="00A93ECB"/>
    <w:rsid w:val="00AA1983"/>
    <w:rsid w:val="00AA4E23"/>
    <w:rsid w:val="00AA6FB0"/>
    <w:rsid w:val="00AB057A"/>
    <w:rsid w:val="00AC1D39"/>
    <w:rsid w:val="00AC2445"/>
    <w:rsid w:val="00AC5585"/>
    <w:rsid w:val="00AC7630"/>
    <w:rsid w:val="00AD68A1"/>
    <w:rsid w:val="00AE2534"/>
    <w:rsid w:val="00AF0E43"/>
    <w:rsid w:val="00AF211E"/>
    <w:rsid w:val="00AF7463"/>
    <w:rsid w:val="00B051ED"/>
    <w:rsid w:val="00B11568"/>
    <w:rsid w:val="00B20DF7"/>
    <w:rsid w:val="00B230F7"/>
    <w:rsid w:val="00B3150A"/>
    <w:rsid w:val="00B52089"/>
    <w:rsid w:val="00B52B1C"/>
    <w:rsid w:val="00B579FE"/>
    <w:rsid w:val="00B62005"/>
    <w:rsid w:val="00B65E52"/>
    <w:rsid w:val="00B65E60"/>
    <w:rsid w:val="00B77FA8"/>
    <w:rsid w:val="00BA7A9A"/>
    <w:rsid w:val="00BB53A2"/>
    <w:rsid w:val="00BB7E41"/>
    <w:rsid w:val="00BC4DB5"/>
    <w:rsid w:val="00BC6BA4"/>
    <w:rsid w:val="00BD12BE"/>
    <w:rsid w:val="00BD1C53"/>
    <w:rsid w:val="00BD44F2"/>
    <w:rsid w:val="00BD5B50"/>
    <w:rsid w:val="00BD73AF"/>
    <w:rsid w:val="00BE1CB7"/>
    <w:rsid w:val="00BE37A0"/>
    <w:rsid w:val="00BE7278"/>
    <w:rsid w:val="00BF02C2"/>
    <w:rsid w:val="00BF103A"/>
    <w:rsid w:val="00BF1436"/>
    <w:rsid w:val="00C11C0E"/>
    <w:rsid w:val="00C17379"/>
    <w:rsid w:val="00C204BC"/>
    <w:rsid w:val="00C2225D"/>
    <w:rsid w:val="00C33201"/>
    <w:rsid w:val="00C40F53"/>
    <w:rsid w:val="00C62529"/>
    <w:rsid w:val="00C67779"/>
    <w:rsid w:val="00C72BF3"/>
    <w:rsid w:val="00C840C7"/>
    <w:rsid w:val="00C86BD0"/>
    <w:rsid w:val="00C870AF"/>
    <w:rsid w:val="00C97A0A"/>
    <w:rsid w:val="00CB7AC9"/>
    <w:rsid w:val="00CC6B1C"/>
    <w:rsid w:val="00CD0824"/>
    <w:rsid w:val="00CD31C3"/>
    <w:rsid w:val="00CD7BED"/>
    <w:rsid w:val="00CE6653"/>
    <w:rsid w:val="00CF33F8"/>
    <w:rsid w:val="00CF58CE"/>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4697"/>
    <w:rsid w:val="00D802C0"/>
    <w:rsid w:val="00DA014D"/>
    <w:rsid w:val="00DB0B41"/>
    <w:rsid w:val="00DC22A5"/>
    <w:rsid w:val="00DC5F48"/>
    <w:rsid w:val="00DD1738"/>
    <w:rsid w:val="00DE2904"/>
    <w:rsid w:val="00DE6120"/>
    <w:rsid w:val="00DF004D"/>
    <w:rsid w:val="00DF310E"/>
    <w:rsid w:val="00E05384"/>
    <w:rsid w:val="00E223BE"/>
    <w:rsid w:val="00E31FE2"/>
    <w:rsid w:val="00E33F0F"/>
    <w:rsid w:val="00E35951"/>
    <w:rsid w:val="00E440D9"/>
    <w:rsid w:val="00E479CD"/>
    <w:rsid w:val="00E6458C"/>
    <w:rsid w:val="00E65229"/>
    <w:rsid w:val="00E66D9C"/>
    <w:rsid w:val="00E76E6A"/>
    <w:rsid w:val="00E82E34"/>
    <w:rsid w:val="00E84836"/>
    <w:rsid w:val="00E92785"/>
    <w:rsid w:val="00E92F8C"/>
    <w:rsid w:val="00E933A6"/>
    <w:rsid w:val="00E95190"/>
    <w:rsid w:val="00EA0165"/>
    <w:rsid w:val="00EA5525"/>
    <w:rsid w:val="00EA5657"/>
    <w:rsid w:val="00EB0FAE"/>
    <w:rsid w:val="00EB617F"/>
    <w:rsid w:val="00EB6BA8"/>
    <w:rsid w:val="00EC2988"/>
    <w:rsid w:val="00EC5126"/>
    <w:rsid w:val="00ED400C"/>
    <w:rsid w:val="00ED483F"/>
    <w:rsid w:val="00EE05E0"/>
    <w:rsid w:val="00EE112F"/>
    <w:rsid w:val="00EE18AB"/>
    <w:rsid w:val="00EE1F50"/>
    <w:rsid w:val="00EE4EA0"/>
    <w:rsid w:val="00EE6169"/>
    <w:rsid w:val="00EF39F9"/>
    <w:rsid w:val="00EF3DDB"/>
    <w:rsid w:val="00EF6E72"/>
    <w:rsid w:val="00F046A1"/>
    <w:rsid w:val="00F14263"/>
    <w:rsid w:val="00F16E3C"/>
    <w:rsid w:val="00F2761C"/>
    <w:rsid w:val="00F33AF9"/>
    <w:rsid w:val="00F37B38"/>
    <w:rsid w:val="00F444C3"/>
    <w:rsid w:val="00F44CA1"/>
    <w:rsid w:val="00F64E1D"/>
    <w:rsid w:val="00F70524"/>
    <w:rsid w:val="00F77540"/>
    <w:rsid w:val="00F8067B"/>
    <w:rsid w:val="00F90212"/>
    <w:rsid w:val="00F94C3B"/>
    <w:rsid w:val="00F957ED"/>
    <w:rsid w:val="00FA3B0B"/>
    <w:rsid w:val="00FB3D76"/>
    <w:rsid w:val="00FC6957"/>
    <w:rsid w:val="00FD7818"/>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gif"/><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image" Target="media/image8.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divergence-from-1939-census.gi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5" Type="http://schemas.openxmlformats.org/officeDocument/2006/relationships/image" Target="media/image7.gif"/><Relationship Id="rId10" Type="http://schemas.openxmlformats.org/officeDocument/2006/relationships/image" Target="media/image3.gi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file:///F:\WINAPPS\SLOVO\UKR\github\RTSS\population-projection\images\ussr-lifetable-1938-1939\census-1937-vs-1939.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7F7E1-E2E1-45A1-8BB5-BCD8F3AD2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134</Pages>
  <Words>44995</Words>
  <Characters>256474</Characters>
  <Application>Microsoft Office Word</Application>
  <DocSecurity>0</DocSecurity>
  <Lines>2137</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411</cp:revision>
  <dcterms:created xsi:type="dcterms:W3CDTF">2026-03-18T16:13:00Z</dcterms:created>
  <dcterms:modified xsi:type="dcterms:W3CDTF">2026-03-19T18:39:00Z</dcterms:modified>
</cp:coreProperties>
</file>