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0D1B3D"/>
          <w:sz w:val="38"/>
          <w:szCs w:val="38"/>
        </w:rPr>
        <w:t xml:space="preserve">CLIENT SERVICE AGREEMENT</w:t>
      </w:r>
    </w:p>
    <w:p>
      <w:pPr>
        <w:spacing w:after="400"/>
        <w:jc w:val="center"/>
      </w:pPr>
      <w:r>
        <w:rPr>
          <w:color w:val="6C757D"/>
          <w:sz w:val="22"/>
          <w:szCs w:val="22"/>
        </w:rPr>
        <w:t xml:space="preserve">BETWEEN
</w:t>
      </w:r>
      <w:r>
        <w:rPr>
          <w:b/>
          <w:bCs/>
          <w:color w:val="0D1B3D"/>
          <w:sz w:val="26"/>
          <w:szCs w:val="26"/>
        </w:rPr>
        <w:t xml:space="preserve">ANCHOR SOFTWARE LTD
</w:t>
      </w:r>
      <w:r>
        <w:rPr>
          <w:color w:val="6C757D"/>
          <w:sz w:val="20"/>
          <w:szCs w:val="20"/>
        </w:rPr>
        <w:t xml:space="preserve">(RC Number: 1888102)
AND
</w:t>
      </w:r>
      <w:r>
        <w:rPr>
          <w:b/>
          <w:bCs/>
          <w:color w:val="0052FF"/>
          <w:sz w:val="26"/>
          <w:szCs w:val="26"/>
        </w:rPr>
        <w:t xml:space="preserve">JOSSY DIGITAL TECHNOLOGIES LTD
</w:t>
      </w:r>
      <w:r>
        <w:rPr>
          <w:b/>
          <w:bCs/>
          <w:color w:val="6C757D"/>
          <w:sz w:val="20"/>
          <w:szCs w:val="20"/>
        </w:rPr>
        <w:t xml:space="preserve">(RC Number: 9586407  |  Trading as NoteStandard)</w:t>
      </w:r>
    </w:p>
    <w:p>
      <w:pPr>
        <w:spacing w:after="400" w:before="300"/>
        <w:jc w:val="center"/>
      </w:pPr>
      <w:r>
        <w:rPr>
          <w:b/>
          <w:bCs/>
          <w:sz w:val="22"/>
          <w:szCs w:val="22"/>
        </w:rPr>
        <w:t xml:space="preserve">DATED THIS 28TH DAY OF JULY 2026</w:t>
      </w:r>
    </w:p>
    <w:p>
      <w:pPr>
        <w:pStyle w:val="Heading1"/>
      </w:pPr>
      <w:r>
        <w:t xml:space="preserve">TABLE OF CONTENTS</w:t>
      </w:r>
    </w:p>
    <w:sdt>
      <w:sdtPr>
        <w:alias w:val="Summary Table of Contents"/>
      </w:sdtPr>
      <w:sdtContent>
        <w:p>
          <w:r>
            <w:fldChar w:fldCharType="begin" w:dirty="true"/>
            <w:instrText xml:space="preserve">TOC \h \o "1-2"</w:instrText>
            <w:fldChar w:fldCharType="separate"/>
          </w:r>
        </w:p>
        <w:p>
          <w:r>
            <w:fldChar w:fldCharType="end"/>
          </w:r>
        </w:p>
      </w:sdtContent>
    </w:sdt>
    <w:p>
      <w:pPr>
        <w:spacing w:after="300"/>
      </w:pPr>
      <w:r>
        <w:t xml:space="preserve"/>
      </w:r>
    </w:p>
    <w:p>
      <w:pPr>
        <w:pStyle w:val="Heading1"/>
      </w:pPr>
      <w:r>
        <w:t xml:space="preserve">PREAMBLE &amp; RECITALS</w:t>
      </w:r>
    </w:p>
    <w:p>
      <w:pPr>
        <w:spacing w:after="120" w:before="120"/>
        <w:jc w:val="both"/>
      </w:pPr>
      <w:r>
        <w:rPr>
          <w:sz w:val="24"/>
          <w:szCs w:val="24"/>
        </w:rPr>
        <w:t xml:space="preserve">This Client Service Agreement ("Agreement") is made this </w:t>
      </w:r>
      <w:r>
        <w:rPr>
          <w:b/>
          <w:bCs/>
          <w:sz w:val="24"/>
          <w:szCs w:val="24"/>
        </w:rPr>
        <w:t xml:space="preserve">28th day of July 2026</w:t>
      </w:r>
      <w:r>
        <w:rPr>
          <w:sz w:val="24"/>
          <w:szCs w:val="24"/>
        </w:rPr>
        <w:t xml:space="preserve">.
</w:t>
      </w:r>
      <w:r>
        <w:rPr>
          <w:b/>
          <w:bCs/>
          <w:sz w:val="24"/>
          <w:szCs w:val="24"/>
        </w:rPr>
        <w:t xml:space="preserve">BETWEEN:
</w:t>
      </w:r>
      <w:r>
        <w:rPr>
          <w:sz w:val="24"/>
          <w:szCs w:val="24"/>
        </w:rPr>
        <w:t xml:space="preserve">1. ANCHOR SOFTWARE LTD, a limited liability company, duly incorporated under the laws of the Federal Republic of Nigeria, with RC Number: 1888102 and with its registered address at D310, Safe Court Apartments 19, Ojulari Street, Ikate-Lekki, Lagos (where the context so admits includes its assigns and successors) ("Anchor");
</w:t>
      </w:r>
      <w:r>
        <w:rPr>
          <w:b/>
          <w:bCs/>
          <w:sz w:val="24"/>
          <w:szCs w:val="24"/>
        </w:rPr>
        <w:t xml:space="preserve">AND:
</w:t>
      </w:r>
      <w:r>
        <w:rPr>
          <w:sz w:val="24"/>
          <w:szCs w:val="24"/>
        </w:rPr>
        <w:t xml:space="preserve">2. JOSSY DIGITAL TECHNOLOGIES LTD, RC: 9586407, a Nigerian technology company operating the NoteStandard platform, having its registered office at 10 Winnie Okia Street, Effurun, Delta State, Nigeria (where the context so admits includes its assigns and successors) ("the Client").</w:t>
      </w:r>
    </w:p>
    <w:p>
      <w:pPr>
        <w:pStyle w:val="Heading1"/>
      </w:pPr>
      <w:r>
        <w:t xml:space="preserve">BACKGROUND</w:t>
      </w:r>
    </w:p>
    <w:p>
      <w:pPr>
        <w:jc w:val="both"/>
      </w:pPr>
      <w:r>
        <w:rPr>
          <w:sz w:val="24"/>
          <w:szCs w:val="24"/>
        </w:rPr>
        <w:t xml:space="preserve">1. Anchor is a financial technology company that engages in the business of providing technological and end-to-end business solutions, in facilitating the provision of diverse financial services through its banking partners, to corporate clients;
</w:t>
      </w:r>
      <w:r>
        <w:rPr>
          <w:sz w:val="24"/>
          <w:szCs w:val="24"/>
        </w:rPr>
        <w:t xml:space="preserve">2. The Client is a Nigerian software technology company that provides digital collaboration software, productivity solutions, Banking-as-a-Service integrations, embedded finance, virtual accounts, treasury management, payment collection, cross-border payments, stablecoin settlement infrastructure, and financial technology services;
</w:t>
      </w:r>
      <w:r>
        <w:rPr>
          <w:sz w:val="24"/>
          <w:szCs w:val="24"/>
        </w:rPr>
        <w:t xml:space="preserve">3. The Client is desirous of engaging the services of Anchor through its application programming interfaces for the provision of the Subscribed Services to its end users.
The parties agree as follows:</w:t>
      </w:r>
    </w:p>
    <w:p>
      <w:pPr>
        <w:pStyle w:val="Heading1"/>
      </w:pPr>
      <w:r>
        <w:t xml:space="preserve">1. DEFINITION, INTERPRETATION, AND INCORPORATION BY REFERENCE</w:t>
      </w:r>
    </w:p>
    <w:p>
      <w:pPr>
        <w:pStyle w:val="Heading2"/>
      </w:pPr>
      <w:r>
        <w:t xml:space="preserve">1.1. Definition</w:t>
      </w:r>
    </w:p>
    <w:p>
      <w:pPr>
        <w:jc w:val="both"/>
      </w:pPr>
      <w:r>
        <w:rPr>
          <w:sz w:val="24"/>
          <w:szCs w:val="24"/>
        </w:rPr>
        <w:t xml:space="preserve">In this Agreement, unless the context otherwise requires, the following words and expressions shall have the meanings assigned to them:
</w:t>
      </w:r>
      <w:r>
        <w:rPr>
          <w:sz w:val="24"/>
          <w:szCs w:val="24"/>
        </w:rPr>
        <w:t xml:space="preserve">1.1.1. Agreement means this Client Service Agreement and all Schedules contained within it;
</w:t>
      </w:r>
      <w:r>
        <w:rPr>
          <w:sz w:val="24"/>
          <w:szCs w:val="24"/>
        </w:rPr>
        <w:t xml:space="preserve">1.1.2. API means application programming interface;
</w:t>
      </w:r>
      <w:r>
        <w:rPr>
          <w:sz w:val="24"/>
          <w:szCs w:val="24"/>
        </w:rPr>
        <w:t xml:space="preserve">1.1.3. Applicable Fees means such charges or fees that may be levied by Anchor from time to time on the Client for the provision of the Service to the Client;
</w:t>
      </w:r>
      <w:r>
        <w:rPr>
          <w:sz w:val="24"/>
          <w:szCs w:val="24"/>
        </w:rPr>
        <w:t xml:space="preserve">1.1.4. Applicable Law means all laws, regulations, directives issued by a regulatory authority which is applicable to the subject matter of this Agreement, any party to this transaction or to the obligation of any party to this Agreement;
</w:t>
      </w:r>
      <w:r>
        <w:rPr>
          <w:sz w:val="24"/>
          <w:szCs w:val="24"/>
        </w:rPr>
        <w:t xml:space="preserve">1.1.5. Business Day means everyday other than Sundays and Saturdays provided that such days are not public holidays;
</w:t>
      </w:r>
      <w:r>
        <w:rPr>
          <w:sz w:val="24"/>
          <w:szCs w:val="24"/>
        </w:rPr>
        <w:t xml:space="preserve">1.1.6. Calendar Days means each day shown on the calendar beginning at 12:00 midnight including Saturdays and Sundays;
</w:t>
      </w:r>
      <w:r>
        <w:rPr>
          <w:sz w:val="24"/>
          <w:szCs w:val="24"/>
        </w:rPr>
        <w:t xml:space="preserve">1.1.7. Confidential Information means any information disclosed in a manner which clearly indicates the confidential nature, or which in the absence of such indication would appear to a reasonable person to be confidential or proprietary;
</w:t>
      </w:r>
      <w:r>
        <w:rPr>
          <w:sz w:val="24"/>
          <w:szCs w:val="24"/>
        </w:rPr>
        <w:t xml:space="preserve">1.1.8. Customer means the Client’s customer, or users;
</w:t>
      </w:r>
      <w:r>
        <w:rPr>
          <w:sz w:val="24"/>
          <w:szCs w:val="24"/>
        </w:rPr>
        <w:t xml:space="preserve">1.1.9. Data Controller means the entity acting alone or jointly with others, to determine the purposes and the means of the processing of Personal Data;
</w:t>
      </w:r>
      <w:r>
        <w:rPr>
          <w:sz w:val="24"/>
          <w:szCs w:val="24"/>
        </w:rPr>
        <w:t xml:space="preserve">1.1.10. Data Processor means the entity that processes Personal Data on behalf of a Data Controller. Provided that the Data Controller is a Data Processor when it processes Personal Data;
</w:t>
      </w:r>
      <w:r>
        <w:rPr>
          <w:sz w:val="24"/>
          <w:szCs w:val="24"/>
        </w:rPr>
        <w:t xml:space="preserve">1.1.11. Data Subject means the Customer (as defined under this clause) or such other person whose data are processed in accordance with this Agreement;
</w:t>
      </w:r>
      <w:r>
        <w:rPr>
          <w:sz w:val="24"/>
          <w:szCs w:val="24"/>
        </w:rPr>
        <w:t xml:space="preserve">1.1.12. Disclosing Party means the party who possesses the Confidential Information and who is making it available to the Recipient;
</w:t>
      </w:r>
      <w:r>
        <w:rPr>
          <w:sz w:val="24"/>
          <w:szCs w:val="24"/>
        </w:rPr>
        <w:t xml:space="preserve">1.1.13. Effective Date means the date of the execution of this Agreement by the last signing party (28 July 2026);
</w:t>
      </w:r>
      <w:r>
        <w:rPr>
          <w:sz w:val="24"/>
          <w:szCs w:val="24"/>
        </w:rPr>
        <w:t xml:space="preserve">1.1.14. Industry Standards means guidelines or regulations which are issued from time to time by the Central Bank of Nigeria ("CBN") or other regulatory authorities with powers over the nature of the transaction concluded in accordance with this Agreement;
</w:t>
      </w:r>
      <w:r>
        <w:rPr>
          <w:sz w:val="24"/>
          <w:szCs w:val="24"/>
        </w:rPr>
        <w:t xml:space="preserve">1.1.15. Initial Term means the first twelve (12) months of the subsistence of this Agreement as contained in Clause 2;
</w:t>
      </w:r>
      <w:r>
        <w:rPr>
          <w:sz w:val="24"/>
          <w:szCs w:val="24"/>
        </w:rPr>
        <w:t xml:space="preserve">1.1.16. Intellectual Property means copyright and related rights, trademarks, trade secrets, trade names and domain names, right to inventions, goodwill, right to sue for passing off, rights in designs, rights in computer software, rights in topography, right to preserve the confidentiality of information, whether registered or unregistered;
</w:t>
      </w:r>
      <w:r>
        <w:rPr>
          <w:sz w:val="24"/>
          <w:szCs w:val="24"/>
        </w:rPr>
        <w:t xml:space="preserve">1.1.17. Notice Period means the 30 Business Days given by either Party indicating the Party’s desire to terminate this Agreement;
</w:t>
      </w:r>
      <w:r>
        <w:rPr>
          <w:sz w:val="24"/>
          <w:szCs w:val="24"/>
        </w:rPr>
        <w:t xml:space="preserve">1.1.18. Permissible Use means the use of the Services in accordance with this Agreement;
</w:t>
      </w:r>
      <w:r>
        <w:rPr>
          <w:sz w:val="24"/>
          <w:szCs w:val="24"/>
        </w:rPr>
        <w:t xml:space="preserve">1.1.19. Personal Data means any information relating to an identified or identifiable natural person or Data Subject under Applicable Law;
</w:t>
      </w:r>
      <w:r>
        <w:rPr>
          <w:sz w:val="24"/>
          <w:szCs w:val="24"/>
        </w:rPr>
        <w:t xml:space="preserve">1.1.20. Recipient means the person who receives the Confidential Information from the Disclosing Party;
</w:t>
      </w:r>
      <w:r>
        <w:rPr>
          <w:sz w:val="24"/>
          <w:szCs w:val="24"/>
        </w:rPr>
        <w:t xml:space="preserve">1.1.21. Restricted Business means such businesses identified to be restricted or outside Anchor’s acceptable use policy from time to time and includes sanctioned persons or entities identified by OFAC, FATF, etc.;
</w:t>
      </w:r>
      <w:r>
        <w:rPr>
          <w:sz w:val="24"/>
          <w:szCs w:val="24"/>
        </w:rPr>
        <w:t xml:space="preserve">1.1.22. Run off Period means a period of six (6) months after the Notice Period;
</w:t>
      </w:r>
      <w:r>
        <w:rPr>
          <w:sz w:val="24"/>
          <w:szCs w:val="24"/>
        </w:rPr>
        <w:t xml:space="preserve">1.1.23. Service means the service provided by Anchor under this Agreement including APIs/Software for Banking-as-a-Service;
</w:t>
      </w:r>
      <w:r>
        <w:rPr>
          <w:sz w:val="24"/>
          <w:szCs w:val="24"/>
        </w:rPr>
        <w:t xml:space="preserve">1.1.24. Software means Anchor’s program and database that integrates with strategic partners to facilitate the Services;
</w:t>
      </w:r>
      <w:r>
        <w:rPr>
          <w:sz w:val="24"/>
          <w:szCs w:val="24"/>
        </w:rPr>
        <w:t xml:space="preserve">1.1.25. Subscribed Services means the services signed up for under Schedule A;
</w:t>
      </w:r>
      <w:r>
        <w:rPr>
          <w:sz w:val="24"/>
          <w:szCs w:val="24"/>
        </w:rPr>
        <w:t xml:space="preserve">1.1.26. Transaction Data means data acquired from the use of the service provided under this Agreement.</w:t>
      </w:r>
    </w:p>
    <w:p>
      <w:pPr>
        <w:pStyle w:val="Heading2"/>
      </w:pPr>
      <w:r>
        <w:t xml:space="preserve">1.2. Interpretation</w:t>
      </w:r>
    </w:p>
    <w:p>
      <w:pPr>
        <w:jc w:val="both"/>
      </w:pPr>
      <w:r>
        <w:rPr>
          <w:sz w:val="24"/>
          <w:szCs w:val="24"/>
        </w:rPr>
        <w:t xml:space="preserve">1.2.1. A person includes natural persons, firms and corporations and other organisations with legal personality;
1.2.2. Words in the singular include the plural and vice versa, and words importing one gender include all genders;
1.2.3. An account means any account and any sub-account of that account;
1.2.4. The words "including" and "in particular" shall be deemed to be followed by "but not limited to".</w:t>
      </w:r>
    </w:p>
    <w:p>
      <w:pPr>
        <w:pStyle w:val="Heading2"/>
      </w:pPr>
      <w:r>
        <w:t xml:space="preserve">1.3. Incorporation by Reference</w:t>
      </w:r>
    </w:p>
    <w:p>
      <w:pPr>
        <w:jc w:val="both"/>
      </w:pPr>
      <w:r>
        <w:rPr>
          <w:sz w:val="24"/>
          <w:szCs w:val="24"/>
        </w:rPr>
        <w:t xml:space="preserve">1.3.1. All terms, provisions, and conditions in terms, conditions, policies, and notices on Anchor's website are incorporated into this Agreement.
1.3.2. Where substantial changes occur, notice shall be provided on Anchor's website.
1.3.3. Both website terms and this Agreement shall be construed as one and the same Agreement.</w:t>
      </w:r>
    </w:p>
    <w:p>
      <w:pPr>
        <w:pStyle w:val="Heading1"/>
      </w:pPr>
      <w:r>
        <w:t xml:space="preserve">2. DURATION</w:t>
      </w:r>
    </w:p>
    <w:p>
      <w:pPr>
        <w:jc w:val="both"/>
      </w:pPr>
      <w:r>
        <w:t xml:space="preserve">2.1.1. Initial Term: This Agreement commences on the Effective Date for twelve (12) months.
2.1.2. Automatic Renewal: Automatically renewed upon expiration of Initial Term for successive twelve (12) month periods unless terminated in accordance with this Agreement.</w:t>
      </w:r>
    </w:p>
    <w:p>
      <w:pPr>
        <w:pStyle w:val="Heading1"/>
      </w:pPr>
      <w:r>
        <w:t xml:space="preserve">3. BANKING AS A SERVICE</w:t>
      </w:r>
    </w:p>
    <w:p>
      <w:pPr>
        <w:jc w:val="both"/>
      </w:pPr>
      <w:r>
        <w:t xml:space="preserve">3.1. Anchor shall integrate with licensed financial institutions to provide full banking suites to the Client as indicated in Schedule A.
3.2. Obligations governed by terms of Agreement and all attached schedules.</w:t>
      </w:r>
    </w:p>
    <w:p>
      <w:pPr>
        <w:pStyle w:val="Heading1"/>
      </w:pPr>
      <w:r>
        <w:t xml:space="preserve">4. ANCHOR OBLIGATIONS</w:t>
      </w:r>
    </w:p>
    <w:p>
      <w:pPr>
        <w:jc w:val="both"/>
      </w:pPr>
      <w:r>
        <w:t xml:space="preserve">4.1. Licenses &amp; Permits: Anchor maintains all required permits/licenses.
4.2. Software: Anchor provides API and Software. Material changes announced at least three (3) days in advance where reasonably possible.
4.3. Account Support: Seamless technical specs, 24/7 service availability, and communication channels for inquiries.
4.4. Disclosures &amp; Security: Data processed under relevant data protection laws; 72-hour notice provided for any lawful account suspension.</w:t>
      </w:r>
    </w:p>
    <w:p>
      <w:pPr>
        <w:pStyle w:val="Heading1"/>
      </w:pPr>
      <w:r>
        <w:t xml:space="preserve">5. CLIENT OBLIGATIONS</w:t>
      </w:r>
    </w:p>
    <w:p>
      <w:pPr>
        <w:jc w:val="both"/>
      </w:pPr>
      <w:r>
        <w:t xml:space="preserve">5.1. Permissible Use: Client agrees to use Service only in manner allowed by Agreement. Prohibits Restricted Businesses, illegal transactions, or system overloading.
5.2. Customer Due Diligence (KYC/CDD): Client is solely responsible for carrying out KYC/CDD procedures on end-users (BVN/NIN validation) in compliance with AML/CFT/CPF regulations and providing KYC docs to Anchor upon request.
5.3. Risk Management Controls: Client implements geographic restrictions, 2-factor authentication, encryption, and immediate security breach notifications.
5.4. Payment of Charges: Prompt payment of fees is the essence of Agreement.</w:t>
      </w:r>
    </w:p>
    <w:p>
      <w:pPr>
        <w:pStyle w:val="Heading1"/>
      </w:pPr>
      <w:r>
        <w:t xml:space="preserve">6. COMPLIANCE</w:t>
      </w:r>
    </w:p>
    <w:p>
      <w:pPr>
        <w:jc w:val="both"/>
      </w:pPr>
      <w:r>
        <w:t xml:space="preserve">6.1. Client warrants compliance with all Applicable Laws, CBN directives, NDPA, AML/CFT/CPF regulations, anti-bribery policies, and Anchor's compliance policies.</w:t>
      </w:r>
    </w:p>
    <w:p>
      <w:pPr>
        <w:pStyle w:val="Heading1"/>
      </w:pPr>
      <w:r>
        <w:t xml:space="preserve">7. PAYMENT COLLECTION SERVICES</w:t>
      </w:r>
    </w:p>
    <w:p>
      <w:pPr>
        <w:jc w:val="both"/>
      </w:pPr>
      <w:r>
        <w:t xml:space="preserve">7.1. Onboarding Requirement: Client maintains settlement account for payment processing and carries out CDD on all customers.
7.2. Settlement Timeline: Anchor credits Client's settlement account net of transaction fees within one (1) Business Day (T+1).
7.3. Withholding Rights &amp; Regulatory Inquiries: Anchor retains right to withhold payments associated with fraud/illegal activity. Client reimburses reasonable investigation and legal costs.
7.4. Reconciliation: Real-time dashboard reconciliation; discrepancies must be communicated within 30 days of occurrence.
7.5. Non-Refundable Fees: Transaction charges are non-refundable regardless of chargebacks, disputes, or reversals.</w:t>
      </w:r>
    </w:p>
    <w:p>
      <w:pPr>
        <w:pStyle w:val="Heading1"/>
      </w:pPr>
      <w:r>
        <w:t xml:space="preserve">8. DATA PROTECTION (NDPA / GDPR)</w:t>
      </w:r>
    </w:p>
    <w:p>
      <w:pPr>
        <w:jc w:val="both"/>
      </w:pPr>
      <w:r>
        <w:t xml:space="preserve">8.1. Client acts as Data Controller under the Nigeria Data Protection Act (NDPA 2023). Both parties implement administrative and technical safeguards. Client ensures valid Data Subject consent.</w:t>
      </w:r>
    </w:p>
    <w:p>
      <w:pPr>
        <w:pStyle w:val="Heading1"/>
      </w:pPr>
      <w:r>
        <w:t xml:space="preserve">9. OTHER REPORTING OBLIGATIONS</w:t>
      </w:r>
    </w:p>
    <w:p>
      <w:pPr>
        <w:jc w:val="both"/>
      </w:pPr>
      <w:r>
        <w:t xml:space="preserve">9.1. Dormant Accounts: Accounts inactive for 12 continuous months administered per CBN Dormant Account Guidelines.</w:t>
      </w:r>
    </w:p>
    <w:p>
      <w:pPr>
        <w:pStyle w:val="Heading1"/>
      </w:pPr>
      <w:r>
        <w:t xml:space="preserve">10. OWNERSHIP OF CUSTOMER</w:t>
      </w:r>
    </w:p>
    <w:p>
      <w:pPr>
        <w:jc w:val="both"/>
      </w:pPr>
      <w:r>
        <w:t xml:space="preserve">10.1. Onboarded users remain solely customers of the Client. Anchor holds no direct contract with end-users except for regulatory compliance matters.</w:t>
      </w:r>
    </w:p>
    <w:p>
      <w:pPr>
        <w:pStyle w:val="Heading1"/>
      </w:pPr>
      <w:r>
        <w:t xml:space="preserve">11. TAXATION &amp; THIRD-PARTY CONTRACTS</w:t>
      </w:r>
    </w:p>
    <w:p>
      <w:pPr>
        <w:jc w:val="both"/>
      </w:pPr>
      <w:r>
        <w:t xml:space="preserve">11.1. Client is responsible for tax collections/remittances. Subcontracts affecting operations require Anchor's express written consent.</w:t>
      </w:r>
    </w:p>
    <w:p>
      <w:pPr>
        <w:pStyle w:val="Heading1"/>
      </w:pPr>
      <w:r>
        <w:t xml:space="preserve">13. INTELLECTUAL PROPERTY &amp; CONFIDENTIALITY</w:t>
      </w:r>
    </w:p>
    <w:p>
      <w:pPr>
        <w:jc w:val="both"/>
      </w:pPr>
      <w:r>
        <w:t xml:space="preserve">13.1. Software License: Revocable, non-exclusive, non-transferable, royalty-free limited license to access Anchor APIs.
15.1. Confidentiality: Confidentiality obligations survive termination for 3 years (indefinitely for trade secrets).</w:t>
      </w:r>
    </w:p>
    <w:p>
      <w:pPr>
        <w:pStyle w:val="Heading1"/>
      </w:pPr>
      <w:r>
        <w:t xml:space="preserve">17. REPRESENTATIONS, WARRANTIES &amp; INDEMNIFICATION</w:t>
      </w:r>
    </w:p>
    <w:p>
      <w:pPr>
        <w:jc w:val="both"/>
      </w:pPr>
      <w:r>
        <w:t xml:space="preserve">17.1. Mutual representations of legal standing, authority, compliance, and IP ownership.
18.1. Indemnification: Client fully indemnifies Anchor against losses from data protection breaches, customer fraud/misconduct, or KYC deficiencies.</w:t>
      </w:r>
    </w:p>
    <w:p>
      <w:pPr>
        <w:pStyle w:val="Heading1"/>
      </w:pPr>
      <w:r>
        <w:t xml:space="preserve">19. TERMINATION &amp; GOVERNING LAW</w:t>
      </w:r>
    </w:p>
    <w:p>
      <w:pPr>
        <w:jc w:val="both"/>
      </w:pPr>
      <w:r>
        <w:t xml:space="preserve">19.1. Termination for Convenience: 30 Calendar Days prior written notice.
19.2. Run-off Period: 6 months run-off period following notice.
21.1. Governing Law &amp; Dispute Resolution: Governed by the laws of the Federal Republic of Nigeria. Disputes resolved through binding arbitration in Lagos, Nigeria.</w:t>
      </w:r>
    </w:p>
    <w:p>
      <w:pPr>
        <w:pStyle w:val="Heading1"/>
      </w:pPr>
      <w:r>
        <w:t xml:space="preserve">SCHEDULE A — PRODUCTION SUBSCRIBED SERVICES</w:t>
      </w:r>
    </w:p>
    <w:p>
      <w:pPr>
        <w:spacing w:after="120"/>
        <w:jc w:val="both"/>
      </w:pPr>
      <w:r>
        <w:t xml:space="preserve">Jossy Digital Technologies Ltd (NoteStandard) subscribes to the following 17 production service modules under this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D1B3D" w:val="clear"/>
          </w:tcPr>
          <w:p>
            <w:r>
              <w:rPr>
                <w:b/>
                <w:bCs/>
                <w:color w:val="FFFFFF"/>
              </w:rPr>
              <w:t xml:space="preserve">Category</w:t>
            </w:r>
          </w:p>
        </w:tc>
        <w:tc>
          <w:tcPr>
            <w:tcW w:type="pct" w:w="70%"/>
            <w:shd w:fill="0D1B3D" w:val="clear"/>
          </w:tcPr>
          <w:p>
            <w:r>
              <w:rPr>
                <w:b/>
                <w:bCs/>
                <w:color w:val="FFFFFF"/>
              </w:rPr>
              <w:t xml:space="preserve">Subscribed Features &amp; Production APIs</w:t>
            </w:r>
          </w:p>
        </w:tc>
      </w:tr>
      <w:tr>
        <w:tc>
          <w:p>
            <w:r>
              <w:rPr>
                <w:b/>
                <w:bCs/>
              </w:rPr>
              <w:t xml:space="preserve">Accounts &amp; Virtual Banking</w:t>
            </w:r>
          </w:p>
        </w:tc>
        <w:tc>
          <w:p>
            <w:r>
              <w:t xml:space="preserve">• Dedicated NGN Virtual Accounts
• Virtual NUBAN Accounts
• Dedicated USD Virtual Accounts
• Banking-as-a-Service APIs
• Account Creation APIs
• Virtual Account Provisioning
• Account Name Resolution</w:t>
            </w:r>
          </w:p>
        </w:tc>
      </w:tr>
      <w:tr>
        <w:tc>
          <w:p>
            <w:r>
              <w:rPr>
                <w:b/>
                <w:bCs/>
              </w:rPr>
              <w:t xml:space="preserve">Ledger &amp; Infrastructure</w:t>
            </w:r>
          </w:p>
        </w:tc>
        <w:tc>
          <w:p>
            <w:r>
              <w:t xml:space="preserve">• Wallet Infrastructure
• Wallet Ledger APIs
• Customer Account APIs
• Ledger APIs
• Balance APIs
• Name Enquiry APIs
• Transaction Webhooks</w:t>
            </w:r>
          </w:p>
        </w:tc>
      </w:tr>
      <w:tr>
        <w:tc>
          <w:p>
            <w:r>
              <w:rPr>
                <w:b/>
                <w:bCs/>
              </w:rPr>
              <w:t xml:space="preserve">Payments &amp; Settlement</w:t>
            </w:r>
          </w:p>
        </w:tc>
        <w:tc>
          <w:p>
            <w:r>
              <w:t xml:space="preserve">• Payment Collection
• Automated Settlement
• Outbound NIP Transfers
• Internal Wallet Transfers</w:t>
            </w:r>
          </w:p>
        </w:tc>
      </w:tr>
      <w:tr>
        <w:tc>
          <w:p>
            <w:r>
              <w:rPr>
                <w:b/>
                <w:bCs/>
              </w:rPr>
              <w:t xml:space="preserve">Treasury &amp; International</w:t>
            </w:r>
          </w:p>
        </w:tc>
        <w:tc>
          <w:p>
            <w:r>
              <w:t xml:space="preserve">• Treasury Management
• Stablecoin Settlement Rails
• Cross-Border Banking
• International Transfers</w:t>
            </w:r>
          </w:p>
        </w:tc>
      </w:tr>
    </w:tbl>
    <w:p>
      <w:pPr>
        <w:pStyle w:val="Heading1"/>
      </w:pPr>
      <w:r>
        <w:t xml:space="preserve">EXECUTION &amp; SIGNATURE PAGE</w:t>
      </w:r>
    </w:p>
    <w:p>
      <w:pPr>
        <w:spacing w:after="200"/>
        <w:jc w:val="both"/>
      </w:pPr>
      <w:r>
        <w:t xml:space="preserve">IN WITNESS WHEREOF, the Parties have executed this Client Service Agreement as of the 28th day of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color w:val="0D1B3D"/>
              </w:rPr>
              <w:t xml:space="preserve">FOR: ANCHOR SOFTWARE LTD</w:t>
            </w:r>
          </w:p>
          <w:p>
            <w:r>
              <w:t xml:space="preserve">RC Number: 1888102</w:t>
            </w:r>
          </w:p>
          <w:p>
            <w:r>
              <w:t xml:space="preserve">D310 Safe Court Apartments, 19 Ojulari Street, Ikate-Lekki, Lagos, Nigeria
</w:t>
            </w:r>
          </w:p>
          <w:p>
            <w:r>
              <w:t xml:space="preserve">Signature: __________________________</w:t>
            </w:r>
          </w:p>
          <w:p>
            <w:r>
              <w:t xml:space="preserve">Name: _____________________________</w:t>
            </w:r>
          </w:p>
          <w:p>
            <w:r>
              <w:t xml:space="preserve">Title: Authorized Signatory</w:t>
            </w:r>
          </w:p>
          <w:p>
            <w:r>
              <w:t xml:space="preserve">Date: ______________________________</w:t>
            </w:r>
          </w:p>
        </w:tc>
        <w:tc>
          <w:tcPr>
            <w:tcW w:type="pct" w:w="50%"/>
          </w:tcPr>
          <w:p>
            <w:r>
              <w:rPr>
                <w:b/>
                <w:bCs/>
                <w:color w:val="0D1B3D"/>
              </w:rPr>
              <w:t xml:space="preserve">FOR: JOSSY DIGITAL TECHNOLOGIES LTD</w:t>
            </w:r>
          </w:p>
          <w:p>
            <w:r>
              <w:t xml:space="preserve">RC Number: 9586407</w:t>
            </w:r>
          </w:p>
          <w:p>
            <w:r>
              <w:t xml:space="preserve">Trading Name: NoteStandard</w:t>
            </w:r>
          </w:p>
          <w:p>
            <w:r>
              <w:t xml:space="preserve">Registered Address: 10 Winnie Okia Street, Effurun, Delta State, Nigeria</w:t>
            </w:r>
          </w:p>
          <w:p>
            <w:r>
              <w:t xml:space="preserve">Representative: Oboh Aghogho Jossy</w:t>
            </w:r>
          </w:p>
          <w:p>
            <w:r>
              <w:t xml:space="preserve">Title: Founder &amp; CEO</w:t>
            </w:r>
          </w:p>
          <w:p>
            <w:r>
              <w:t xml:space="preserve">Telephone: +2347051824027</w:t>
            </w:r>
          </w:p>
          <w:p>
            <w:r>
              <w:t xml:space="preserve">Primary Email: admin@notestandard.com</w:t>
            </w:r>
          </w:p>
          <w:p>
            <w:r>
              <w:t xml:space="preserve">Alternative Email: admin.notestandard@gmail.com
</w:t>
            </w:r>
          </w:p>
          <w:p>
            <w:r>
              <w:drawing>
                <wp:inline distT="0" distB="0" distL="0" distR="0">
                  <wp:extent cx="13335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476250"/>
                          </a:xfrm>
                          <a:prstGeom prst="rect">
                            <a:avLst/>
                          </a:prstGeom>
                        </pic:spPr>
                      </pic:pic>
                    </a:graphicData>
                  </a:graphic>
                </wp:inline>
              </w:drawing>
            </w:r>
          </w:p>
          <w:p>
            <w:r>
              <w:t xml:space="preserve">Date: 28 July 2026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both"/>
    </w:pPr>
    <w:r>
      <w:rPr>
        <w:color w:val="6C757D"/>
        <w:sz w:val="16"/>
        <w:szCs w:val="16"/>
      </w:rPr>
      <w:t xml:space="preserve">Anchor Software Ltd &amp; Jossy Digital Technologies Ltd — Confidential  </w:t>
    </w:r>
    <w:r>
      <w:rPr>
        <w:color w:val="6C757D"/>
        <w:sz w:val="16"/>
        <w:szCs w:val="16"/>
      </w:rPr>
      <w:t xml:space="preserve">	Page </w:t>
    </w:r>
    <w:r>
      <w:rPr>
        <w:color w:val="6C757D"/>
        <w:sz w:val="16"/>
        <w:szCs w:val="16"/>
      </w:rPr>
      <w:fldChar w:fldCharType="begin"/>
      <w:instrText xml:space="preserve">PAGE</w:instrText>
      <w:fldChar w:fldCharType="separate"/>
      <w:fldChar w:fldCharType="end"/>
    </w:r>
    <w:r>
      <w:rPr>
        <w:color w:val="6C757D"/>
        <w:sz w:val="16"/>
        <w:szCs w:val="16"/>
      </w:rPr>
      <w:t xml:space="preserve"> of </w:t>
    </w:r>
    <w:r>
      <w:rPr>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C757D"/>
        <w:sz w:val="16"/>
        <w:szCs w:val="16"/>
      </w:rPr>
      <w:t xml:space="preserve">CLIENT SERVICE AGREEMENT  |  ANCHOR SOFTWARE LTD &amp; JOSSY DIGITAL TECHNOLOGIES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e088a1b210e0536300869a0295222f92efece2.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 AGREEMENT — ANCHOR SOFTWARE LTD &amp; JOSSY DIGITAL TECHNOLOGIES LTD</dc:title>
  <dc:creator>Commercial Law Firm Execution Suite</dc:creator>
  <dc:description>Verbatim Executed Client Service Agreement for NoteStandard BaaS Integration</dc:description>
  <cp:lastModifiedBy>Un-named</cp:lastModifiedBy>
  <cp:revision>1</cp:revision>
  <dcterms:created xsi:type="dcterms:W3CDTF">2026-07-28T12:10:29.632Z</dcterms:created>
  <dcterms:modified xsi:type="dcterms:W3CDTF">2026-07-28T12:10:29.634Z</dcterms:modified>
</cp:coreProperties>
</file>

<file path=docProps/custom.xml><?xml version="1.0" encoding="utf-8"?>
<Properties xmlns="http://schemas.openxmlformats.org/officeDocument/2006/custom-properties" xmlns:vt="http://schemas.openxmlformats.org/officeDocument/2006/docPropsVTypes"/>
</file>