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344E0D3" w:rsidR="006A13A2" w:rsidRDefault="00000000">
      <w:pPr>
        <w:spacing w:after="200" w:line="360" w:lineRule="auto"/>
        <w:ind w:left="720"/>
        <w:jc w:val="center"/>
        <w:rPr>
          <w:rFonts w:ascii="Century Gothic" w:eastAsia="Century Gothic" w:hAnsi="Century Gothic" w:cs="Century Gothic"/>
          <w:b/>
          <w:bCs/>
          <w:sz w:val="20"/>
          <w:szCs w:val="20"/>
        </w:rPr>
      </w:pPr>
      <w:r>
        <w:rPr>
          <w:rFonts w:ascii="Century Gothic" w:eastAsia="Century Gothic" w:hAnsi="Century Gothic" w:cs="Century Gothic"/>
          <w:b/>
          <w:bCs/>
          <w:sz w:val="20"/>
          <w:szCs w:val="20"/>
        </w:rPr>
        <w:t xml:space="preserve">  CLIENT SERVICE AGREEMENT</w:t>
      </w:r>
    </w:p>
    <w:p w14:paraId="00000002" w14:textId="77777777" w:rsidR="006A13A2" w:rsidRDefault="006A13A2">
      <w:pPr>
        <w:spacing w:after="200" w:line="360" w:lineRule="auto"/>
        <w:rPr>
          <w:rFonts w:ascii="Century Gothic" w:eastAsia="Century Gothic" w:hAnsi="Century Gothic" w:cs="Century Gothic"/>
          <w:b/>
          <w:bCs/>
          <w:sz w:val="20"/>
          <w:szCs w:val="20"/>
        </w:rPr>
      </w:pPr>
    </w:p>
    <w:p w14:paraId="00000003" w14:textId="77777777" w:rsidR="006A13A2" w:rsidRDefault="006A13A2">
      <w:pPr>
        <w:spacing w:after="200" w:line="360" w:lineRule="auto"/>
        <w:ind w:left="720"/>
        <w:jc w:val="center"/>
        <w:rPr>
          <w:rFonts w:ascii="Century Gothic" w:eastAsia="Century Gothic" w:hAnsi="Century Gothic" w:cs="Century Gothic"/>
          <w:b/>
          <w:bCs/>
          <w:sz w:val="20"/>
          <w:szCs w:val="20"/>
        </w:rPr>
      </w:pPr>
    </w:p>
    <w:p w14:paraId="00000004" w14:textId="77777777" w:rsidR="006A13A2" w:rsidRDefault="00000000">
      <w:pPr>
        <w:spacing w:after="200" w:line="360" w:lineRule="auto"/>
        <w:ind w:left="720"/>
        <w:jc w:val="center"/>
        <w:rPr>
          <w:rFonts w:ascii="Century Gothic" w:eastAsia="Century Gothic" w:hAnsi="Century Gothic" w:cs="Century Gothic"/>
          <w:sz w:val="20"/>
          <w:szCs w:val="20"/>
        </w:rPr>
      </w:pPr>
      <w:r>
        <w:rPr>
          <w:rFonts w:ascii="Century Gothic" w:eastAsia="Century Gothic" w:hAnsi="Century Gothic" w:cs="Century Gothic"/>
          <w:sz w:val="20"/>
          <w:szCs w:val="20"/>
        </w:rPr>
        <w:t>BETWEEN</w:t>
      </w:r>
    </w:p>
    <w:p w14:paraId="00000005" w14:textId="77777777" w:rsidR="006A13A2" w:rsidRDefault="006A13A2">
      <w:pPr>
        <w:spacing w:after="200" w:line="360" w:lineRule="auto"/>
        <w:rPr>
          <w:rFonts w:ascii="Century Gothic" w:eastAsia="Century Gothic" w:hAnsi="Century Gothic" w:cs="Century Gothic"/>
          <w:sz w:val="20"/>
          <w:szCs w:val="20"/>
        </w:rPr>
      </w:pPr>
    </w:p>
    <w:p w14:paraId="00000006" w14:textId="77777777" w:rsidR="006A13A2" w:rsidRDefault="006A13A2">
      <w:pPr>
        <w:spacing w:after="200" w:line="360" w:lineRule="auto"/>
        <w:ind w:left="720"/>
        <w:jc w:val="center"/>
        <w:rPr>
          <w:rFonts w:ascii="Century Gothic" w:eastAsia="Century Gothic" w:hAnsi="Century Gothic" w:cs="Century Gothic"/>
          <w:sz w:val="20"/>
          <w:szCs w:val="20"/>
        </w:rPr>
      </w:pPr>
    </w:p>
    <w:p w14:paraId="00000007" w14:textId="77777777" w:rsidR="006A13A2" w:rsidRDefault="00000000">
      <w:pPr>
        <w:spacing w:after="200" w:line="360" w:lineRule="auto"/>
        <w:ind w:firstLine="720"/>
        <w:jc w:val="center"/>
        <w:rPr>
          <w:rFonts w:ascii="Century Gothic" w:eastAsia="Century Gothic" w:hAnsi="Century Gothic" w:cs="Century Gothic"/>
          <w:b/>
          <w:bCs/>
          <w:sz w:val="20"/>
          <w:szCs w:val="20"/>
        </w:rPr>
      </w:pPr>
      <w:r>
        <w:rPr>
          <w:rFonts w:ascii="Century Gothic" w:eastAsia="Century Gothic" w:hAnsi="Century Gothic" w:cs="Century Gothic"/>
          <w:b/>
          <w:bCs/>
          <w:sz w:val="20"/>
          <w:szCs w:val="20"/>
        </w:rPr>
        <w:t>ANCHOR SOFTWARE LTD</w:t>
      </w:r>
    </w:p>
    <w:p w14:paraId="00000008" w14:textId="77777777" w:rsidR="006A13A2" w:rsidRDefault="006A13A2">
      <w:pPr>
        <w:spacing w:after="200" w:line="360" w:lineRule="auto"/>
        <w:rPr>
          <w:rFonts w:ascii="Century Gothic" w:eastAsia="Century Gothic" w:hAnsi="Century Gothic" w:cs="Century Gothic"/>
          <w:sz w:val="20"/>
          <w:szCs w:val="20"/>
        </w:rPr>
      </w:pPr>
    </w:p>
    <w:p w14:paraId="00000009" w14:textId="77777777" w:rsidR="006A13A2" w:rsidRDefault="006A13A2">
      <w:pPr>
        <w:spacing w:after="200" w:line="360" w:lineRule="auto"/>
        <w:rPr>
          <w:rFonts w:ascii="Century Gothic" w:eastAsia="Century Gothic" w:hAnsi="Century Gothic" w:cs="Century Gothic"/>
          <w:sz w:val="20"/>
          <w:szCs w:val="20"/>
        </w:rPr>
      </w:pPr>
    </w:p>
    <w:p w14:paraId="0000000A" w14:textId="77777777" w:rsidR="006A13A2" w:rsidRDefault="00000000">
      <w:pPr>
        <w:spacing w:after="200" w:line="360" w:lineRule="auto"/>
        <w:ind w:left="4320" w:firstLine="720"/>
        <w:rPr>
          <w:rFonts w:ascii="Century Gothic" w:eastAsia="Century Gothic" w:hAnsi="Century Gothic" w:cs="Century Gothic"/>
          <w:sz w:val="20"/>
          <w:szCs w:val="20"/>
        </w:rPr>
      </w:pPr>
      <w:r>
        <w:rPr>
          <w:rFonts w:ascii="Century Gothic" w:eastAsia="Century Gothic" w:hAnsi="Century Gothic" w:cs="Century Gothic"/>
          <w:sz w:val="20"/>
          <w:szCs w:val="20"/>
        </w:rPr>
        <w:t>AND</w:t>
      </w:r>
    </w:p>
    <w:p w14:paraId="0000000B" w14:textId="77777777" w:rsidR="006A13A2" w:rsidRDefault="006A13A2">
      <w:pPr>
        <w:spacing w:after="200" w:line="360" w:lineRule="auto"/>
        <w:ind w:left="720"/>
        <w:jc w:val="center"/>
        <w:rPr>
          <w:rFonts w:ascii="Century Gothic" w:eastAsia="Century Gothic" w:hAnsi="Century Gothic" w:cs="Century Gothic"/>
          <w:sz w:val="20"/>
          <w:szCs w:val="20"/>
        </w:rPr>
      </w:pPr>
    </w:p>
    <w:p w14:paraId="0000000C" w14:textId="77777777" w:rsidR="006A13A2" w:rsidRDefault="006A13A2">
      <w:pPr>
        <w:spacing w:after="200" w:line="360" w:lineRule="auto"/>
        <w:ind w:left="720"/>
        <w:jc w:val="center"/>
        <w:rPr>
          <w:rFonts w:ascii="Century Gothic" w:eastAsia="Century Gothic" w:hAnsi="Century Gothic" w:cs="Century Gothic"/>
          <w:sz w:val="20"/>
          <w:szCs w:val="20"/>
        </w:rPr>
      </w:pPr>
    </w:p>
    <w:p w14:paraId="0000000D" w14:textId="77777777" w:rsidR="006A13A2" w:rsidRDefault="00000000">
      <w:pPr>
        <w:spacing w:after="200" w:line="360" w:lineRule="auto"/>
        <w:ind w:firstLine="720"/>
        <w:jc w:val="center"/>
        <w:rPr>
          <w:rFonts w:ascii="Century Gothic" w:eastAsia="Century Gothic" w:hAnsi="Century Gothic" w:cs="Century Gothic"/>
          <w:sz w:val="20"/>
          <w:szCs w:val="20"/>
        </w:rPr>
      </w:pPr>
      <w:r>
        <w:t>JOSSY DIGITAL TECHNOLOGIES LTD</w:t>
      </w:r>
    </w:p>
    <w:p w14:paraId="0000000E" w14:textId="77777777" w:rsidR="006A13A2" w:rsidRDefault="006A13A2">
      <w:pPr>
        <w:spacing w:after="200" w:line="360" w:lineRule="auto"/>
        <w:ind w:left="720"/>
        <w:jc w:val="both"/>
        <w:rPr>
          <w:rFonts w:ascii="Century Gothic" w:eastAsia="Century Gothic" w:hAnsi="Century Gothic" w:cs="Century Gothic"/>
          <w:sz w:val="20"/>
          <w:szCs w:val="20"/>
        </w:rPr>
      </w:pPr>
    </w:p>
    <w:p w14:paraId="0000000F" w14:textId="77777777" w:rsidR="006A13A2" w:rsidRDefault="006A13A2">
      <w:pPr>
        <w:spacing w:after="200" w:line="360" w:lineRule="auto"/>
        <w:jc w:val="center"/>
        <w:rPr>
          <w:rFonts w:ascii="Century Gothic" w:eastAsia="Century Gothic" w:hAnsi="Century Gothic" w:cs="Century Gothic"/>
          <w:sz w:val="20"/>
          <w:szCs w:val="20"/>
        </w:rPr>
      </w:pPr>
    </w:p>
    <w:p w14:paraId="00000010" w14:textId="77777777" w:rsidR="006A13A2" w:rsidRDefault="006A13A2">
      <w:pPr>
        <w:spacing w:after="200" w:line="360" w:lineRule="auto"/>
        <w:jc w:val="center"/>
        <w:rPr>
          <w:rFonts w:ascii="Century Gothic" w:eastAsia="Century Gothic" w:hAnsi="Century Gothic" w:cs="Century Gothic"/>
          <w:sz w:val="20"/>
          <w:szCs w:val="20"/>
        </w:rPr>
      </w:pPr>
    </w:p>
    <w:p w14:paraId="00000011" w14:textId="77777777" w:rsidR="006A13A2" w:rsidRDefault="00000000">
      <w:pPr>
        <w:spacing w:after="200" w:line="360" w:lineRule="auto"/>
        <w:ind w:firstLine="720"/>
        <w:jc w:val="center"/>
        <w:rPr>
          <w:rFonts w:ascii="Century Gothic" w:eastAsia="Century Gothic" w:hAnsi="Century Gothic" w:cs="Century Gothic"/>
          <w:sz w:val="20"/>
          <w:szCs w:val="20"/>
        </w:rPr>
      </w:pPr>
      <w:r>
        <w:t>THIS 03 DAY OF AUGUST 2026</w:t>
      </w:r>
    </w:p>
    <w:p w14:paraId="00000012" w14:textId="77777777" w:rsidR="006A13A2" w:rsidRDefault="006A13A2">
      <w:pPr>
        <w:spacing w:after="200" w:line="360" w:lineRule="auto"/>
        <w:ind w:left="720"/>
        <w:jc w:val="both"/>
        <w:rPr>
          <w:rFonts w:ascii="Century Gothic" w:eastAsia="Century Gothic" w:hAnsi="Century Gothic" w:cs="Century Gothic"/>
          <w:sz w:val="20"/>
          <w:szCs w:val="20"/>
        </w:rPr>
      </w:pPr>
    </w:p>
    <w:p w14:paraId="00000013" w14:textId="77777777" w:rsidR="006A13A2" w:rsidRDefault="006A13A2">
      <w:pPr>
        <w:spacing w:after="200" w:line="360" w:lineRule="auto"/>
        <w:ind w:left="720"/>
        <w:jc w:val="both"/>
        <w:rPr>
          <w:rFonts w:ascii="Century Gothic" w:eastAsia="Century Gothic" w:hAnsi="Century Gothic" w:cs="Century Gothic"/>
          <w:sz w:val="20"/>
          <w:szCs w:val="20"/>
        </w:rPr>
      </w:pPr>
    </w:p>
    <w:p w14:paraId="00000014" w14:textId="77777777" w:rsidR="006A13A2" w:rsidRDefault="006A13A2">
      <w:pPr>
        <w:spacing w:after="200" w:line="360" w:lineRule="auto"/>
        <w:ind w:left="720"/>
        <w:jc w:val="both"/>
        <w:rPr>
          <w:rFonts w:ascii="Century Gothic" w:eastAsia="Century Gothic" w:hAnsi="Century Gothic" w:cs="Century Gothic"/>
          <w:sz w:val="20"/>
          <w:szCs w:val="20"/>
        </w:rPr>
      </w:pPr>
    </w:p>
    <w:p w14:paraId="00000015" w14:textId="77777777" w:rsidR="006A13A2" w:rsidRDefault="006A13A2">
      <w:pPr>
        <w:spacing w:after="200" w:line="360" w:lineRule="auto"/>
        <w:ind w:left="720"/>
        <w:jc w:val="both"/>
        <w:rPr>
          <w:rFonts w:ascii="Century Gothic" w:eastAsia="Century Gothic" w:hAnsi="Century Gothic" w:cs="Century Gothic"/>
          <w:sz w:val="20"/>
          <w:szCs w:val="20"/>
        </w:rPr>
      </w:pPr>
    </w:p>
    <w:p w14:paraId="00000016" w14:textId="77777777" w:rsidR="006A13A2" w:rsidRDefault="00000000">
      <w:pPr>
        <w:spacing w:after="200" w:line="360" w:lineRule="auto"/>
        <w:jc w:val="both"/>
        <w:rPr>
          <w:rFonts w:ascii="Century Gothic" w:eastAsia="Century Gothic" w:hAnsi="Century Gothic" w:cs="Century Gothic"/>
          <w:sz w:val="20"/>
          <w:szCs w:val="20"/>
        </w:rPr>
      </w:pPr>
      <w:r>
        <w:t>This Client Service Agreement (“Agreement”) is made this 03 day of August 2026.</w:t>
      </w:r>
    </w:p>
    <w:p w14:paraId="00000017" w14:textId="77777777" w:rsidR="006A13A2" w:rsidRDefault="00000000">
      <w:pPr>
        <w:spacing w:after="200" w:line="360" w:lineRule="auto"/>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BETWEEN</w:t>
      </w:r>
    </w:p>
    <w:p w14:paraId="00000018" w14:textId="77777777" w:rsidR="006A13A2" w:rsidRDefault="00000000">
      <w:pPr>
        <w:numPr>
          <w:ilvl w:val="0"/>
          <w:numId w:val="7"/>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 xml:space="preserve">ANCHOR SOFTWARE LTD, a limited liability company, duly incorporated under the laws of the Federal Republic of Nigeria, with RC Number: </w:t>
      </w:r>
      <w:r>
        <w:rPr>
          <w:rFonts w:ascii="Century Gothic" w:eastAsia="Century Gothic" w:hAnsi="Century Gothic" w:cs="Century Gothic"/>
          <w:sz w:val="20"/>
          <w:szCs w:val="20"/>
          <w:highlight w:val="white"/>
        </w:rPr>
        <w:t>1888102</w:t>
      </w:r>
      <w:r>
        <w:rPr>
          <w:rFonts w:ascii="Century Gothic" w:eastAsia="Century Gothic" w:hAnsi="Century Gothic" w:cs="Century Gothic"/>
          <w:sz w:val="20"/>
          <w:szCs w:val="20"/>
        </w:rPr>
        <w:t xml:space="preserve"> and with its registered address at D310, Safe Court Apartments 19, Ojulari Street, Ikate-Lekki, Lagos  (where the context so admits includes its assigns and successors) (“</w:t>
      </w:r>
      <w:r>
        <w:rPr>
          <w:rFonts w:ascii="Century Gothic" w:eastAsia="Century Gothic" w:hAnsi="Century Gothic" w:cs="Century Gothic"/>
          <w:b/>
          <w:bCs/>
          <w:sz w:val="20"/>
          <w:szCs w:val="20"/>
        </w:rPr>
        <w:t>Anchor”</w:t>
      </w:r>
      <w:r>
        <w:rPr>
          <w:rFonts w:ascii="Century Gothic" w:eastAsia="Century Gothic" w:hAnsi="Century Gothic" w:cs="Century Gothic"/>
          <w:sz w:val="20"/>
          <w:szCs w:val="20"/>
        </w:rPr>
        <w:t xml:space="preserve"> ).</w:t>
      </w:r>
    </w:p>
    <w:p w14:paraId="00000019" w14:textId="77777777" w:rsidR="006A13A2" w:rsidRDefault="00000000">
      <w:p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AND</w:t>
      </w:r>
    </w:p>
    <w:p w14:paraId="0000001A" w14:textId="77777777" w:rsidR="006A13A2" w:rsidRDefault="00000000">
      <w:pPr>
        <w:numPr>
          <w:ilvl w:val="0"/>
          <w:numId w:val="7"/>
        </w:numPr>
        <w:spacing w:after="200" w:line="360" w:lineRule="auto"/>
        <w:jc w:val="both"/>
        <w:rPr>
          <w:rFonts w:ascii="Century Gothic" w:eastAsia="Century Gothic" w:hAnsi="Century Gothic" w:cs="Century Gothic"/>
          <w:sz w:val="20"/>
          <w:szCs w:val="20"/>
        </w:rPr>
      </w:pPr>
      <w:r>
        <w:t>JOSSY DIGITAL TECHNOLOGIES LTD, a limited liability company duly incorporated under the laws of the Federal Republic of Nigeria, with RC Number: 9586407 and having its registered address at Effurun, Delta State, Nigeria (where the context so admits includes its assigns and successors) (“the Client”).</w:t>
      </w:r>
    </w:p>
    <w:p w14:paraId="0000001B" w14:textId="77777777" w:rsidR="006A13A2" w:rsidRDefault="00000000">
      <w:pPr>
        <w:spacing w:after="200" w:line="360" w:lineRule="auto"/>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BACKGROUND</w:t>
      </w:r>
    </w:p>
    <w:p w14:paraId="0000001C" w14:textId="77777777" w:rsidR="006A13A2" w:rsidRDefault="00000000">
      <w:pPr>
        <w:numPr>
          <w:ilvl w:val="0"/>
          <w:numId w:val="4"/>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is a financial technology company that engages in the business of providing technological and end-to-end business solutions, in facilitating the provision of diverse financial services through its banking partners, to corporate clients;</w:t>
      </w:r>
    </w:p>
    <w:p w14:paraId="0000001D" w14:textId="77777777" w:rsidR="006A13A2" w:rsidRDefault="00000000">
      <w:pPr>
        <w:numPr>
          <w:ilvl w:val="0"/>
          <w:numId w:val="4"/>
        </w:numPr>
        <w:spacing w:after="200" w:line="360" w:lineRule="auto"/>
        <w:jc w:val="both"/>
        <w:rPr>
          <w:rFonts w:ascii="Century Gothic" w:eastAsia="Century Gothic" w:hAnsi="Century Gothic" w:cs="Century Gothic"/>
          <w:sz w:val="20"/>
          <w:szCs w:val="20"/>
        </w:rPr>
      </w:pPr>
      <w:r>
        <w:t>The Client is a fintech and digital workspace platform providing multi-currency wallets, virtual accounts, NIP bank transfers, internal ledger transfers, merchant collections, bill payments, and treasury technology services.</w:t>
      </w:r>
    </w:p>
    <w:p w14:paraId="0000001E" w14:textId="77777777" w:rsidR="006A13A2" w:rsidRDefault="00000000">
      <w:pPr>
        <w:numPr>
          <w:ilvl w:val="0"/>
          <w:numId w:val="4"/>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is desirous of engaging the services of Anchor through its application programming interfaces for the provision of the Subscribed Services to its end users.</w:t>
      </w:r>
    </w:p>
    <w:p w14:paraId="0000001F" w14:textId="77777777" w:rsidR="006A13A2" w:rsidRDefault="00000000">
      <w:p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parties agree as follows:</w:t>
      </w:r>
    </w:p>
    <w:p w14:paraId="00000020"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Definition, Interpretation, and Incorporation by reference</w:t>
      </w:r>
    </w:p>
    <w:p w14:paraId="00000021"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Definition</w:t>
      </w:r>
    </w:p>
    <w:p w14:paraId="00000022" w14:textId="77777777" w:rsidR="006A13A2" w:rsidRDefault="00000000">
      <w:pPr>
        <w:spacing w:after="200" w:line="360" w:lineRule="auto"/>
        <w:ind w:left="72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In this Agreement, unless the context otherwise requires, the following words and expressions shall have the meanings assigned to them: </w:t>
      </w:r>
    </w:p>
    <w:p w14:paraId="00000023"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Agreement</w:t>
      </w:r>
      <w:r>
        <w:rPr>
          <w:rFonts w:ascii="Century Gothic" w:eastAsia="Century Gothic" w:hAnsi="Century Gothic" w:cs="Century Gothic"/>
          <w:sz w:val="20"/>
          <w:szCs w:val="20"/>
        </w:rPr>
        <w:t xml:space="preserve"> means this Client Service Agreement and all Schedules contained within it</w:t>
      </w:r>
    </w:p>
    <w:p w14:paraId="00000024"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API </w:t>
      </w:r>
      <w:r>
        <w:rPr>
          <w:rFonts w:ascii="Century Gothic" w:eastAsia="Century Gothic" w:hAnsi="Century Gothic" w:cs="Century Gothic"/>
          <w:sz w:val="20"/>
          <w:szCs w:val="20"/>
        </w:rPr>
        <w:t>means application programming interface;</w:t>
      </w:r>
    </w:p>
    <w:p w14:paraId="00000025"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Applicable Fees </w:t>
      </w:r>
      <w:r>
        <w:rPr>
          <w:rFonts w:ascii="Century Gothic" w:eastAsia="Century Gothic" w:hAnsi="Century Gothic" w:cs="Century Gothic"/>
          <w:sz w:val="20"/>
          <w:szCs w:val="20"/>
        </w:rPr>
        <w:t>means such charges or fees that may be levied by Anchor from time to time on the Client for the provision of the Service to the Client;</w:t>
      </w:r>
    </w:p>
    <w:p w14:paraId="00000026"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lastRenderedPageBreak/>
        <w:t>Applicable Law</w:t>
      </w:r>
      <w:r>
        <w:rPr>
          <w:rFonts w:ascii="Century Gothic" w:eastAsia="Century Gothic" w:hAnsi="Century Gothic" w:cs="Century Gothic"/>
          <w:sz w:val="20"/>
          <w:szCs w:val="20"/>
        </w:rPr>
        <w:t xml:space="preserve"> means all laws, regulations, directives issued by a regulatory authority which is applicable to the subject matter of this Agreement, any party to this transaction or to the obligation of any party to this Agreement;</w:t>
      </w:r>
    </w:p>
    <w:p w14:paraId="00000027"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Business Day</w:t>
      </w:r>
      <w:r>
        <w:rPr>
          <w:rFonts w:ascii="Century Gothic" w:eastAsia="Century Gothic" w:hAnsi="Century Gothic" w:cs="Century Gothic"/>
          <w:sz w:val="20"/>
          <w:szCs w:val="20"/>
        </w:rPr>
        <w:t xml:space="preserve"> means everyday other than Sundays and Saturdays provided that such days are not public holidays;</w:t>
      </w:r>
    </w:p>
    <w:p w14:paraId="00000028"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Calendar Days </w:t>
      </w:r>
      <w:r>
        <w:rPr>
          <w:rFonts w:ascii="Century Gothic" w:eastAsia="Century Gothic" w:hAnsi="Century Gothic" w:cs="Century Gothic"/>
          <w:sz w:val="20"/>
          <w:szCs w:val="20"/>
        </w:rPr>
        <w:t>means each day shown on the calendar beginning at 12:00 midnight including Saturdays and Sundays;</w:t>
      </w:r>
    </w:p>
    <w:p w14:paraId="00000029"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Confidential Information</w:t>
      </w:r>
      <w:r>
        <w:rPr>
          <w:rFonts w:ascii="Century Gothic" w:eastAsia="Century Gothic" w:hAnsi="Century Gothic" w:cs="Century Gothic"/>
          <w:sz w:val="20"/>
          <w:szCs w:val="20"/>
        </w:rPr>
        <w:t xml:space="preserve"> means any information disclosed in a manner which clearly indicates the confidential nature, or which in the absence of such indication would appear to a reasonable person to be confidential or proprietary;</w:t>
      </w:r>
    </w:p>
    <w:p w14:paraId="0000002A"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Customer</w:t>
      </w:r>
      <w:r>
        <w:rPr>
          <w:rFonts w:ascii="Century Gothic" w:eastAsia="Century Gothic" w:hAnsi="Century Gothic" w:cs="Century Gothic"/>
          <w:sz w:val="20"/>
          <w:szCs w:val="20"/>
        </w:rPr>
        <w:t xml:space="preserve"> means the Client’s customer, or users;  </w:t>
      </w:r>
    </w:p>
    <w:p w14:paraId="0000002B"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Data Controller </w:t>
      </w:r>
      <w:r>
        <w:rPr>
          <w:rFonts w:ascii="Century Gothic" w:eastAsia="Century Gothic" w:hAnsi="Century Gothic" w:cs="Century Gothic"/>
          <w:sz w:val="20"/>
          <w:szCs w:val="20"/>
        </w:rPr>
        <w:t>means the entity acting alone or jointly with others, to determine the purposes and the means of the processing of Personal Data;</w:t>
      </w:r>
    </w:p>
    <w:p w14:paraId="0000002C"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Data Processor </w:t>
      </w:r>
      <w:r>
        <w:rPr>
          <w:rFonts w:ascii="Century Gothic" w:eastAsia="Century Gothic" w:hAnsi="Century Gothic" w:cs="Century Gothic"/>
          <w:sz w:val="20"/>
          <w:szCs w:val="20"/>
        </w:rPr>
        <w:t xml:space="preserve">means the entity that processes Personal Data on behalf of a Data Controller. Provided that the Data Controller is a Data Processor when it processes Personal Data; </w:t>
      </w:r>
    </w:p>
    <w:p w14:paraId="0000002D"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Data Subject </w:t>
      </w:r>
      <w:r>
        <w:rPr>
          <w:rFonts w:ascii="Century Gothic" w:eastAsia="Century Gothic" w:hAnsi="Century Gothic" w:cs="Century Gothic"/>
          <w:sz w:val="20"/>
          <w:szCs w:val="20"/>
        </w:rPr>
        <w:t>means the Customer (as defined under this clause) or such other person whose data are processed in accordance with this Agreement;</w:t>
      </w:r>
    </w:p>
    <w:p w14:paraId="0000002E"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Disclosing Party</w:t>
      </w:r>
      <w:r>
        <w:rPr>
          <w:rFonts w:ascii="Century Gothic" w:eastAsia="Century Gothic" w:hAnsi="Century Gothic" w:cs="Century Gothic"/>
          <w:sz w:val="20"/>
          <w:szCs w:val="20"/>
        </w:rPr>
        <w:t xml:space="preserve"> means the party who possesses the Confidential Information and who is making it available to the Recipient</w:t>
      </w:r>
    </w:p>
    <w:p w14:paraId="0000002F"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Effective Date</w:t>
      </w:r>
      <w:r>
        <w:rPr>
          <w:rFonts w:ascii="Century Gothic" w:eastAsia="Century Gothic" w:hAnsi="Century Gothic" w:cs="Century Gothic"/>
          <w:sz w:val="20"/>
          <w:szCs w:val="20"/>
        </w:rPr>
        <w:t xml:space="preserve"> means the date of the execution of this Agreement by the last signing party and with respect to any other clause other than the commencement clause, the effective date refers to the date in which a change will take effect; </w:t>
      </w:r>
    </w:p>
    <w:p w14:paraId="00000030"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Industry Standards </w:t>
      </w:r>
      <w:r>
        <w:rPr>
          <w:rFonts w:ascii="Century Gothic" w:eastAsia="Century Gothic" w:hAnsi="Century Gothic" w:cs="Century Gothic"/>
          <w:sz w:val="20"/>
          <w:szCs w:val="20"/>
        </w:rPr>
        <w:t xml:space="preserve">means guidelines or regulations which are issued from time to time by the Central Bank of Nigeria (“CBN”) or other regulatory </w:t>
      </w:r>
      <w:r>
        <w:rPr>
          <w:rFonts w:ascii="Century Gothic" w:eastAsia="Century Gothic" w:hAnsi="Century Gothic" w:cs="Century Gothic"/>
          <w:sz w:val="20"/>
          <w:szCs w:val="20"/>
        </w:rPr>
        <w:lastRenderedPageBreak/>
        <w:t>authorities with powers over the nature of the transaction concluded in accordance with this Agreement;</w:t>
      </w:r>
    </w:p>
    <w:p w14:paraId="00000031"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Initial Term </w:t>
      </w:r>
      <w:r>
        <w:rPr>
          <w:rFonts w:ascii="Century Gothic" w:eastAsia="Century Gothic" w:hAnsi="Century Gothic" w:cs="Century Gothic"/>
          <w:sz w:val="20"/>
          <w:szCs w:val="20"/>
        </w:rPr>
        <w:t xml:space="preserve">means the first twelve (12) months of the subsistence of this Agreement as contained in Clause 2; </w:t>
      </w:r>
    </w:p>
    <w:p w14:paraId="00000032"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Intellectual Property </w:t>
      </w:r>
      <w:r>
        <w:rPr>
          <w:rFonts w:ascii="Century Gothic" w:eastAsia="Century Gothic" w:hAnsi="Century Gothic" w:cs="Century Gothic"/>
          <w:sz w:val="20"/>
          <w:szCs w:val="20"/>
        </w:rPr>
        <w:t>means copyright and related rights, trademarks, trade secrets, trade names and domain names, right to inventions, goodwill, right to sue for passing off, rights in designs, rights in computer software, rights in topography, right to preserve the confidentiality of information, and in each case whether such rights are known now or in the future, registered or unregistered;</w:t>
      </w:r>
    </w:p>
    <w:p w14:paraId="00000033"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Notice Period </w:t>
      </w:r>
      <w:r>
        <w:rPr>
          <w:rFonts w:ascii="Century Gothic" w:eastAsia="Century Gothic" w:hAnsi="Century Gothic" w:cs="Century Gothic"/>
          <w:sz w:val="20"/>
          <w:szCs w:val="20"/>
        </w:rPr>
        <w:t>means the 30 Business Days given by either Party indicating the Party’s desire to terminate this Agreement</w:t>
      </w:r>
    </w:p>
    <w:p w14:paraId="00000034"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Permissible Use </w:t>
      </w:r>
      <w:r>
        <w:rPr>
          <w:rFonts w:ascii="Century Gothic" w:eastAsia="Century Gothic" w:hAnsi="Century Gothic" w:cs="Century Gothic"/>
          <w:sz w:val="20"/>
          <w:szCs w:val="20"/>
        </w:rPr>
        <w:t>means the use of the Services in accordance with this Agreement;</w:t>
      </w:r>
    </w:p>
    <w:p w14:paraId="00000035"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Personal Data </w:t>
      </w:r>
      <w:r>
        <w:rPr>
          <w:rFonts w:ascii="Century Gothic" w:eastAsia="Century Gothic" w:hAnsi="Century Gothic" w:cs="Century Gothic"/>
          <w:sz w:val="20"/>
          <w:szCs w:val="20"/>
        </w:rPr>
        <w:t>means any meaning attributed to it by any Applicable Law and refers to any information relating to an identified or identifiable natural person or Data Subject. An identifiable natural person is one who can be identified by a reference to an identifier such as the name, identification number, or location among others;</w:t>
      </w:r>
    </w:p>
    <w:p w14:paraId="00000036"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Recipient </w:t>
      </w:r>
      <w:r>
        <w:rPr>
          <w:rFonts w:ascii="Century Gothic" w:eastAsia="Century Gothic" w:hAnsi="Century Gothic" w:cs="Century Gothic"/>
          <w:sz w:val="20"/>
          <w:szCs w:val="20"/>
        </w:rPr>
        <w:t>means the person who receives the Confidential Information from the Disclosing Party</w:t>
      </w:r>
    </w:p>
    <w:p w14:paraId="00000037"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Restricted Business</w:t>
      </w:r>
      <w:r>
        <w:rPr>
          <w:rFonts w:ascii="Century Gothic" w:eastAsia="Century Gothic" w:hAnsi="Century Gothic" w:cs="Century Gothic"/>
          <w:sz w:val="20"/>
          <w:szCs w:val="20"/>
        </w:rPr>
        <w:t xml:space="preserve"> means such businesses identified to be restricted or outside Anchor’s acceptable use policy from time to time and also includes the use of the services provided by Anchor for the benefit of a country, organisation, entity, or person sanctioned, embargoed, or blocked by any government, including those on applicable national and international sanctions lists identified by the United States Office of Foreign Asset Control (OFAC), Financial Actions Task Force (FATF), etc;</w:t>
      </w:r>
    </w:p>
    <w:p w14:paraId="00000038"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Run off Period </w:t>
      </w:r>
      <w:r>
        <w:rPr>
          <w:rFonts w:ascii="Century Gothic" w:eastAsia="Century Gothic" w:hAnsi="Century Gothic" w:cs="Century Gothic"/>
          <w:sz w:val="20"/>
          <w:szCs w:val="20"/>
        </w:rPr>
        <w:t xml:space="preserve">means a period of six (6) months after the Notice Period; </w:t>
      </w:r>
    </w:p>
    <w:p w14:paraId="00000039"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lastRenderedPageBreak/>
        <w:t>Service</w:t>
      </w:r>
      <w:r>
        <w:rPr>
          <w:rFonts w:ascii="Century Gothic" w:eastAsia="Century Gothic" w:hAnsi="Century Gothic" w:cs="Century Gothic"/>
          <w:sz w:val="20"/>
          <w:szCs w:val="20"/>
        </w:rPr>
        <w:t xml:space="preserve"> means the service provided by Anchor under this Agreement and which includes the provision of its Software and API by way of a licence to the Client, for the Client’s usage in providing banking as a service to its Customers;</w:t>
      </w:r>
    </w:p>
    <w:p w14:paraId="0000003A"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Software</w:t>
      </w:r>
      <w:r>
        <w:rPr>
          <w:rFonts w:ascii="Century Gothic" w:eastAsia="Century Gothic" w:hAnsi="Century Gothic" w:cs="Century Gothic"/>
          <w:sz w:val="20"/>
          <w:szCs w:val="20"/>
        </w:rPr>
        <w:t xml:space="preserve"> means Anchor’s program and database that integrates with strategic partners to facilitate the provision of the Services envisaged in this Agreement;</w:t>
      </w:r>
    </w:p>
    <w:p w14:paraId="0000003B"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Subscribed Services </w:t>
      </w:r>
      <w:r>
        <w:rPr>
          <w:rFonts w:ascii="Century Gothic" w:eastAsia="Century Gothic" w:hAnsi="Century Gothic" w:cs="Century Gothic"/>
          <w:sz w:val="20"/>
          <w:szCs w:val="20"/>
        </w:rPr>
        <w:t>means the cumulative number of services that the Client decides to sign up for out of Anchor’s list of services contained Schedule A;</w:t>
      </w:r>
    </w:p>
    <w:p w14:paraId="0000003C"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b/>
          <w:bCs/>
          <w:sz w:val="20"/>
          <w:szCs w:val="20"/>
        </w:rPr>
        <w:t xml:space="preserve">Transaction Data </w:t>
      </w:r>
      <w:r>
        <w:rPr>
          <w:rFonts w:ascii="Century Gothic" w:eastAsia="Century Gothic" w:hAnsi="Century Gothic" w:cs="Century Gothic"/>
          <w:sz w:val="20"/>
          <w:szCs w:val="20"/>
        </w:rPr>
        <w:t>means data acquired from the use of the service provided under this Agreement.</w:t>
      </w:r>
    </w:p>
    <w:p w14:paraId="0000003D" w14:textId="77777777" w:rsidR="006A13A2" w:rsidRDefault="00000000">
      <w:pPr>
        <w:numPr>
          <w:ilvl w:val="1"/>
          <w:numId w:val="10"/>
        </w:numPr>
        <w:spacing w:before="200"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Interpretation</w:t>
      </w:r>
    </w:p>
    <w:p w14:paraId="0000003E" w14:textId="77777777" w:rsidR="006A13A2" w:rsidRDefault="00000000">
      <w:pPr>
        <w:spacing w:after="200" w:line="360" w:lineRule="auto"/>
        <w:ind w:left="1440"/>
        <w:jc w:val="both"/>
        <w:rPr>
          <w:rFonts w:ascii="Century Gothic" w:eastAsia="Century Gothic" w:hAnsi="Century Gothic" w:cs="Century Gothic"/>
          <w:sz w:val="20"/>
          <w:szCs w:val="20"/>
        </w:rPr>
      </w:pPr>
      <w:r>
        <w:rPr>
          <w:rFonts w:ascii="Century Gothic" w:eastAsia="Century Gothic" w:hAnsi="Century Gothic" w:cs="Century Gothic"/>
          <w:sz w:val="20"/>
          <w:szCs w:val="20"/>
        </w:rPr>
        <w:t>In this Agreement, reference to:</w:t>
      </w:r>
    </w:p>
    <w:p w14:paraId="0000003F"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 person includes natural persons, firms and corporations and other organisations with legal personality;</w:t>
      </w:r>
    </w:p>
    <w:p w14:paraId="00000040"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Words in the singular include the plural and vice versa, and words importing one gender shall include all genders;</w:t>
      </w:r>
    </w:p>
    <w:p w14:paraId="00000041"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 account means any account and any sub-account of that account;</w:t>
      </w:r>
    </w:p>
    <w:p w14:paraId="00000042"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words “including” and “in particular” shall be deemed to be followed by the expression “but not limited to”. </w:t>
      </w:r>
    </w:p>
    <w:p w14:paraId="00000043" w14:textId="77777777" w:rsidR="006A13A2" w:rsidRDefault="00000000">
      <w:pPr>
        <w:numPr>
          <w:ilvl w:val="1"/>
          <w:numId w:val="10"/>
        </w:numPr>
        <w:spacing w:before="200"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Incorporation by reference</w:t>
      </w:r>
    </w:p>
    <w:p w14:paraId="00000044"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All terms, provisions, and conditions, including any modification, addition, removal, alteration, or reconstruction, in the terms, conditions, policies, and notices available on Anchor’s website from time to time are hereby incorporated into this Agreement with the same force and effect as though fully set forth herein.</w:t>
      </w:r>
    </w:p>
    <w:p w14:paraId="00000045"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Where there is any substantial change in any such terms, conditions, and policies referred to in 1.3.1 above, notice shall be provided by Anchor on its website to that effect.</w:t>
      </w:r>
    </w:p>
    <w:p w14:paraId="00000046"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Both the terms, conditions, and policies and this Agreement together shall be construed as one and the same Agreement. Where the terms of the Terms and Conditions are inconsistent with the terms of this Agreement, the terms of this Agreement shall prevail except where a specific policy expressly provides that it shall override the terms of this Agreement on a particular subject matter, in which case such term or policy shall prevail only to that extent. </w:t>
      </w:r>
    </w:p>
    <w:p w14:paraId="00000047"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Duration</w:t>
      </w:r>
    </w:p>
    <w:p w14:paraId="00000048" w14:textId="77777777" w:rsidR="006A13A2" w:rsidRDefault="00000000">
      <w:pPr>
        <w:numPr>
          <w:ilvl w:val="2"/>
          <w:numId w:val="10"/>
        </w:numPr>
        <w:spacing w:after="200" w:line="360" w:lineRule="auto"/>
        <w:jc w:val="both"/>
        <w:rPr>
          <w:sz w:val="20"/>
          <w:szCs w:val="20"/>
        </w:rPr>
      </w:pPr>
      <w:r>
        <w:rPr>
          <w:rFonts w:ascii="Century Gothic" w:eastAsia="Century Gothic" w:hAnsi="Century Gothic" w:cs="Century Gothic"/>
          <w:sz w:val="20"/>
          <w:szCs w:val="20"/>
        </w:rPr>
        <w:t>This Agreement shall commence from the Effective Date and shall remain in force for a period of twelve (12) months (</w:t>
      </w:r>
      <w:r>
        <w:rPr>
          <w:rFonts w:ascii="Century Gothic" w:eastAsia="Century Gothic" w:hAnsi="Century Gothic" w:cs="Century Gothic"/>
          <w:b/>
          <w:bCs/>
          <w:sz w:val="20"/>
          <w:szCs w:val="20"/>
        </w:rPr>
        <w:t>“Initial Term”</w:t>
      </w:r>
      <w:r>
        <w:rPr>
          <w:rFonts w:ascii="Century Gothic" w:eastAsia="Century Gothic" w:hAnsi="Century Gothic" w:cs="Century Gothic"/>
          <w:sz w:val="20"/>
          <w:szCs w:val="20"/>
        </w:rPr>
        <w:t>), unless terminated by any of the parties in accordance with the provisions of this Agreement.</w:t>
      </w:r>
    </w:p>
    <w:p w14:paraId="00000049"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Agreement shall be automatically renewed upon the expiration of the Initial Term, for a successive twelve (12) month period, unless terminated in accordance with this Agreement. </w:t>
      </w:r>
    </w:p>
    <w:p w14:paraId="0000004A"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Banking as a Service</w:t>
      </w:r>
    </w:p>
    <w:p w14:paraId="0000004B"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shall integrate with licensed financial institutions to provide full banking suites to the Client. The extent and specifics of the suites of Services to be provided to the Client will be as indicated by the Client in Schedule A. The Client shall indicate the Services it intends to subscribe to and Anchor shall provide the suite of Services as requested by the Client.</w:t>
      </w:r>
    </w:p>
    <w:p w14:paraId="0000004C"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obligations of the Parties will be governed by the terms of this Agreement and all schedules attached to this Agreement. </w:t>
      </w:r>
    </w:p>
    <w:p w14:paraId="0000004D"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Anchor obligations</w:t>
      </w:r>
    </w:p>
    <w:p w14:paraId="0000004E"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 xml:space="preserve">Licences and Permits </w:t>
      </w:r>
    </w:p>
    <w:p w14:paraId="0000004F"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is responsible for obtaining all the relevant permits and licences, necessary for it to offer the Subscribed Services to the Client.</w:t>
      </w:r>
    </w:p>
    <w:p w14:paraId="00000050"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lastRenderedPageBreak/>
        <w:t>Software</w:t>
      </w:r>
    </w:p>
    <w:p w14:paraId="00000051"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Anchor shall provide the API and Software that will enable the Client to use the Subscribed Services for the delivery of financial services to Customers.  </w:t>
      </w:r>
    </w:p>
    <w:p w14:paraId="00000052"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acknowledges that Anchor reserves the right to change or amend the API, Software and the interface at any time, to provide the Client with an updated version, and to change their functionalities and characteristics. When such a change is made, the Client accepts that Anchor may require that it install or update any and all software to continue using the Service.</w:t>
      </w:r>
    </w:p>
    <w:p w14:paraId="00000053"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undertakes that it shall not implement any change, that will materially reduce the functionality and effectiveness of the Service which was explicitly committed to by the Client under this Agreement, except where such a change is made necessary by :</w:t>
      </w:r>
    </w:p>
    <w:p w14:paraId="00000054"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 need for increased security measures, due to such security risks identified by Anchor;</w:t>
      </w:r>
    </w:p>
    <w:p w14:paraId="00000055"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 change in applicable law or regulation;</w:t>
      </w:r>
    </w:p>
    <w:p w14:paraId="00000056"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need to follow generally accepted Industry Standards or changes in the financial sector;</w:t>
      </w:r>
    </w:p>
    <w:p w14:paraId="00000057"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other reasonable grounds which warrant a reduction in the functionality.</w:t>
      </w:r>
    </w:p>
    <w:p w14:paraId="00000058"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shall endeavour to minimise changes to the API and Software and to also announce any material changes to the API, Software or user interface, where reasonably possible at least three (3) days before the implementation of the change. The Client acknowledges that shorter notices may be given where the need for the change is deemed by Anchor to be imminent.</w:t>
      </w:r>
    </w:p>
    <w:p w14:paraId="00000059"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 xml:space="preserve"> Account support</w:t>
      </w:r>
    </w:p>
    <w:p w14:paraId="0000005A"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shall work with the Client to provide all the requisite integration of technical specifications and APIs with respect to the Services  provided to the Client,</w:t>
      </w:r>
    </w:p>
    <w:p w14:paraId="0000005B"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When Anchor deems it necessary, it shall also provide post-implementation support to the Client and its Customers as well as other technical support necessary for the fulfilment of its obligations under this Agreement.</w:t>
      </w:r>
    </w:p>
    <w:p w14:paraId="0000005C"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undertakes to open and maintain a communication channel with the Client, to receive queries, complaints and inquiries concerning the services provided by Anchor to the Client.</w:t>
      </w:r>
    </w:p>
    <w:p w14:paraId="0000005D"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queries, complaints and inquiries are made by the Client, through the channel provided by Anchor in clause 4.3.3, Anchor will make its investigations and notify the Client whether the problem is related to the Services provided by Anchor, determine the severity of the problem and use reasonable efforts to remedy the problem, if possible.</w:t>
      </w:r>
    </w:p>
    <w:p w14:paraId="0000005E"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Service Periods</w:t>
      </w:r>
    </w:p>
    <w:p w14:paraId="0000005F"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undertakes to provide a seamless Service to the Client on a 24-hour basis unless the provision of such Service is hindered by circumstances covered under clause 16 and 20.</w:t>
      </w:r>
    </w:p>
    <w:p w14:paraId="00000060"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Notwithstanding the foregoing, Anchor does not warrant and the Client understands that Anchor does not warrant that the Service will be uninterrupted or error-free. The Client understands that Anchor may occasionally experience delays or outages due to disruptions that are outside Anchor’s control or unavoidable and Anchor shall not be liable for any loss incurred by the Client by reason of such delays, outages, or other disruptions.</w:t>
      </w:r>
    </w:p>
    <w:p w14:paraId="00000061"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undertakes that except for exceptional circumstances, or instances where an error or hindrance to the provision of its Services under this Agreement, can only be rectified by third parties or by its affiliates, it shall ensure that all errors or hindrances to the provision of the Services under this Agreement are resolved in accordance with the service level agreement set out under Schedule B to this Agreement.</w:t>
      </w:r>
    </w:p>
    <w:p w14:paraId="00000062"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Requests and Instructions</w:t>
      </w:r>
    </w:p>
    <w:p w14:paraId="00000063"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Anchor acknowledges the right of the Client to make requests and to give instructions on the Services provided. However, the request must be written </w:t>
      </w:r>
      <w:r>
        <w:rPr>
          <w:rFonts w:ascii="Century Gothic" w:eastAsia="Century Gothic" w:hAnsi="Century Gothic" w:cs="Century Gothic"/>
          <w:sz w:val="20"/>
          <w:szCs w:val="20"/>
        </w:rPr>
        <w:lastRenderedPageBreak/>
        <w:t>in English, and sent through the appropriate channels as defined in Clause 21.5 (Notice).</w:t>
      </w:r>
    </w:p>
    <w:p w14:paraId="00000064"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is not obligated to comply with the Client’s requests and instructions when they exceed the scope of the Services provided by Anchor or where it is contrary to the provision of existing law, regulation, or this Agreement.</w:t>
      </w:r>
    </w:p>
    <w:p w14:paraId="00000065"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Every request or instruction permitted by Anchor may be subjected to additional charges and may be reviewed or modified.</w:t>
      </w:r>
    </w:p>
    <w:p w14:paraId="00000066"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Disclosures</w:t>
      </w:r>
    </w:p>
    <w:p w14:paraId="00000067"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Company shall provide reasonable cooperation and assistance to the Client in connection with any inquiry, investigation, or request, including making available relevant transaction data and information within its possession or control for verification purposes, subject to applicable law, confidentiality obligations, and regulatory restrictions.</w:t>
      </w:r>
    </w:p>
    <w:p w14:paraId="00000068"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undertakes that all data  received from the Client in furtherance of this Agreement shall be processed and protected in accordance with the relevant data protection laws.</w:t>
      </w:r>
    </w:p>
    <w:p w14:paraId="00000069"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however, acknowledges that such data may be disclosed to Anchor’s banking partners and other affiliates for the purpose of this Agreement and that the Client has obtained the requisite consent of the Data Subject for the disclosure of such data.</w:t>
      </w:r>
    </w:p>
    <w:p w14:paraId="0000006A"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Notification of Service Suspension or Cancellation</w:t>
      </w:r>
    </w:p>
    <w:p w14:paraId="0000006B"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for any lawful reason, the Client’s account with Anchor becomes suspended or cancelled by Anchor, Anchor shall notify the Client of the cancellation or suspension within a period not exceeding 72 hours.</w:t>
      </w:r>
    </w:p>
    <w:p w14:paraId="0000006C"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Client’s account may be cancelled or suspended by reason of circumstances that includes; where the Client’s account or business is under investigation for any fraud-related purpose, money laundering, financing of terrorism, facilitation of restricted businesses, non-compliance with the requirements of the law or an obligation under this Agreement.</w:t>
      </w:r>
    </w:p>
    <w:p w14:paraId="0000006D"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Client’s obligations</w:t>
      </w:r>
    </w:p>
    <w:p w14:paraId="0000006E"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lastRenderedPageBreak/>
        <w:t>Permissible use</w:t>
      </w:r>
    </w:p>
    <w:p w14:paraId="0000006F"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agrees to use the Service only in the manner allowed by this Agreement.</w:t>
      </w:r>
    </w:p>
    <w:p w14:paraId="00000070"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shall not use the Services provided by Anchor to enable itself or any person to benefit from any activities which Anchor identifies or may identify from time to time as Restricted Businesses.</w:t>
      </w:r>
    </w:p>
    <w:p w14:paraId="00000071"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also agrees not to use the Services to facilitate illegal transactions or to permit others to do any of the following activities;</w:t>
      </w:r>
    </w:p>
    <w:p w14:paraId="00000072"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circumvent any of the technical limitations of the Services or enable functionality that is disabled or prohibited via Anchor’s API; </w:t>
      </w:r>
    </w:p>
    <w:p w14:paraId="00000073"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reverse engineer or attempt to reverse engineer the Services except as expressly permitted under Applicable Law; </w:t>
      </w:r>
    </w:p>
    <w:p w14:paraId="00000074"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access or attempt to access non-public systems, programs, data, or services owned and managed by Anchor; </w:t>
      </w:r>
    </w:p>
    <w:p w14:paraId="00000075"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copy, reproduce, republish, upload, post, transmit, resell, or distribute in any way, any data, content, or any part of the Services, documentation, or Anchor’s website except as expressly permitted by Applicable Laws; </w:t>
      </w:r>
    </w:p>
    <w:p w14:paraId="00000076"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perform or attempt to perform any actions that would interfere with the normal operation of the Services or affect the use of the Services by Anchor’s other clients; or </w:t>
      </w:r>
    </w:p>
    <w:p w14:paraId="00000077"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maliciously impose an unreasonable or disproportionately large load on the Service.</w:t>
      </w:r>
    </w:p>
    <w:p w14:paraId="00000078"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Client shall be entirely responsible for the correct implementation, installation, integration, correction and operation of all systems, equipment, software and telecommunication on its own platform as well as the use of such services on its own platform. </w:t>
      </w:r>
    </w:p>
    <w:p w14:paraId="00000079"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 xml:space="preserve">The Client shall immediately notify Anchor of any unauthorised use of the Software by a third party or any event that may lead to such unauthorised use. </w:t>
      </w:r>
    </w:p>
    <w:p w14:paraId="0000007A"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Client shall comply with any additional security or authentication measures imposed by Anchor or any of its partners or third party service providers. </w:t>
      </w:r>
    </w:p>
    <w:p w14:paraId="0000007B"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shall comply with all relevant AML/CFT/CPF regulations.</w:t>
      </w:r>
    </w:p>
    <w:p w14:paraId="0000007C"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Client shall carry out the necessary know your customer (KYC) and customer due diligence (CDD) procedures on its customers and such KYC/CDD procedures shall comply with applicable AML/CFT regulations. </w:t>
      </w:r>
    </w:p>
    <w:p w14:paraId="0000007D"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shall make available the KYC and CDD documentation on any Customer on request.</w:t>
      </w:r>
    </w:p>
    <w:p w14:paraId="0000007E"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Implement all appropriate data protection policies, procedures and internal controls including encryption, 2-factor authentication, etc.</w:t>
      </w:r>
    </w:p>
    <w:p w14:paraId="0000007F"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shall be solely responsible for and to the Customers.</w:t>
      </w:r>
    </w:p>
    <w:p w14:paraId="00000080"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Client shall abide by and ensure compliance with all guidelines and conditions related to each transaction or as may be imposed from time to time by Anchor. </w:t>
      </w:r>
    </w:p>
    <w:p w14:paraId="00000081"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 xml:space="preserve">Licences and Permits </w:t>
      </w:r>
    </w:p>
    <w:p w14:paraId="00000082"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is responsible for obtaining all the relevant permits and licences, necessary for it to carry on its business and to utilise the Services.</w:t>
      </w:r>
    </w:p>
    <w:p w14:paraId="00000083"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for any reason, there is a change in the nature of the Client’s business, the Client is obligated to promptly notify Anchor in writing and where such business activities differ from the one contemplated under this Agreement, the Client is responsible for obtaining the relevant licences or permits for the operation of such business.</w:t>
      </w:r>
    </w:p>
    <w:p w14:paraId="00000084"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The Client acknowledges that upon notifying Anchor of such changes in the business, if Anchor determines that it is unable to provide its Services to the Client, by virtue of it being contrary to the provisions of this Agreement or any Applicable Law or for other justifiable reasons, Anchor retains the right to terminate this Agreement according to the provisions of this Agreement.</w:t>
      </w:r>
    </w:p>
    <w:p w14:paraId="00000085"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Upon request, the Client is obligated to provide Anchor with the newly obtained or updated licence and permit, where such is necessary for Anchor to meet its compliance obligations.</w:t>
      </w:r>
    </w:p>
    <w:p w14:paraId="00000086"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Risk Management Controls and Security</w:t>
      </w:r>
    </w:p>
    <w:p w14:paraId="00000087"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agrees to implement risk management controls, including but not limited to the restrictions to certain geographies required by Anchor for the management of fraud or credit risk exposures.</w:t>
      </w:r>
    </w:p>
    <w:p w14:paraId="00000088"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must at all times maintain as well as implement processes that absolutely protect the Customers' data from unauthorised use and unauthorised disclosures during the Client's transmission, storage and disposal of the Customer’s data.</w:t>
      </w:r>
    </w:p>
    <w:p w14:paraId="00000089"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must immediately notify Anchor in writing, where it believes there has been a breach, an error, misappropriation, or unauthorised use of the Services by any of its Customers or a third party. The Client shall give Anchor all information in its possession, as to the circumstances of such breach, error, misappropriation or unauthorised use of the Services and shall take all reasonable steps to assist Anchor in any investigation it may conduct. The Client also understands that Anchor may disclose to third parties such information received  from the Client in the course of its investigation, where such disclosure is to prevent the breach, error, misappropriation or unauthorised use.</w:t>
      </w:r>
    </w:p>
    <w:p w14:paraId="0000008A"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 xml:space="preserve">Payment of Charges </w:t>
      </w:r>
    </w:p>
    <w:p w14:paraId="0000008B"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Prompt payment of charges shall be the essence of this Agreement. The Client shall pay in full all Applicable Fees as at when due;</w:t>
      </w:r>
    </w:p>
    <w:p w14:paraId="0000008C"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Anchor may revise the Applicable Fees from time to time and shall inform the Client in writing of such revision before its implementation. Upon the receipt of the notice of revision from Anchor, the Client shall communicate its acceptance or non-acceptance of the revision to Anchor before the effective date of the revision. Where the Client fails to communicate to Anchor, the Client will be deemed to have accepted the revision and shall be liable to pay the revised fees from the effective date.</w:t>
      </w:r>
    </w:p>
    <w:p w14:paraId="0000008D"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All applicable Fees payable by the Client are exclusive of the taxes, duties, charges, levies or fine which may be levied by the government or other regulatory authorities from time to time. </w:t>
      </w:r>
    </w:p>
    <w:p w14:paraId="0000008E"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All unpaid fees at the time of the termination of this Agreement constitutes a debt to Anchor and such debt can be recovered by Anchor by all legally recognizable means.</w:t>
      </w:r>
    </w:p>
    <w:p w14:paraId="0000008F"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Compliance</w:t>
      </w:r>
    </w:p>
    <w:p w14:paraId="00000090"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represents and warrants that it shall secure all notices and comply with all Applicable Laws, ordinances, rules, and regulations of any governmental entity in conjunction with the performance of obligations under this Agreement.</w:t>
      </w:r>
    </w:p>
    <w:p w14:paraId="00000091"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Client further agrees to comply with Anchor’s compliance policy as may be provided and revised from time to time. This includes but is not limited to anti-money laundering and combating the financing of terrorism compliance, anti-bribery, and corruption compliance.  </w:t>
      </w:r>
    </w:p>
    <w:p w14:paraId="00000092"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Anchor’s compliance policy is incorporated by reference into this Agreement and shall be jointly enforced together with the provisions of this Agreement.</w:t>
      </w:r>
    </w:p>
    <w:p w14:paraId="00000093"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Payment Collection Services</w:t>
      </w:r>
    </w:p>
    <w:p w14:paraId="00000094"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Onboarding requirement</w:t>
      </w:r>
    </w:p>
    <w:p w14:paraId="00000095"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may utilise the Services for payment collection by selecting this service under Schedule A to this Agreement.</w:t>
      </w:r>
    </w:p>
    <w:p w14:paraId="00000096"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When this occurs, Anchor shall require the Client to:</w:t>
      </w:r>
    </w:p>
    <w:p w14:paraId="00000097"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maintain a settlement account with Anchor’s affiliates for the purpose of receiving the payment collected by Anchor from the Client’s customers;</w:t>
      </w:r>
    </w:p>
    <w:p w14:paraId="00000098"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carry out CDD on all its Customers and provide all identification and onboarding documents obtained from the Customers to Anchor at its request;</w:t>
      </w:r>
    </w:p>
    <w:p w14:paraId="00000099"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maintain a  collateral account when it determines the Client’s business to be a high-risk business. High-risk businesses are as set out under Schedule B of this Agreement</w:t>
      </w:r>
    </w:p>
    <w:p w14:paraId="0000009A" w14:textId="77777777" w:rsidR="006A13A2" w:rsidRDefault="00000000">
      <w:pPr>
        <w:widowControl w:val="0"/>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Payment Settlement</w:t>
      </w:r>
    </w:p>
    <w:p w14:paraId="0000009B"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Once payment is processed, Anchor and its affiliates will pay the Client by crediting the settlement account with the amounts that are due to the Client within one (1) Business Day from the date the transaction was completed, unless there are extenuating circumstances. </w:t>
      </w:r>
    </w:p>
    <w:p w14:paraId="0000009C"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Extenuating circumstances will include where Anchor has a reasonable cause to believe that the transaction may be fraudulent or involves other criminal activities, or where there is an ongoing investigation by Anchor or any authorised regulatory or law enforcement agency on such  transaction or on the Client’s settlement account or other events beyond its control such as technology failure. </w:t>
      </w:r>
    </w:p>
    <w:p w14:paraId="0000009D"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amount to be settled into the Client’s settlement bank account shall be net of transaction fees as set out under Schedule A to this Agreement. </w:t>
      </w:r>
    </w:p>
    <w:p w14:paraId="0000009E"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Notwithstanding the provision above, Anchor shall have the right to withhold payments processed on behalf of the Client, where there are suspicions that the payments may be linked or associated with fraudulent, illegal, or criminal activity or in connection with a request from a partner bank or law enforcement agency.</w:t>
      </w:r>
    </w:p>
    <w:p w14:paraId="0000009F"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Where this occurs, Anchor shall where legally possible inform the Client of the grounds for the suspicion and may request for further information from the Client. When such requests are made, the Client undertakes to co-operate with Anchor or any of its partners on this investigation and to </w:t>
      </w:r>
      <w:r>
        <w:rPr>
          <w:rFonts w:ascii="Century Gothic" w:eastAsia="Century Gothic" w:hAnsi="Century Gothic" w:cs="Century Gothic"/>
          <w:sz w:val="20"/>
          <w:szCs w:val="20"/>
        </w:rPr>
        <w:lastRenderedPageBreak/>
        <w:t>provide such information and documents which may be requested immediately upon request.</w:t>
      </w:r>
    </w:p>
    <w:p w14:paraId="000000A0"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is agreed between the Parties that at the occurrence of the circumstances contemplated under clause 7.2.4, such funds shall be held by Anchor until the resolution of the suspicion, and the Client undertakes to indemnify Anchor against such losses, penalties or expenses it may incur in responding to and attending to a receiving bank, partner bank, or law enforcement inquiries. In addition to the foregoing, the Client understands and accepts that Anchor reserves the right to suspend the provision of the Services until such suspicion or inquiry is resolved.</w:t>
      </w:r>
    </w:p>
    <w:p w14:paraId="000000A1"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a regulatory inquiry, law enforcement request, court order, investigation, inspection, audit, enforcement action, or request for information is initiated to verify the legality or otherwise of the Client’s transactions or its Customers, the Client shall be solely responsible for all costs, expenses, charges, and liabilities incurred by the Company arising out of or in connection with it</w:t>
      </w:r>
    </w:p>
    <w:p w14:paraId="000000A2"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Client’s obligations under this Clause shall apply regardless of whether the relevant request, inquiry, or action arises from the acts or omissions of the Client, its End Users, or any third party connected to the Client’s use of the Services, and irrespective of whether any breach or wrongdoing is ultimately established. </w:t>
      </w:r>
    </w:p>
    <w:p w14:paraId="000000A3"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In relation to such regulatory request or inquiry, the Client shall promptly reimburse the Company, on demand, for all reasonable costs and expenses incurred in responding to such matters, including but not limited to legal fees, regulatory filing costs, travel/logistics related expenses, and administrative costs as reasonably incurred.</w:t>
      </w:r>
    </w:p>
    <w:p w14:paraId="000000A4"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any such costs or expenses are not reimbursed by the Client when due, the Company shall be entitled, without prejudice to any other rights or remedies available to it, to set off or net such amounts against any funds, settlements, or amounts otherwise payable by the Company to the Client under this Agreement.</w:t>
      </w:r>
    </w:p>
    <w:p w14:paraId="000000A5" w14:textId="77777777" w:rsidR="006A13A2" w:rsidRDefault="00000000">
      <w:pPr>
        <w:widowControl w:val="0"/>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Reconciliation</w:t>
      </w:r>
    </w:p>
    <w:p w14:paraId="000000A6"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Anchor shall provide the Client with a dashboard that allows the Client to monitor in real-time all transactions processed on its behalf by Anchor.</w:t>
      </w:r>
    </w:p>
    <w:p w14:paraId="000000A7"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agrees to be solely responsible for reconciling the information in the Dashboard generated by the use of Anchor’s collections Services with the Client’s records of Customer transactions.</w:t>
      </w:r>
    </w:p>
    <w:p w14:paraId="000000A8"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further agrees to  notify Anchor of any discrepancies within thirty (30) days of the occurrence of such discrepancy. Upon receipt of such notification of discrepancy, Anchor agrees to investigate with the aim of reconciling records within three (3) days of receipt.</w:t>
      </w:r>
    </w:p>
    <w:p w14:paraId="000000A9"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Anchor finds that such discrepancy was due to its error or an error by any of its partners or  affiliates, it shall promptly rectify them by crediting or debiting the Client’s settlement account;</w:t>
      </w:r>
    </w:p>
    <w:p w14:paraId="000000AA"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Client further acknowledges that the failure to communicate a discrepancy to Anchor for review without undue delay and, in any event, within 30 days after the occurrence of such discrepancy, the Client waives its right to make any claim against Anchor or its Partners for any amounts associated with the error. </w:t>
      </w:r>
    </w:p>
    <w:p w14:paraId="000000AB" w14:textId="77777777" w:rsidR="006A13A2" w:rsidRDefault="00000000">
      <w:pPr>
        <w:widowControl w:val="0"/>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In the event that the Client or a Customer exploits an error or glitch on the Anchor system, Software, or the Services to initiate transactions, Anchor reserves the right, upon discovery, to  exercise its discretion to recover the funds from the Client’s master account with Anchor.   </w:t>
      </w:r>
    </w:p>
    <w:p w14:paraId="000000AC" w14:textId="77777777" w:rsidR="006A13A2" w:rsidRDefault="006A13A2">
      <w:pPr>
        <w:widowControl w:val="0"/>
        <w:spacing w:after="200" w:line="360" w:lineRule="auto"/>
        <w:ind w:left="2160"/>
        <w:jc w:val="both"/>
        <w:rPr>
          <w:rFonts w:ascii="Century Gothic" w:eastAsia="Century Gothic" w:hAnsi="Century Gothic" w:cs="Century Gothic"/>
          <w:sz w:val="20"/>
          <w:szCs w:val="20"/>
        </w:rPr>
      </w:pPr>
    </w:p>
    <w:p w14:paraId="000000AD" w14:textId="77777777" w:rsidR="006A13A2" w:rsidRDefault="00000000">
      <w:pPr>
        <w:widowControl w:val="0"/>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Refunds and Reversals</w:t>
      </w:r>
    </w:p>
    <w:p w14:paraId="000000AE" w14:textId="77777777" w:rsidR="006A13A2" w:rsidRDefault="00000000">
      <w:pPr>
        <w:widowControl w:val="0"/>
        <w:numPr>
          <w:ilvl w:val="2"/>
          <w:numId w:val="10"/>
        </w:numPr>
        <w:spacing w:after="200" w:line="360" w:lineRule="auto"/>
        <w:ind w:right="6"/>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a payment made by the Customer is reversed by the Customer’s bank after the transaction has been processed by Anchor, the Client understands and agrees that Anchor shall not be liable for such reversals and that such claims shall be pursued by the Client against the Customers.</w:t>
      </w:r>
    </w:p>
    <w:p w14:paraId="000000AF" w14:textId="77777777" w:rsidR="006A13A2" w:rsidRDefault="00000000">
      <w:pPr>
        <w:widowControl w:val="0"/>
        <w:numPr>
          <w:ilvl w:val="2"/>
          <w:numId w:val="10"/>
        </w:numPr>
        <w:spacing w:after="200" w:line="360" w:lineRule="auto"/>
        <w:ind w:right="6"/>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undertakes to provide on its websites or platforms a description of its refund, return, and cancellation policy.</w:t>
      </w:r>
    </w:p>
    <w:p w14:paraId="000000B0" w14:textId="77777777" w:rsidR="006A13A2" w:rsidRDefault="00000000">
      <w:pPr>
        <w:widowControl w:val="0"/>
        <w:numPr>
          <w:ilvl w:val="2"/>
          <w:numId w:val="10"/>
        </w:numPr>
        <w:spacing w:after="200" w:line="360" w:lineRule="auto"/>
        <w:ind w:right="6"/>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Anchor reserves the right to refuse the execution of a refund where : </w:t>
      </w:r>
    </w:p>
    <w:p w14:paraId="000000B1" w14:textId="77777777" w:rsidR="006A13A2" w:rsidRDefault="00000000">
      <w:pPr>
        <w:widowControl w:val="0"/>
        <w:numPr>
          <w:ilvl w:val="3"/>
          <w:numId w:val="10"/>
        </w:numPr>
        <w:spacing w:after="200" w:line="360" w:lineRule="auto"/>
        <w:ind w:right="6"/>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it is prohibited by the Applicable Law; or</w:t>
      </w:r>
    </w:p>
    <w:p w14:paraId="000000B2" w14:textId="77777777" w:rsidR="006A13A2" w:rsidRDefault="00000000">
      <w:pPr>
        <w:widowControl w:val="0"/>
        <w:numPr>
          <w:ilvl w:val="3"/>
          <w:numId w:val="10"/>
        </w:numPr>
        <w:spacing w:after="200" w:line="360" w:lineRule="auto"/>
        <w:ind w:right="6"/>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does not comply with the provisions of this Agreement; </w:t>
      </w:r>
    </w:p>
    <w:p w14:paraId="000000B3" w14:textId="77777777" w:rsidR="006A13A2" w:rsidRDefault="00000000">
      <w:pPr>
        <w:widowControl w:val="0"/>
        <w:numPr>
          <w:ilvl w:val="3"/>
          <w:numId w:val="10"/>
        </w:numPr>
        <w:spacing w:after="200" w:line="360" w:lineRule="auto"/>
        <w:ind w:right="6"/>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is placed under a fraud investigation or other risk-related reasons, and shall notify the Client of such refusal.</w:t>
      </w:r>
    </w:p>
    <w:p w14:paraId="000000B4"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highlight w:val="white"/>
        </w:rPr>
        <w:t>Transaction charges for any processed payment services are non-refundable. This applies regardless of the outcome of the transaction, including but not limited to cases of reversals, refunds, chargebacks, or disputes. All transaction fees are final and will not be credited back to the Client or any other party under any circumstances.</w:t>
      </w:r>
    </w:p>
    <w:p w14:paraId="000000B5"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Data Protection</w:t>
      </w:r>
    </w:p>
    <w:p w14:paraId="000000B6"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Both parties have an obligation for the protection of all Personal Data collected and stored by them and shall apply all commercially reasonable administrative, technical and physical procedures to protect such data from unauthorised access, modification and breach.</w:t>
      </w:r>
    </w:p>
    <w:p w14:paraId="000000B7"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parties must take all steps necessary to ensure that any person acting under their authority who has access to Personal Data is subject to a duly enforceable contract or statutory confidentiality obligation.</w:t>
      </w:r>
    </w:p>
    <w:p w14:paraId="000000B8"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undertakes that in relation to the processing of Personal Data in the context of the Services, it acts as a Data Controller and that:</w:t>
      </w:r>
    </w:p>
    <w:p w14:paraId="000000B9"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shall take reasonable and necessary steps to ensure that all Personal Data obtained from Data Subjects are accurate, complete, current, relevant and limited to what is necessary in relation to the purposes for which they are processed;</w:t>
      </w:r>
    </w:p>
    <w:p w14:paraId="000000BA"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obtain and maintain  the consent of the Data Subject for the Client and Anchor to process the Personal Data of the Data Subject</w:t>
      </w:r>
    </w:p>
    <w:p w14:paraId="000000BB"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implement appropriate technical and organisational measures to ensure and to be able to demonstrate that the processing of Personal Data is in accordance with Applicable Laws;</w:t>
      </w:r>
    </w:p>
    <w:p w14:paraId="000000BC"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respond to the Data Subjects’ request to exercise their right of access, rectification, erasure, data portability, and restriction of processing of Personal Data;</w:t>
      </w:r>
    </w:p>
    <w:p w14:paraId="000000BD"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parties agree to be liable to the Data Subject for any breach in their obligation for data protection in the following manner:</w:t>
      </w:r>
    </w:p>
    <w:p w14:paraId="000000BE" w14:textId="77777777" w:rsidR="006A13A2" w:rsidRDefault="00000000">
      <w:pPr>
        <w:numPr>
          <w:ilvl w:val="4"/>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is  liable to the Data Subjects when acting as a Data Processor, for any damage that is caused in processing such Personal Data in a manner contrary to this Agreement or the provision of any Applicable Law;</w:t>
      </w:r>
    </w:p>
    <w:p w14:paraId="000000BF" w14:textId="77777777" w:rsidR="006A13A2" w:rsidRDefault="00000000">
      <w:pPr>
        <w:numPr>
          <w:ilvl w:val="4"/>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will only be liable when it acts as Data Processor, for any damage caused only when it processes such data in a manner contrary to the provisions of an Applicable Law specifically targeted to Data Processors or where it has acted outside of or contrary to Client’s written and lawful instructions.</w:t>
      </w:r>
    </w:p>
    <w:p w14:paraId="000000C0"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where both parties are involved in the same data processing, each party shall be liable only to the extent of its non compliance with this Agreement or any Applicable Law;  </w:t>
      </w:r>
    </w:p>
    <w:p w14:paraId="000000C1"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where both parties are equally liable for any breach of the right of the Data Subject to the protection of its Personal Data, the parties shall be equally liable for the full compensation of the Data Subject. Where Anchor paid the full compensation for the damage suffered by the Data Subject, it shall be entitled to claim back from the Client that part of the compensation which corresponds to the Client's part of the responsibility for the damage. </w:t>
      </w:r>
    </w:p>
    <w:p w14:paraId="000000C2"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Other reporting obligations</w:t>
      </w:r>
    </w:p>
    <w:p w14:paraId="000000C3"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Treatment of dormant accounts</w:t>
      </w:r>
    </w:p>
    <w:p w14:paraId="000000C4"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Client’s account with Anchor will be deemed dormant where there are no deposits or withdrawals for a continuous  period of 12 months.</w:t>
      </w:r>
    </w:p>
    <w:p w14:paraId="000000C5"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Where Anchor deems a Client’s account to be dormant, such account shall be administered in accordance with Central Bank of Nigeria’s guidelines on the management of dormant account and unclaimed funds by banks and other financial institutions, as may be amended from time to time.</w:t>
      </w:r>
    </w:p>
    <w:p w14:paraId="000000C6"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Ancillary reports</w:t>
      </w:r>
    </w:p>
    <w:p w14:paraId="000000C7" w14:textId="77777777" w:rsidR="006A13A2" w:rsidRDefault="00000000">
      <w:pPr>
        <w:spacing w:after="200" w:line="360" w:lineRule="auto"/>
        <w:ind w:left="1440"/>
        <w:jc w:val="both"/>
        <w:rPr>
          <w:rFonts w:ascii="Century Gothic" w:eastAsia="Century Gothic" w:hAnsi="Century Gothic" w:cs="Century Gothic"/>
          <w:sz w:val="20"/>
          <w:szCs w:val="20"/>
        </w:rPr>
      </w:pPr>
      <w:r>
        <w:rPr>
          <w:rFonts w:ascii="Century Gothic" w:eastAsia="Century Gothic" w:hAnsi="Century Gothic" w:cs="Century Gothic"/>
          <w:sz w:val="20"/>
          <w:szCs w:val="20"/>
        </w:rPr>
        <w:t>Each party undertakes to comply with the requirements of all Applicable Laws, with respect to making reports and filings, and to do so within the required time. Each party undertakes to be solely responsible for any liability incurred by failIng to file such reports as at when due except where it can be proven that a party’s failure is attributable to an act or omission of the other party.</w:t>
      </w:r>
    </w:p>
    <w:p w14:paraId="000000C8"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Ownership of customer</w:t>
      </w:r>
    </w:p>
    <w:p w14:paraId="000000C9"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parties agree that upon onboarding the Customers in accordance with Anchor’s activation procedures, such aforementioned Customers become solely a Customer of the Client, with respect to Anchor’s Services.</w:t>
      </w:r>
    </w:p>
    <w:p w14:paraId="000000CA"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Anchor’s responsibility with respect to the Customers shall be limited only to matters of compliance as covered under Clause 6, and the Client shall be responsible for the performance of such obligations it has with its Customers.</w:t>
      </w:r>
    </w:p>
    <w:p w14:paraId="000000CB"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understands and agrees that Anchor has no agreement or contract with its Customers and shall not be liable for the Client’s non-performance of its obligations.</w:t>
      </w:r>
    </w:p>
    <w:p w14:paraId="000000CC"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Notwithstanding the foregoing Anchor retains the right to have any relationship with the Customer, through its own business relation with such Customer, when such relationship is independent of this Agreement with the Client. </w:t>
      </w:r>
    </w:p>
    <w:p w14:paraId="000000CD"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 xml:space="preserve">Taxation </w:t>
      </w:r>
    </w:p>
    <w:p w14:paraId="000000CE"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Each party has an obligation for the payment of taxes and such taxes shall be as determined by the Applicable Law from time to time. </w:t>
      </w:r>
    </w:p>
    <w:p w14:paraId="000000CF"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fees fixed by Anchor as consideration for the use of the Services by the Client are exclusive of all taxes imposed by any governmental authority. Tax imposed are subject to such change as may be made by the appropriate regulatory authorities </w:t>
      </w:r>
      <w:r>
        <w:rPr>
          <w:rFonts w:ascii="Century Gothic" w:eastAsia="Century Gothic" w:hAnsi="Century Gothic" w:cs="Century Gothic"/>
          <w:sz w:val="20"/>
          <w:szCs w:val="20"/>
        </w:rPr>
        <w:lastRenderedPageBreak/>
        <w:t>from time to time. Where any change is made to the amount payable as tax under an Applicable Law, Anchor shall apply such change without notice to the Client and the Client agrees that it is deemed to have knowledge of such changes.</w:t>
      </w:r>
    </w:p>
    <w:p w14:paraId="000000D0"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is responsible for tax collection and remittances for the services it provides for its Customers and has the responsibility to retain records of payments made and collected in furtherance of this. Tax deductions must be commensurate with the amount imposed by the Applicable Law and the Customers must be notified of the amount deducted by the Client in the payment of taxes.</w:t>
      </w:r>
    </w:p>
    <w:p w14:paraId="000000D1"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liability of each party for the payment of taxes is as covered under this clause and Anchor will not be liable for the Client’s tax evasion. </w:t>
      </w:r>
    </w:p>
    <w:p w14:paraId="000000D2"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Third-party contract</w:t>
      </w:r>
    </w:p>
    <w:p w14:paraId="000000D3"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may from the Effective Date, enter into contracts with third parties for the purpose of this Agreement. However, such contract shall not be contrary to an express or implied provision of this Agreement and shall be subject to this Agreement.</w:t>
      </w:r>
    </w:p>
    <w:p w14:paraId="000000D4"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the contract is with a third party other than the Customers or it is for subcontracting to carry out all or part of its operation and management obligations with direct or indirect impact and relevance to this Agreement, such contract shall only be valid upon the express consent of Anchor.</w:t>
      </w:r>
    </w:p>
    <w:p w14:paraId="000000D5"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No contract entered into by the Client with any third party shall amend, alter, or modify any provision of this Agreement and the Client shall be liable to ensure the non-derogation of such agreement with this Agreement.</w:t>
      </w:r>
    </w:p>
    <w:p w14:paraId="000000D6"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is wholly responsible for all liabilities, disputes, or claims that may arise by reason of such third party contracts and the Client undertakes to indemnify Anchor for any loss that it may suffer by reason of such third party contracts.</w:t>
      </w:r>
    </w:p>
    <w:p w14:paraId="000000D7" w14:textId="77777777" w:rsidR="006A13A2" w:rsidRDefault="006A13A2">
      <w:pPr>
        <w:spacing w:after="200" w:line="360" w:lineRule="auto"/>
        <w:ind w:left="1440"/>
        <w:jc w:val="both"/>
        <w:rPr>
          <w:rFonts w:ascii="Century Gothic" w:eastAsia="Century Gothic" w:hAnsi="Century Gothic" w:cs="Century Gothic"/>
          <w:sz w:val="20"/>
          <w:szCs w:val="20"/>
        </w:rPr>
      </w:pPr>
    </w:p>
    <w:p w14:paraId="000000D8"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Intellectual property</w:t>
      </w:r>
    </w:p>
    <w:p w14:paraId="000000D9"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Software licence</w:t>
      </w:r>
    </w:p>
    <w:p w14:paraId="000000DA"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Anchor grants the Client a revocable, non-exclusive, non-transferable, royalty-free limited licence to access and or use Anchor’s APIs, developer’s toolkit, and other software in accordance with the accompanying documentation made available by Anchor for purposes of using the Services. This licence grant includes all updates, upgrades, new versions, and replacement software for the Client’s use in connection with the Services.</w:t>
      </w:r>
    </w:p>
    <w:p w14:paraId="000000DB"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In the event that the Client does not comply with the documentation and any other requirements provided by Anchor for the purpose of utilising the Services, the Client agrees to be held liable for all resulting damages suffered by the Client, Anchor, and third parties. The Client further provides full indemnity to Anchor and third parties for any such losses incurred from such damages caused by the Client’s non-compliance.</w:t>
      </w:r>
    </w:p>
    <w:p w14:paraId="000000DC"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Unless otherwise provided by Applicable Law, the Client agrees not to alter, reproduce, adapt, distribute, display, publish, reverse engineer, translate, disassemble, decompile or otherwise attempt to create any source code that is derived from the Software. </w:t>
      </w:r>
    </w:p>
    <w:p w14:paraId="000000DD"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Upon expiration or termination of this Agreement, the Client shall immediately cease all use of the Software.</w:t>
      </w:r>
    </w:p>
    <w:p w14:paraId="000000DE"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Trademark licence</w:t>
      </w:r>
    </w:p>
    <w:p w14:paraId="000000DF"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Subject to Anchor’s written consent being sought and obtained, Anchor hereby grants the Client a personal, non-assignable, non-exclusive licence to use Anchor’s trademarks only in connection with the Services provided in accordance with the Agreement. Provided that the manner of use shall be as stipulated or permitted by Anchor from time to time and the Client agrees that it shall not derive any title or interest in the trademarks or any part thereof and shall not attain any goodwill in respect of it.</w:t>
      </w:r>
    </w:p>
    <w:p w14:paraId="000000E0"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Client may not at any time before or after the termination of this Agreement, directly or indirectly adopt or use any trademark, symbol or device that incorporates or is deceptively or confusingly similar to Anchor’s trademark, dispute the validity of the trademark of Anchor, seek for itself or </w:t>
      </w:r>
      <w:r>
        <w:rPr>
          <w:rFonts w:ascii="Century Gothic" w:eastAsia="Century Gothic" w:hAnsi="Century Gothic" w:cs="Century Gothic"/>
          <w:sz w:val="20"/>
          <w:szCs w:val="20"/>
        </w:rPr>
        <w:lastRenderedPageBreak/>
        <w:t xml:space="preserve">for any third party the right to register or otherwise protect anywhere in the world, any trademark identical or confusingly similar to Anchor’s trademark. </w:t>
      </w:r>
    </w:p>
    <w:p w14:paraId="000000E1"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No transfer of IP rights</w:t>
      </w:r>
    </w:p>
    <w:p w14:paraId="000000E2"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undertakes and agrees that the licence of Intellectual Property rights under this Agreement shall not be construed to be a transfer, conveyance, or assignment of such Intellectual Property rights and other proprietary rights.</w:t>
      </w:r>
    </w:p>
    <w:p w14:paraId="000000E3"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acknowledges and agrees that the ownership of all rights and interests in and to the Intellectual Property right is vested in and will accrue to Anchor only.</w:t>
      </w:r>
    </w:p>
    <w:p w14:paraId="000000E4"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Publicity</w:t>
      </w:r>
    </w:p>
    <w:p w14:paraId="000000E5" w14:textId="77777777" w:rsidR="006A13A2" w:rsidRDefault="00000000">
      <w:pPr>
        <w:spacing w:after="200" w:line="360" w:lineRule="auto"/>
        <w:ind w:left="720"/>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hereby authorises and consents that Anchor may make reference to, use and reproduce the Client’s name, logos, signs, and other insignia in any material or medium for the advertisement, publicity and promotion of its services . Provided that Anchor shall not thereby or otherwise derive any title, interest, claim, right or goodwill in such name, logos, signs and other insignia.</w:t>
      </w:r>
    </w:p>
    <w:p w14:paraId="000000E6"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Confidential information</w:t>
      </w:r>
    </w:p>
    <w:p w14:paraId="000000E7"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Each party has an obligation to use Confidential Information only for the purposes of this Agreement and shall not disclose such Confidential Information to any third party unless legally required or specifically authorised under this Agreement, without the prior written consent of the Disclosing Party.</w:t>
      </w:r>
    </w:p>
    <w:p w14:paraId="000000E8"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Recipient of Confidential Information shall;</w:t>
      </w:r>
    </w:p>
    <w:p w14:paraId="000000E9"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protect and safeguard Confidential Information against unauthorised disclosure and access to a standard that it applies to its own Confidential Information, and in any case with reasonable skill and care;</w:t>
      </w:r>
    </w:p>
    <w:p w14:paraId="000000EA"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only make copies of the Confidential Information as is necessary for the purpose of this Agreement;</w:t>
      </w:r>
    </w:p>
    <w:p w14:paraId="000000EB"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disclose the Confidential Information only to such of its representatives that have need to obtain or have access to such information and that are obliged by an agreement to keep the information confidential;</w:t>
      </w:r>
    </w:p>
    <w:p w14:paraId="000000EC"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to the extent permitted by law inform the Disclosing Party promptly of any breach or suspected breach of any of its obligations as contained under this clause.</w:t>
      </w:r>
    </w:p>
    <w:p w14:paraId="000000ED"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obligations for confidentiality as contained in clauses 15.1 and 15.2 shall not extend to such information which:</w:t>
      </w:r>
    </w:p>
    <w:p w14:paraId="000000EE"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Recipient knew or possessed before the Disclosing Party disclosed it to the Recipient;</w:t>
      </w:r>
    </w:p>
    <w:p w14:paraId="000000EF"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Recipient received from a third party who has no obligation for confidentiality;</w:t>
      </w:r>
    </w:p>
    <w:p w14:paraId="000000F0"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is within the knowledge of the public prior to and without a breach of this Agreement;</w:t>
      </w:r>
    </w:p>
    <w:p w14:paraId="000000F1"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is required to be disclosed by an order of the Court or other competent authority or by virtue of an Applicable Law, provided that the Disclosing Party has used reasonable efforts to prevent such disclosure as it would its own Confidential Information and where practically possible, inform the Recipient of such disclosure;</w:t>
      </w:r>
    </w:p>
    <w:p w14:paraId="000000F2"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Is disclosed with the prior written approval of the Disclosing Party.</w:t>
      </w:r>
    </w:p>
    <w:p w14:paraId="000000F3" w14:textId="77777777" w:rsidR="006A13A2" w:rsidRDefault="00000000">
      <w:pPr>
        <w:spacing w:after="200" w:line="360" w:lineRule="auto"/>
        <w:ind w:left="1440" w:hanging="72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15.4 </w:t>
      </w:r>
      <w:r>
        <w:rPr>
          <w:rFonts w:ascii="Century Gothic" w:eastAsia="Century Gothic" w:hAnsi="Century Gothic" w:cs="Century Gothic"/>
          <w:sz w:val="20"/>
          <w:szCs w:val="20"/>
        </w:rPr>
        <w:tab/>
        <w:t>The parties confidentiality obligations shall last throughout the subsistence of the Agreement and for three (3) years after the expiration/termination of the Agreement. However, the confidentiality obligations related to a party’s trade secrets will remain in effect indefinitely or until such time when the Confidential Information becomes public knowledge through no fault of the Recipient.</w:t>
      </w:r>
    </w:p>
    <w:p w14:paraId="000000F4" w14:textId="77777777" w:rsidR="006A13A2" w:rsidRDefault="00000000">
      <w:pPr>
        <w:numPr>
          <w:ilvl w:val="0"/>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MAINTENANCE</w:t>
      </w:r>
    </w:p>
    <w:p w14:paraId="000000F5"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recognises Anchor’s rights to provide routine maintenance checks for the Services under this Agreement.</w:t>
      </w:r>
    </w:p>
    <w:p w14:paraId="000000F6"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Anchor undertakes that such checks shall only be carried out for the purpose of ensuring the effectiveness of the Services and to guarantee their security.</w:t>
      </w:r>
    </w:p>
    <w:p w14:paraId="000000F7"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such check shall impede or affect the Client’s access to the Services, Software or API, Anchor undertakes that, it shall provide the Client with seven (7) days written notices for that purpose. The Client understands and accepts, that written notices shall include all electronic communication systems agreed to between the parties.</w:t>
      </w:r>
    </w:p>
    <w:p w14:paraId="000000F8"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undertakes that except for circumstances which it deems to be exceptional such maintenance shall not exceed 24 hours, and the Client’s access to the Services, Software or API shall be restored within such 24 hours.</w:t>
      </w:r>
    </w:p>
    <w:p w14:paraId="000000F9"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understands and accepts that the requirement for notice as provided for in clause 16.3, may be forfeited in circumstances where Anchor determines that a maintenance check is urgent for security purposes;</w:t>
      </w:r>
    </w:p>
    <w:p w14:paraId="000000FA"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undertakes that with respect to Clause 16.5, it shall exert its best efforts to ensure that the business activity of the Client is not impeded for a period longer than 48 hours.</w:t>
      </w:r>
    </w:p>
    <w:p w14:paraId="000000FB" w14:textId="77777777" w:rsidR="006A13A2" w:rsidRDefault="00000000">
      <w:pPr>
        <w:numPr>
          <w:ilvl w:val="0"/>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REPRESENTATIONS AND WARRANTIES</w:t>
      </w:r>
    </w:p>
    <w:p w14:paraId="000000FC" w14:textId="77777777" w:rsidR="006A13A2" w:rsidRDefault="00000000">
      <w:pPr>
        <w:numPr>
          <w:ilvl w:val="1"/>
          <w:numId w:val="10"/>
        </w:numPr>
        <w:spacing w:line="360" w:lineRule="auto"/>
        <w:jc w:val="both"/>
        <w:rPr>
          <w:sz w:val="20"/>
          <w:szCs w:val="20"/>
        </w:rPr>
      </w:pPr>
      <w:r>
        <w:rPr>
          <w:rFonts w:ascii="Century Gothic" w:eastAsia="Century Gothic" w:hAnsi="Century Gothic" w:cs="Century Gothic"/>
          <w:b/>
          <w:bCs/>
          <w:sz w:val="20"/>
          <w:szCs w:val="20"/>
        </w:rPr>
        <w:t>Client’s representations and warranties</w:t>
      </w:r>
      <w:r>
        <w:rPr>
          <w:rFonts w:ascii="Century Gothic" w:eastAsia="Century Gothic" w:hAnsi="Century Gothic" w:cs="Century Gothic"/>
          <w:sz w:val="20"/>
          <w:szCs w:val="20"/>
        </w:rPr>
        <w:t xml:space="preserve"> </w:t>
      </w:r>
    </w:p>
    <w:p w14:paraId="000000FD" w14:textId="77777777" w:rsidR="006A13A2" w:rsidRDefault="00000000">
      <w:pPr>
        <w:spacing w:after="200" w:line="360" w:lineRule="auto"/>
        <w:ind w:left="720"/>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represents and warrants to Anchor that:</w:t>
      </w:r>
    </w:p>
    <w:p w14:paraId="000000FE"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is a validly organised and validly existing company in good standing under the laws of the country where its principal office is located and it shall inform Anchor immediately whenever there is a change to its corporate status;</w:t>
      </w:r>
    </w:p>
    <w:p w14:paraId="000000FF"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has the power to execute, deliver and perform this Agreement, and that this Agreement is duly authorised, and will not violate any provisions of the law, or conflict with any other agreement to which the Client is subject to;</w:t>
      </w:r>
    </w:p>
    <w:p w14:paraId="00000100"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has the necessary licences and regulatory approvals to conduct its business and to enter into this Agreement;</w:t>
      </w:r>
    </w:p>
    <w:p w14:paraId="00000101"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to the best of its knowledge there is no action, suit or proceeding at law or in equity, now pending or threatened by or against  or affecting the Client </w:t>
      </w:r>
      <w:r>
        <w:rPr>
          <w:rFonts w:ascii="Century Gothic" w:eastAsia="Century Gothic" w:hAnsi="Century Gothic" w:cs="Century Gothic"/>
          <w:sz w:val="20"/>
          <w:szCs w:val="20"/>
        </w:rPr>
        <w:lastRenderedPageBreak/>
        <w:t>which would substantially impair the Client’s right to carry on its business as now conducted or adversely affect its financial position or operation;</w:t>
      </w:r>
    </w:p>
    <w:p w14:paraId="00000102"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shall not use the services provided by Anchor in connection with any illegal or fraudulent business activities;</w:t>
      </w:r>
    </w:p>
    <w:p w14:paraId="00000103"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to the best of the Client’s knowledge, every information delivered by the Client to Anchor, in support of this Agreement or in the performance of the Client’s obligations under this Agreement shall not infringe on any copyright, patent, trade secret or other Intellectual Property or proprietary right held by any third party;</w:t>
      </w:r>
    </w:p>
    <w:p w14:paraId="00000104"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when executed and delivered by the Client, this Agreement shall constitute the legal, valid and binding obligation of the Client and shall be enforceable in accordance with the terms of this Agreement;</w:t>
      </w:r>
    </w:p>
    <w:p w14:paraId="00000105"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shall not alter, copy, modify or tamper with any hardware or software which is to be provided by Anchor in furtherance of this Agreement;</w:t>
      </w:r>
    </w:p>
    <w:p w14:paraId="00000106"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shall Install such measures as may be necessary to protect the security and integrity of related hardware or software, whether owned by the Client or by Anchor;</w:t>
      </w:r>
    </w:p>
    <w:p w14:paraId="00000107"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agrees that Anchor, at its discretion, may remove materials that it deems to be objectionable when such material resides on Anchor’s servers;</w:t>
      </w:r>
    </w:p>
    <w:p w14:paraId="00000108"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shall make connections to such other systems as Anchor may require from time to time and shall comply with reasonable and  acceptable use policies, rules, regulations, terms, and conditions of any networks accessed by the Client through the Services;</w:t>
      </w:r>
    </w:p>
    <w:p w14:paraId="00000109"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required, it shall comply with all security and encryption standards, rules, and procedures that may be imposed by Anchor from time to time;</w:t>
      </w:r>
    </w:p>
    <w:p w14:paraId="0000010A"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shall comply with any technical specifications available on Anchor’s website, which may be modified or updated by Anchor as and when it deems necessary;</w:t>
      </w:r>
    </w:p>
    <w:p w14:paraId="0000010B"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shall not sell, assign, licence, transfer or permit the use of the Services without the written permission of Anchor.</w:t>
      </w:r>
    </w:p>
    <w:p w14:paraId="0000010C"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lastRenderedPageBreak/>
        <w:t>Company’s representations and warranties</w:t>
      </w:r>
    </w:p>
    <w:p w14:paraId="0000010D" w14:textId="77777777" w:rsidR="006A13A2" w:rsidRDefault="00000000">
      <w:pPr>
        <w:spacing w:after="200" w:line="360" w:lineRule="auto"/>
        <w:ind w:left="1440"/>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represents and warrants to the Client that:</w:t>
      </w:r>
    </w:p>
    <w:p w14:paraId="0000010E"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is a duly incorporated entity, with the legal capacity to enter into this Agreement and that it has obtained all necessary permits, licences and approvals necessary to provide the services contracted for by the Client under this Agreement;</w:t>
      </w:r>
    </w:p>
    <w:p w14:paraId="0000010F"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shall use its best endeavours to provide the Client with the Services for which the Client subscribed and pay the Applicable Fees;</w:t>
      </w:r>
    </w:p>
    <w:p w14:paraId="00000110"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its agreement to perform the Services under this Agreement does not violate any agreement or obligation between Anchor and any third party;</w:t>
      </w:r>
    </w:p>
    <w:p w14:paraId="00000111"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to the best of its knowledge, none of its products or services violates any law or regulation for the time being within the jurisdiction of its operation;</w:t>
      </w:r>
    </w:p>
    <w:p w14:paraId="00000112"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to the best of its knowledge, no element of Anchor’s Software or Services constitutes a breach of any patent, copyright, or other intellectual property in its country of operation;</w:t>
      </w:r>
    </w:p>
    <w:p w14:paraId="00000113"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neither warrants that the operation of the Software, Services or any ancillary products or services will be uninterrupted or error-free, nor will it be 100% fraud or fail-proof but rather, that it shall do all reasonable within its powers and capabilities to ensure the safety and efficiency of its Software for the use of its Clients.</w:t>
      </w:r>
    </w:p>
    <w:p w14:paraId="00000114"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except as set forth in this clause 17, Anchor makes no express or implied representations or warranties with respect to the Software or its condition, merchantability, or fitness for any particular purpose or use by the Client; </w:t>
      </w:r>
    </w:p>
    <w:p w14:paraId="00000115"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it disclaims and excludes any warranty that is not expressly stated in this Agreement;</w:t>
      </w:r>
    </w:p>
    <w:p w14:paraId="00000116"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Both parties warrant that they are not contemplating or in the process of being wound up.</w:t>
      </w:r>
    </w:p>
    <w:p w14:paraId="00000117" w14:textId="77777777" w:rsidR="006A13A2" w:rsidRDefault="00000000">
      <w:pPr>
        <w:numPr>
          <w:ilvl w:val="0"/>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INDEMNIFICATION AND LIMITATION OF LIABILITY</w:t>
      </w:r>
    </w:p>
    <w:p w14:paraId="00000118"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Where any loss is incurred or any penalty or fine is levied on a party (the “First Party”) for its breach of the warranties previously given or by a breach of this Agreement or any Applicable Law. The other party who suffered such loss, or incurred such penalty or became obligated to pay such fine shall be entitled to be fully indemnified by the First Party who breached such warranty, Agreement or Applicable law.</w:t>
      </w:r>
    </w:p>
    <w:p w14:paraId="00000119"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undertakes to fully indemnify Anchor against any loss, charges, expenses, and damage suffered:</w:t>
      </w:r>
    </w:p>
    <w:p w14:paraId="0000011A"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by reason of the Client’s failure to comply with the relevant data protection laws and regulations;</w:t>
      </w:r>
    </w:p>
    <w:p w14:paraId="0000011B"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due to the Client’s unauthorised use or the infringement of the Intellectual Property, Confidential Information, Personal Data that becomes accessible to it by virtue of the Services;</w:t>
      </w:r>
    </w:p>
    <w:p w14:paraId="0000011C"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any fraud, dishonesty, or misconduct, relating to the utilisation of any of Anchor’s products and Services by the Client, Customers, its agents, employee, or contractor or where the fraud, dishonesty, or misconduct is perpetrated by a third party as a result of the negligence or default of the Client, Customer, its agent, employee or contractor;</w:t>
      </w:r>
    </w:p>
    <w:p w14:paraId="0000011D"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failure to procure adequate and accurate KYC information on its Customers.</w:t>
      </w:r>
    </w:p>
    <w:p w14:paraId="0000011E"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All indemnities shall include all accruable interests and shall be paid immediately to the party entitled to claim such indemnity upon demand.</w:t>
      </w:r>
    </w:p>
    <w:p w14:paraId="0000011F"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provides its Services “as is” and all information, products, and other content (including third party information, product, and contents) included in, or accessible from the provision of the Services are subject to change at any time. Anchor undertakes to serve the Client a fourteen day notice prior to the change, and on the receipt of the notice, the Client has the right to determine whether to terminate this Agreement according to clause 19, or to proceed with the Agreement.</w:t>
      </w:r>
    </w:p>
    <w:p w14:paraId="00000120"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Client undertakes that it shall not hold Anchor liable or responsible for any cost, claim, expenses, damage and loss, which the Client may suffer or incur as a result of a breakdown of the Services or where the Services are unavailable for any </w:t>
      </w:r>
      <w:r>
        <w:rPr>
          <w:rFonts w:ascii="Century Gothic" w:eastAsia="Century Gothic" w:hAnsi="Century Gothic" w:cs="Century Gothic"/>
          <w:sz w:val="20"/>
          <w:szCs w:val="20"/>
        </w:rPr>
        <w:lastRenderedPageBreak/>
        <w:t>reason whatsoever, where the unavailability or breakdown in the Service is not due to Anchor’s gross negligence.</w:t>
      </w:r>
    </w:p>
    <w:p w14:paraId="00000121"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In the event that there is a breach or infiltration of Anchor’s security systems, Anchor shall not be liable for any loss that may be incurred by the Client, provided that prior to such a breach Anchor maintains commercially reasonable effort  based on Industry Standards to prevent such breach or infiltration.</w:t>
      </w:r>
    </w:p>
    <w:p w14:paraId="00000122"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Except as provided in this Agreement, the Client shall be liable for any transactions involving the Customer. </w:t>
      </w:r>
    </w:p>
    <w:p w14:paraId="00000123"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Notwithstanding anything to the contrary in this Agreement, Anchor shall not be liable for any loss or damage suffered by either the Client or any of the Customers unless such loss or damage occurred as a result of Anchor’s willful misconduct or omission, or gross negligence in performing its obligation under this Agreement.</w:t>
      </w:r>
    </w:p>
    <w:p w14:paraId="00000124" w14:textId="77777777" w:rsidR="006A13A2" w:rsidRDefault="00000000">
      <w:pPr>
        <w:numPr>
          <w:ilvl w:val="1"/>
          <w:numId w:val="10"/>
        </w:numPr>
        <w:spacing w:after="200" w:line="360" w:lineRule="auto"/>
        <w:ind w:right="6"/>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Notwithstanding anything contained in this Agreement, Anchor shall not be liable to the Client, Customer or any third party for any special, consequential, incidental or similar damages, or damages for loss of use, profits, data or other intangibles, or the cost of procuring any substitute, arising out of or related to the use, resale, inability to use, unauthorised use, pursuant to this Agreement whether such damages arise in contract, delict, under statutes, at law or any other cause without limitation and whether this Agreement is cancelled or not.   </w:t>
      </w:r>
    </w:p>
    <w:p w14:paraId="00000125" w14:textId="77777777" w:rsidR="006A13A2" w:rsidRDefault="00000000">
      <w:pPr>
        <w:numPr>
          <w:ilvl w:val="1"/>
          <w:numId w:val="10"/>
        </w:numPr>
        <w:spacing w:after="200" w:line="360" w:lineRule="auto"/>
        <w:ind w:right="6"/>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Client’s indemnity obligations in this Agreement shall survive the expiration or termination of this Agreement. </w:t>
      </w:r>
    </w:p>
    <w:p w14:paraId="00000126" w14:textId="77777777" w:rsidR="006A13A2" w:rsidRDefault="006A13A2">
      <w:pPr>
        <w:spacing w:after="200" w:line="360" w:lineRule="auto"/>
        <w:jc w:val="both"/>
        <w:rPr>
          <w:rFonts w:ascii="Century Gothic" w:eastAsia="Century Gothic" w:hAnsi="Century Gothic" w:cs="Century Gothic"/>
          <w:sz w:val="20"/>
          <w:szCs w:val="20"/>
        </w:rPr>
      </w:pPr>
    </w:p>
    <w:p w14:paraId="00000127" w14:textId="77777777" w:rsidR="006A13A2" w:rsidRDefault="00000000">
      <w:pPr>
        <w:numPr>
          <w:ilvl w:val="0"/>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TERMINATION</w:t>
      </w:r>
    </w:p>
    <w:p w14:paraId="00000128"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Termination for convenience</w:t>
      </w:r>
    </w:p>
    <w:p w14:paraId="00000129"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Each party reserves the right to terminate this Agreement in whole or in part before the expiration of the term contracted for, when such party determines that such termination is in its best interest, for its convenience, and without cause, by giving thirty (30) Calendar Days prior written notice to the other party in writing.</w:t>
      </w:r>
    </w:p>
    <w:p w14:paraId="0000012A"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Such termination shall only be effective upon the expiration of the 30 Calendar Days written notice. Such notice shall state the party’s intention to terminate this Agreement and the Effective Date of the termination.</w:t>
      </w:r>
    </w:p>
    <w:p w14:paraId="0000012B"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Termination for cause</w:t>
      </w:r>
    </w:p>
    <w:p w14:paraId="0000012C"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has a right to terminate this Agreement where there are material changes to the nature of this Agreement by Anchor and where such changes had not been communicated to the Client before its implementation.</w:t>
      </w:r>
    </w:p>
    <w:p w14:paraId="0000012D"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Anchor has the right to terminate this Agreement in whole or in part with immediate effect:</w:t>
      </w:r>
    </w:p>
    <w:p w14:paraId="0000012E"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the nature of the Client’s business or service to the Customers is reasonably suspected by Anchor to be in breach of an Applicable Law or this Agreement;</w:t>
      </w:r>
    </w:p>
    <w:p w14:paraId="0000012F"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the Client becomes or is likely to become bankrupt or is unable to pay its debts as they become due;</w:t>
      </w:r>
    </w:p>
    <w:p w14:paraId="00000130"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Anchor reasonably determines that the Client has violated any term, condition, or warranty in this Agreement;</w:t>
      </w:r>
    </w:p>
    <w:p w14:paraId="00000131"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the Client uses the Services provided by Anchor for a purpose other than the Permissible Use;</w:t>
      </w:r>
    </w:p>
    <w:p w14:paraId="00000132"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Anchor is legally instructed to terminate this Agreement by any regulatory or law enforcement authority or by any of its partners;</w:t>
      </w:r>
    </w:p>
    <w:p w14:paraId="00000133"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there is a change in the control of the Client’s business, or a sale or other disposal of any substantial division or part of the Client’s business, that Anchor at its sole discretion considers to adversely affect its operations or its ability to comply with an Applicable Law.</w:t>
      </w:r>
    </w:p>
    <w:p w14:paraId="00000134"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Post-termination obligations</w:t>
      </w:r>
    </w:p>
    <w:p w14:paraId="00000135"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Upon the termination of this Agreement, the Client’s rights to use the Services provided by Anchor shall cease. However, the Client’s obligations </w:t>
      </w:r>
      <w:r>
        <w:rPr>
          <w:rFonts w:ascii="Century Gothic" w:eastAsia="Century Gothic" w:hAnsi="Century Gothic" w:cs="Century Gothic"/>
          <w:sz w:val="20"/>
          <w:szCs w:val="20"/>
        </w:rPr>
        <w:lastRenderedPageBreak/>
        <w:t>with respect to any Service provided by Anchor prior to the effective date of the termination, shall survive the termination.</w:t>
      </w:r>
    </w:p>
    <w:p w14:paraId="00000136"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Immediately upon the termination of this Agreement, the Client shall return or destroy as requested by Anchor all materials, information and data pertaining or obtained by virtue of the Services provided by Anchor, including the copies of such material, information and data. </w:t>
      </w:r>
    </w:p>
    <w:p w14:paraId="00000137"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Termination Process</w:t>
      </w:r>
    </w:p>
    <w:p w14:paraId="00000138"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At the end of the period following the Termination Date,  the Run-Off Period will commence and the parties will ensure that they wind down all their pending obligations under this Agreement.</w:t>
      </w:r>
    </w:p>
    <w:p w14:paraId="00000139"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Client will cease to offer the Services provided by Anchor and cease to use all marks, logos or other branding materials that associates the Client’s product with Anchor. </w:t>
      </w:r>
    </w:p>
    <w:p w14:paraId="0000013A"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After the Termination Date, the Parties shall cooperate to the extent necessary to: </w:t>
      </w:r>
    </w:p>
    <w:p w14:paraId="0000013B"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allow the repayment by and or collection from Customers of all amounts due to be paid for services provided by the Client or pay back any credit facility extended to the Customer by the Client;</w:t>
      </w:r>
    </w:p>
    <w:p w14:paraId="0000013C"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maintain levels of customer service substantially similar to that enjoyed by the Customer prior to the Termination Date;</w:t>
      </w:r>
    </w:p>
    <w:p w14:paraId="0000013D" w14:textId="77777777" w:rsidR="006A13A2" w:rsidRDefault="00000000">
      <w:pPr>
        <w:numPr>
          <w:ilvl w:val="3"/>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in the case of deposits or savings, disburse all savings and deposits to the Customers.</w:t>
      </w:r>
    </w:p>
    <w:p w14:paraId="0000013E" w14:textId="77777777" w:rsidR="006A13A2" w:rsidRDefault="00000000">
      <w:pPr>
        <w:numPr>
          <w:ilvl w:val="0"/>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FORCE MAJEURE</w:t>
      </w:r>
    </w:p>
    <w:p w14:paraId="0000013F"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No failure or omission by a party to this Agreement, to carry out its obligations or observe any of the conditions of this Agreement upon giving a reasonable notice, which shall not be less than 7 days shall give rise to any claim against such party or be deemed to be a breach of this Agreement if such failure or omission is by reason of force majeure.</w:t>
      </w:r>
    </w:p>
    <w:p w14:paraId="00000140"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For the application of clause 20.1 force majeure shall be deemed to include situations such as acts of God, war or warlike hostilities, civil commotion, riots, </w:t>
      </w:r>
      <w:r>
        <w:rPr>
          <w:rFonts w:ascii="Century Gothic" w:eastAsia="Century Gothic" w:hAnsi="Century Gothic" w:cs="Century Gothic"/>
          <w:sz w:val="20"/>
          <w:szCs w:val="20"/>
        </w:rPr>
        <w:lastRenderedPageBreak/>
        <w:t>blockades, embargoes, lockdown orders, strikes, any law or action by a government or public authority or such similar acts which are reasonably beyond a party’s control and prevent a party from the performance of its obligations under this Agreement.</w:t>
      </w:r>
    </w:p>
    <w:p w14:paraId="00000141"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This clause has no geographical limitation and includes all force majeure events within the jurisdiction of the parties.</w:t>
      </w:r>
    </w:p>
    <w:p w14:paraId="00000142" w14:textId="77777777" w:rsidR="006A13A2" w:rsidRDefault="00000000">
      <w:pPr>
        <w:numPr>
          <w:ilvl w:val="0"/>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GOVERNING LAW AND DISPUTE RESOLUTION</w:t>
      </w:r>
    </w:p>
    <w:p w14:paraId="00000143"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provision of this Agreement shall be governed at all times by the laws of the Federal Republic of Nigeria.</w:t>
      </w:r>
    </w:p>
    <w:p w14:paraId="00000144"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In the event of any dispute, difference, or controversy between the parties, the parties shall first resolve it by negotiation. A dispute is said to have arisen when a party notifies the other to that effect in writing.</w:t>
      </w:r>
    </w:p>
    <w:p w14:paraId="00000145"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negotiation lasts for a period of 14 days without the dispute, difference, or controversy being resolved, the parties shall resort to arbitration which shall be governed by the Arbitration and Mediation Act 2023.</w:t>
      </w:r>
    </w:p>
    <w:p w14:paraId="00000146"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arbitration shall:</w:t>
      </w:r>
    </w:p>
    <w:p w14:paraId="00000147"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be before a sole arbitrator jointly appointed by the parties within a period of 30 days from filing the notice of arbitration;</w:t>
      </w:r>
    </w:p>
    <w:p w14:paraId="00000148"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the parties fail to appoint an arbitrator, within a period of 30 days, the sole arbitrator shall be appointed by the current President of the Chartered Institute of Arbitrators UK, Nigerian branch;</w:t>
      </w:r>
    </w:p>
    <w:p w14:paraId="00000149"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arbitral award shall be final and binding and shall be enforceable in all courts of competent jurisdiction.</w:t>
      </w:r>
      <w:r>
        <w:rPr>
          <w:rFonts w:ascii="Century Gothic" w:eastAsia="Century Gothic" w:hAnsi="Century Gothic" w:cs="Century Gothic"/>
          <w:sz w:val="20"/>
          <w:szCs w:val="20"/>
        </w:rPr>
        <w:tab/>
      </w:r>
    </w:p>
    <w:p w14:paraId="0000014A" w14:textId="77777777" w:rsidR="006A13A2" w:rsidRDefault="00000000">
      <w:pPr>
        <w:numPr>
          <w:ilvl w:val="0"/>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GENERAL TERMS</w:t>
      </w:r>
    </w:p>
    <w:p w14:paraId="0000014B" w14:textId="77777777" w:rsidR="006A13A2" w:rsidRDefault="00000000">
      <w:pPr>
        <w:numPr>
          <w:ilvl w:val="1"/>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Nature of relationship</w:t>
      </w:r>
    </w:p>
    <w:p w14:paraId="0000014C"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parties agree that the nature of the relationship between them as it relates to this Agreement is strictly for the provision of the Services covered under this Agreement.</w:t>
      </w:r>
    </w:p>
    <w:p w14:paraId="0000014D"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Nothing in this Agreement shall be deemed to make either Party or any of its agents or employees an employee, joint venturer, or partner of the other party.</w:t>
      </w:r>
    </w:p>
    <w:p w14:paraId="0000014E"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Parties agree to act solely as independent contractors and shall not represent, describe, or hold itself out to any third party, whether in marketing materials, public communications, or otherwise, as a partner, joint venturer, agent, or affiliate of the other Party.</w:t>
      </w:r>
    </w:p>
    <w:p w14:paraId="0000014F"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Any such misrepresentation in relation to this clause shall constitute a material breach of this Agreement and may result in immediate termination by the non-breaching Party, without prejudice to any other rights or remedies available under law.</w:t>
      </w:r>
      <w:r>
        <w:rPr>
          <w:rFonts w:ascii="Century Gothic" w:eastAsia="Century Gothic" w:hAnsi="Century Gothic" w:cs="Century Gothic"/>
          <w:sz w:val="20"/>
          <w:szCs w:val="20"/>
        </w:rPr>
        <w:tab/>
      </w:r>
    </w:p>
    <w:p w14:paraId="00000150" w14:textId="77777777" w:rsidR="006A13A2" w:rsidRDefault="00000000">
      <w:pPr>
        <w:numPr>
          <w:ilvl w:val="1"/>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Assignment</w:t>
      </w:r>
    </w:p>
    <w:p w14:paraId="00000151"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rights granted under this Agreement are and shall remain private to the parties and shall not be assigned by any act of a party or by operation of law, without the prior consent of the other party, and such consent shall not be unreasonably withheld.</w:t>
      </w:r>
    </w:p>
    <w:p w14:paraId="00000152"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Any attempt on the part of the Client to sub-license or assign to third parties its rights or obligations under this Agreement without the consent of Anchor shall constitute a material breach of this Agreement and Anchor shall have the right to terminate its agreement with the  Client.</w:t>
      </w:r>
    </w:p>
    <w:p w14:paraId="00000153" w14:textId="77777777" w:rsidR="006A13A2" w:rsidRDefault="00000000">
      <w:pPr>
        <w:numPr>
          <w:ilvl w:val="1"/>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Entire Agreement</w:t>
      </w:r>
    </w:p>
    <w:p w14:paraId="00000154"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This Agreement together with any amendments and any additional agreement that may be entered into between the parties, constitutes the entire agreement between the parties, with respect to the Services.</w:t>
      </w:r>
    </w:p>
    <w:p w14:paraId="00000155"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This Agreement revokes and supersedes all prior agreements between the parties and is intended to be the final expression of their agreement.</w:t>
      </w:r>
    </w:p>
    <w:p w14:paraId="00000156"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Each of the Parties hereby acknowledges that in entering into this Agreement it has not relied on any representation or warranty except as expressly set out in this Agreement.</w:t>
      </w:r>
    </w:p>
    <w:p w14:paraId="00000157" w14:textId="77777777" w:rsidR="006A13A2" w:rsidRDefault="00000000">
      <w:pPr>
        <w:numPr>
          <w:ilvl w:val="1"/>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Amendments</w:t>
      </w:r>
    </w:p>
    <w:p w14:paraId="00000158" w14:textId="77777777" w:rsidR="006A13A2" w:rsidRDefault="00000000">
      <w:pPr>
        <w:spacing w:after="200" w:line="360" w:lineRule="auto"/>
        <w:ind w:left="1440"/>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This Agreement may be amended or modified only by a written document that is signed by the parties to that effect. An amendment done orally or in any other form other than in the manner previously described shall be invalid and ineffective.</w:t>
      </w:r>
    </w:p>
    <w:p w14:paraId="00000159" w14:textId="77777777" w:rsidR="006A13A2" w:rsidRDefault="00000000">
      <w:pPr>
        <w:numPr>
          <w:ilvl w:val="1"/>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Notices</w:t>
      </w:r>
    </w:p>
    <w:p w14:paraId="0000015A"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Any notice, required to be given by either party under this Agreement shall be in writing and may be delivered personally, by courier,  or by any commercially reasonable means to the address of the recipient or by email to the recipient's email in the manner set out below:</w:t>
      </w:r>
    </w:p>
    <w:p w14:paraId="0000015B" w14:textId="77777777" w:rsidR="006A13A2" w:rsidRDefault="00000000">
      <w:pPr>
        <w:spacing w:line="360" w:lineRule="auto"/>
        <w:ind w:left="1440" w:firstLine="720"/>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If to Anchor:</w:t>
      </w:r>
    </w:p>
    <w:p w14:paraId="0000015C" w14:textId="77777777" w:rsidR="006A13A2" w:rsidRDefault="00000000">
      <w:pPr>
        <w:spacing w:line="360" w:lineRule="auto"/>
        <w:ind w:left="1440" w:firstLine="720"/>
        <w:jc w:val="both"/>
        <w:rPr>
          <w:rFonts w:ascii="Century Gothic" w:eastAsia="Century Gothic" w:hAnsi="Century Gothic" w:cs="Century Gothic"/>
          <w:sz w:val="20"/>
          <w:szCs w:val="20"/>
        </w:rPr>
      </w:pPr>
      <w:r>
        <w:rPr>
          <w:rFonts w:ascii="Century Gothic" w:eastAsia="Century Gothic" w:hAnsi="Century Gothic" w:cs="Century Gothic"/>
          <w:sz w:val="20"/>
          <w:szCs w:val="20"/>
        </w:rPr>
        <w:t>Name: Segun Adeyemi</w:t>
      </w:r>
    </w:p>
    <w:p w14:paraId="0000015D" w14:textId="77777777" w:rsidR="006A13A2" w:rsidRDefault="00000000">
      <w:pPr>
        <w:spacing w:line="360" w:lineRule="auto"/>
        <w:ind w:left="1440" w:firstLine="720"/>
        <w:jc w:val="both"/>
        <w:rPr>
          <w:rFonts w:ascii="Century Gothic" w:eastAsia="Century Gothic" w:hAnsi="Century Gothic" w:cs="Century Gothic"/>
          <w:sz w:val="20"/>
          <w:szCs w:val="20"/>
        </w:rPr>
      </w:pPr>
      <w:r>
        <w:rPr>
          <w:rFonts w:ascii="Century Gothic" w:eastAsia="Century Gothic" w:hAnsi="Century Gothic" w:cs="Century Gothic"/>
          <w:sz w:val="20"/>
          <w:szCs w:val="20"/>
        </w:rPr>
        <w:t>Address: 10B, Admiralty Road, Lekki Phase 1, Lagos</w:t>
      </w:r>
    </w:p>
    <w:p w14:paraId="0000015E" w14:textId="77777777" w:rsidR="006A13A2" w:rsidRDefault="00000000">
      <w:pPr>
        <w:spacing w:line="360" w:lineRule="auto"/>
        <w:ind w:left="1440" w:firstLine="720"/>
        <w:jc w:val="both"/>
        <w:rPr>
          <w:rFonts w:ascii="Century Gothic" w:eastAsia="Century Gothic" w:hAnsi="Century Gothic" w:cs="Century Gothic"/>
          <w:sz w:val="20"/>
          <w:szCs w:val="20"/>
        </w:rPr>
      </w:pPr>
      <w:r>
        <w:rPr>
          <w:rFonts w:ascii="Century Gothic" w:eastAsia="Century Gothic" w:hAnsi="Century Gothic" w:cs="Century Gothic"/>
          <w:sz w:val="20"/>
          <w:szCs w:val="20"/>
        </w:rPr>
        <w:t>Telephone: 09031729737</w:t>
      </w:r>
    </w:p>
    <w:p w14:paraId="0000015F" w14:textId="77777777" w:rsidR="006A13A2" w:rsidRDefault="00000000">
      <w:pPr>
        <w:spacing w:after="200" w:line="360" w:lineRule="auto"/>
        <w:ind w:left="1440" w:firstLine="720"/>
        <w:jc w:val="both"/>
        <w:rPr>
          <w:rFonts w:ascii="Century Gothic" w:eastAsia="Century Gothic" w:hAnsi="Century Gothic" w:cs="Century Gothic"/>
          <w:sz w:val="20"/>
          <w:szCs w:val="20"/>
        </w:rPr>
      </w:pPr>
      <w:r>
        <w:rPr>
          <w:rFonts w:ascii="Century Gothic" w:eastAsia="Century Gothic" w:hAnsi="Century Gothic" w:cs="Century Gothic"/>
          <w:sz w:val="20"/>
          <w:szCs w:val="20"/>
        </w:rPr>
        <w:t>Email: segun@getanchor.co</w:t>
      </w:r>
    </w:p>
    <w:p w14:paraId="00000160" w14:textId="77777777" w:rsidR="006A13A2" w:rsidRDefault="00000000">
      <w:pPr>
        <w:spacing w:line="360" w:lineRule="auto"/>
        <w:ind w:left="1440" w:firstLine="720"/>
        <w:jc w:val="both"/>
        <w:rPr>
          <w:rFonts w:ascii="Century Gothic" w:eastAsia="Century Gothic" w:hAnsi="Century Gothic" w:cs="Century Gothic"/>
          <w:b/>
          <w:bCs/>
          <w:sz w:val="20"/>
          <w:szCs w:val="20"/>
        </w:rPr>
      </w:pPr>
      <w:sdt>
        <w:sdtPr>
          <w:tag w:val="goog_rdk_1"/>
          <w:id w:val="2007993639"/>
        </w:sdtPr>
        <w:sdtContent>
          <w:commentRangeStart w:id="0"/>
        </w:sdtContent>
      </w:sdt>
      <w:r>
        <w:rPr>
          <w:rFonts w:ascii="Century Gothic" w:eastAsia="Century Gothic" w:hAnsi="Century Gothic" w:cs="Century Gothic"/>
          <w:b/>
          <w:bCs/>
          <w:sz w:val="20"/>
          <w:szCs w:val="20"/>
        </w:rPr>
        <w:t>If to the Client:</w:t>
      </w:r>
    </w:p>
    <w:p w14:paraId="00000161" w14:textId="3FEF184C" w:rsidR="006A13A2" w:rsidRDefault="00000000">
      <w:pPr>
        <w:spacing w:line="360" w:lineRule="auto"/>
        <w:ind w:left="1440" w:firstLine="720"/>
        <w:jc w:val="both"/>
        <w:rPr>
          <w:rFonts w:ascii="Century Gothic" w:eastAsia="Century Gothic" w:hAnsi="Century Gothic" w:cs="Century Gothic"/>
          <w:sz w:val="20"/>
          <w:szCs w:val="20"/>
        </w:rPr>
      </w:pPr>
      <w:r>
        <w:rPr>
          <w:rFonts w:ascii="Century Gothic" w:eastAsia="Century Gothic" w:hAnsi="Century Gothic" w:cs="Century Gothic"/>
          <w:sz w:val="20"/>
          <w:szCs w:val="20"/>
        </w:rPr>
        <w:t>Name:</w:t>
      </w:r>
      <w:r w:rsidR="00356A12">
        <w:rPr>
          <w:rFonts w:ascii="Century Gothic" w:eastAsia="Century Gothic" w:hAnsi="Century Gothic" w:cs="Century Gothic"/>
          <w:sz w:val="20"/>
          <w:szCs w:val="20"/>
        </w:rPr>
        <w:t xml:space="preserve"> Aghogho Jossy Oboh</w:t>
      </w:r>
    </w:p>
    <w:p w14:paraId="00000162" w14:textId="17134829" w:rsidR="006A13A2" w:rsidRDefault="00000000">
      <w:pPr>
        <w:spacing w:line="360" w:lineRule="auto"/>
        <w:ind w:left="1440" w:firstLine="720"/>
        <w:jc w:val="both"/>
        <w:rPr>
          <w:rFonts w:ascii="Century Gothic" w:eastAsia="Century Gothic" w:hAnsi="Century Gothic" w:cs="Century Gothic"/>
          <w:sz w:val="20"/>
          <w:szCs w:val="20"/>
        </w:rPr>
      </w:pPr>
      <w:r>
        <w:rPr>
          <w:rFonts w:ascii="Century Gothic" w:eastAsia="Century Gothic" w:hAnsi="Century Gothic" w:cs="Century Gothic"/>
          <w:sz w:val="20"/>
          <w:szCs w:val="20"/>
        </w:rPr>
        <w:t>Address:</w:t>
      </w:r>
      <w:r w:rsidR="00356A12">
        <w:rPr>
          <w:rFonts w:ascii="Century Gothic" w:eastAsia="Century Gothic" w:hAnsi="Century Gothic" w:cs="Century Gothic"/>
          <w:sz w:val="20"/>
          <w:szCs w:val="20"/>
        </w:rPr>
        <w:t xml:space="preserve"> 10 winnie okia street </w:t>
      </w:r>
      <w:r w:rsidR="00F64EAB">
        <w:rPr>
          <w:rFonts w:ascii="Century Gothic" w:eastAsia="Century Gothic" w:hAnsi="Century Gothic" w:cs="Century Gothic"/>
          <w:sz w:val="20"/>
          <w:szCs w:val="20"/>
        </w:rPr>
        <w:t>Effurun delta Nigeria.</w:t>
      </w:r>
    </w:p>
    <w:p w14:paraId="00000163" w14:textId="7AA53371" w:rsidR="006A13A2" w:rsidRDefault="00000000">
      <w:pPr>
        <w:spacing w:line="360" w:lineRule="auto"/>
        <w:ind w:left="1440" w:firstLine="720"/>
        <w:jc w:val="both"/>
        <w:rPr>
          <w:rFonts w:ascii="Century Gothic" w:eastAsia="Century Gothic" w:hAnsi="Century Gothic" w:cs="Century Gothic"/>
          <w:sz w:val="20"/>
          <w:szCs w:val="20"/>
        </w:rPr>
      </w:pPr>
      <w:r>
        <w:rPr>
          <w:rFonts w:ascii="Century Gothic" w:eastAsia="Century Gothic" w:hAnsi="Century Gothic" w:cs="Century Gothic"/>
          <w:sz w:val="20"/>
          <w:szCs w:val="20"/>
        </w:rPr>
        <w:t>Telephone:</w:t>
      </w:r>
      <w:r w:rsidR="00F64EAB">
        <w:rPr>
          <w:rFonts w:ascii="Century Gothic" w:eastAsia="Century Gothic" w:hAnsi="Century Gothic" w:cs="Century Gothic"/>
          <w:sz w:val="20"/>
          <w:szCs w:val="20"/>
        </w:rPr>
        <w:t xml:space="preserve"> 07051824027</w:t>
      </w:r>
    </w:p>
    <w:p w14:paraId="00000164" w14:textId="185A9CB1" w:rsidR="006A13A2" w:rsidRDefault="00000000">
      <w:pPr>
        <w:spacing w:after="200" w:line="360" w:lineRule="auto"/>
        <w:ind w:left="1440" w:firstLine="720"/>
        <w:jc w:val="both"/>
        <w:rPr>
          <w:rFonts w:ascii="Century Gothic" w:eastAsia="Century Gothic" w:hAnsi="Century Gothic" w:cs="Century Gothic"/>
          <w:sz w:val="20"/>
          <w:szCs w:val="20"/>
        </w:rPr>
      </w:pPr>
      <w:r>
        <w:rPr>
          <w:rFonts w:ascii="Century Gothic" w:eastAsia="Century Gothic" w:hAnsi="Century Gothic" w:cs="Century Gothic"/>
          <w:sz w:val="20"/>
          <w:szCs w:val="20"/>
        </w:rPr>
        <w:t>Email:</w:t>
      </w:r>
      <w:commentRangeEnd w:id="0"/>
      <w:r>
        <w:commentReference w:id="0"/>
      </w:r>
      <w:r w:rsidR="00F64EAB">
        <w:rPr>
          <w:rFonts w:ascii="Century Gothic" w:eastAsia="Century Gothic" w:hAnsi="Century Gothic" w:cs="Century Gothic"/>
          <w:sz w:val="20"/>
          <w:szCs w:val="20"/>
        </w:rPr>
        <w:t xml:space="preserve"> admin@notestandard.com</w:t>
      </w:r>
    </w:p>
    <w:p w14:paraId="00000165"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Where notices are served personally, they shall be deemed delivered on the day of delivery to the address set forth above, when such delivery is done on or before 5 pm on a Business Day. In the event that the delivery was not made by 5 pm on a Business Day, it shall be deemed delivered on the next Business Day following such previously mentioned date. Where the delivery is done by courier it shall be deemed delivered on the receipt of proof of the delivery from the courier company. If delivered by email, it shall be deemed delivered on the receipt of a notification that the email is sent;</w:t>
      </w:r>
    </w:p>
    <w:p w14:paraId="00000166"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Either party may change the address to which notices are to be sent by written notice to the other party.</w:t>
      </w:r>
    </w:p>
    <w:p w14:paraId="00000167" w14:textId="77777777" w:rsidR="006A13A2" w:rsidRDefault="00000000">
      <w:pPr>
        <w:numPr>
          <w:ilvl w:val="1"/>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Waiver</w:t>
      </w:r>
    </w:p>
    <w:p w14:paraId="00000168"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A party shall not be deemed to have waived, released or modified any of its rights under this Agreement unless it is expressly stated in a written document and signed by both parties.</w:t>
      </w:r>
    </w:p>
    <w:p w14:paraId="00000169"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The waiver of any breach or default of this Agreement will not be deemed to constitute a waiver of any subsequent breach or default, and will not act to negate the rights of the waiving party.</w:t>
      </w:r>
    </w:p>
    <w:p w14:paraId="0000016A" w14:textId="77777777" w:rsidR="006A13A2" w:rsidRDefault="00000000">
      <w:pPr>
        <w:numPr>
          <w:ilvl w:val="1"/>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Electronic communications and digital signatures</w:t>
      </w:r>
    </w:p>
    <w:p w14:paraId="0000016B"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Client consents to receiving electronic communications, and that all notices, disclosures and other communications provided electronically through email and other electronic means of communications, which may be determined from time to time satisfy any legal and contractual requirements for written communications.</w:t>
      </w:r>
    </w:p>
    <w:p w14:paraId="0000016C"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The parties understand and agree that they have the right to execute this Agreement through digital signatures. To the extent that they sign digitally, their digital signature is legally binding and is equivalent to their handwritten signature, and they will not at any time in the future repudiate the legality of such signatures.</w:t>
      </w:r>
    </w:p>
    <w:p w14:paraId="0000016D"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If at any time, a party discovers or suspects that its digital signature is compromised or subjected to unauthorised use in any way, it may immediately request in writing that the digital signature be revoked.  </w:t>
      </w:r>
    </w:p>
    <w:p w14:paraId="0000016E" w14:textId="77777777" w:rsidR="006A13A2" w:rsidRDefault="00000000">
      <w:pPr>
        <w:numPr>
          <w:ilvl w:val="1"/>
          <w:numId w:val="10"/>
        </w:numPr>
        <w:spacing w:line="360" w:lineRule="auto"/>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Counterparts</w:t>
      </w:r>
    </w:p>
    <w:p w14:paraId="0000016F" w14:textId="77777777" w:rsidR="006A13A2" w:rsidRDefault="00000000">
      <w:pPr>
        <w:numPr>
          <w:ilvl w:val="2"/>
          <w:numId w:val="10"/>
        </w:num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This Agreement may be executed in two or more counterparts, and each of such counterparts shall be deemed an original. When taken together, all of such counterparts shall be deemed to constitute one and the same agreement.</w:t>
      </w:r>
    </w:p>
    <w:p w14:paraId="00000170" w14:textId="77777777" w:rsidR="006A13A2" w:rsidRDefault="006A13A2">
      <w:pPr>
        <w:spacing w:after="200" w:line="360" w:lineRule="auto"/>
        <w:jc w:val="both"/>
        <w:rPr>
          <w:rFonts w:ascii="Century Gothic" w:eastAsia="Century Gothic" w:hAnsi="Century Gothic" w:cs="Century Gothic"/>
          <w:sz w:val="20"/>
          <w:szCs w:val="20"/>
        </w:rPr>
      </w:pPr>
    </w:p>
    <w:p w14:paraId="00000171" w14:textId="77777777" w:rsidR="006A13A2" w:rsidRDefault="006A13A2">
      <w:pPr>
        <w:spacing w:after="200" w:line="360" w:lineRule="auto"/>
        <w:jc w:val="both"/>
        <w:rPr>
          <w:rFonts w:ascii="Century Gothic" w:eastAsia="Century Gothic" w:hAnsi="Century Gothic" w:cs="Century Gothic"/>
          <w:sz w:val="20"/>
          <w:szCs w:val="20"/>
        </w:rPr>
      </w:pPr>
    </w:p>
    <w:p w14:paraId="00000172" w14:textId="77777777" w:rsidR="006A13A2" w:rsidRDefault="00000000">
      <w:pPr>
        <w:spacing w:after="200" w:line="360" w:lineRule="auto"/>
        <w:rPr>
          <w:rFonts w:ascii="Century Gothic" w:eastAsia="Century Gothic" w:hAnsi="Century Gothic" w:cs="Century Gothic"/>
          <w:sz w:val="20"/>
          <w:szCs w:val="20"/>
        </w:rPr>
      </w:pPr>
      <w:r>
        <w:rPr>
          <w:rFonts w:ascii="Century Gothic" w:eastAsia="Century Gothic" w:hAnsi="Century Gothic" w:cs="Century Gothic"/>
          <w:sz w:val="20"/>
          <w:szCs w:val="20"/>
        </w:rPr>
        <w:t>EXECUTED BY THE PARTIES IN THE MANNER BELOW THE DAY AND YEAR FIRST ABOVE WRITTEN;</w:t>
      </w:r>
    </w:p>
    <w:p w14:paraId="00000173" w14:textId="77777777" w:rsidR="006A13A2" w:rsidRDefault="00000000">
      <w:pPr>
        <w:spacing w:after="200" w:line="360" w:lineRule="auto"/>
        <w:rPr>
          <w:rFonts w:ascii="Century Gothic" w:eastAsia="Century Gothic" w:hAnsi="Century Gothic" w:cs="Century Gothic"/>
          <w:b/>
          <w:bCs/>
          <w:sz w:val="20"/>
          <w:szCs w:val="20"/>
        </w:rPr>
      </w:pPr>
      <w:r>
        <w:rPr>
          <w:rFonts w:ascii="Century Gothic" w:eastAsia="Century Gothic" w:hAnsi="Century Gothic" w:cs="Century Gothic"/>
          <w:b/>
          <w:bCs/>
          <w:sz w:val="20"/>
          <w:szCs w:val="20"/>
        </w:rPr>
        <w:t>FOR: ANCHOR SOFTWARE LIMITED [ANCHOR]</w:t>
      </w:r>
    </w:p>
    <w:p w14:paraId="00000174" w14:textId="77777777" w:rsidR="006A13A2" w:rsidRDefault="006A13A2">
      <w:pPr>
        <w:spacing w:after="200" w:line="360" w:lineRule="auto"/>
        <w:rPr>
          <w:rFonts w:ascii="Century Gothic" w:eastAsia="Century Gothic" w:hAnsi="Century Gothic" w:cs="Century Gothic"/>
          <w:b/>
          <w:bCs/>
          <w:sz w:val="20"/>
          <w:szCs w:val="20"/>
        </w:rPr>
      </w:pPr>
    </w:p>
    <w:p w14:paraId="00000175" w14:textId="77777777" w:rsidR="006A13A2" w:rsidRDefault="00000000">
      <w:pPr>
        <w:spacing w:after="200" w:line="360" w:lineRule="auto"/>
        <w:rPr>
          <w:rFonts w:ascii="Century Gothic" w:eastAsia="Century Gothic" w:hAnsi="Century Gothic" w:cs="Century Gothic"/>
          <w:sz w:val="20"/>
          <w:szCs w:val="20"/>
        </w:rPr>
      </w:pPr>
      <w:r>
        <w:rPr>
          <w:rFonts w:ascii="Century Gothic" w:eastAsia="Century Gothic" w:hAnsi="Century Gothic" w:cs="Century Gothic"/>
          <w:sz w:val="20"/>
          <w:szCs w:val="20"/>
        </w:rPr>
        <w:t>SIGNATURE:</w:t>
      </w:r>
    </w:p>
    <w:p w14:paraId="00000176" w14:textId="77777777" w:rsidR="006A13A2" w:rsidRDefault="00000000">
      <w:pPr>
        <w:spacing w:after="200" w:line="360" w:lineRule="auto"/>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NAME: OLUWASEGUN ADEYEMI </w:t>
      </w:r>
    </w:p>
    <w:p w14:paraId="00000177" w14:textId="77777777" w:rsidR="006A13A2" w:rsidRDefault="00000000">
      <w:pPr>
        <w:spacing w:after="200" w:line="360" w:lineRule="auto"/>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DESIGNATION: DIRECTOR/CEO</w:t>
      </w:r>
    </w:p>
    <w:p w14:paraId="00000178" w14:textId="77777777" w:rsidR="006A13A2" w:rsidRDefault="00000000">
      <w:pPr>
        <w:spacing w:after="200" w:line="360" w:lineRule="auto"/>
        <w:rPr>
          <w:rFonts w:ascii="Century Gothic" w:eastAsia="Century Gothic" w:hAnsi="Century Gothic" w:cs="Century Gothic"/>
          <w:sz w:val="20"/>
          <w:szCs w:val="20"/>
        </w:rPr>
      </w:pPr>
      <w:r>
        <w:t>DATE: 03 August 2026</w:t>
      </w:r>
    </w:p>
    <w:p w14:paraId="00000179" w14:textId="77777777" w:rsidR="006A13A2" w:rsidRDefault="006A13A2">
      <w:pPr>
        <w:spacing w:after="200" w:line="360" w:lineRule="auto"/>
        <w:rPr>
          <w:rFonts w:ascii="Century Gothic" w:eastAsia="Century Gothic" w:hAnsi="Century Gothic" w:cs="Century Gothic"/>
          <w:sz w:val="20"/>
          <w:szCs w:val="20"/>
        </w:rPr>
      </w:pPr>
    </w:p>
    <w:p w14:paraId="0000017A" w14:textId="77777777" w:rsidR="006A13A2" w:rsidRDefault="00000000">
      <w:pPr>
        <w:spacing w:after="200" w:line="360" w:lineRule="auto"/>
        <w:rPr>
          <w:rFonts w:ascii="Century Gothic" w:eastAsia="Century Gothic" w:hAnsi="Century Gothic" w:cs="Century Gothic"/>
          <w:sz w:val="20"/>
          <w:szCs w:val="20"/>
        </w:rPr>
      </w:pPr>
      <w:r>
        <w:rPr>
          <w:rFonts w:ascii="Century Gothic" w:eastAsia="Century Gothic" w:hAnsi="Century Gothic" w:cs="Century Gothic"/>
          <w:sz w:val="20"/>
          <w:szCs w:val="20"/>
        </w:rPr>
        <w:tab/>
      </w:r>
      <w:r>
        <w:rPr>
          <w:rFonts w:ascii="Century Gothic" w:eastAsia="Century Gothic" w:hAnsi="Century Gothic" w:cs="Century Gothic"/>
          <w:sz w:val="20"/>
          <w:szCs w:val="20"/>
        </w:rPr>
        <w:tab/>
        <w:t xml:space="preserve"> </w:t>
      </w:r>
      <w:r>
        <w:rPr>
          <w:rFonts w:ascii="Century Gothic" w:eastAsia="Century Gothic" w:hAnsi="Century Gothic" w:cs="Century Gothic"/>
          <w:sz w:val="20"/>
          <w:szCs w:val="20"/>
        </w:rPr>
        <w:tab/>
        <w:t xml:space="preserve"> </w:t>
      </w:r>
      <w:r>
        <w:rPr>
          <w:rFonts w:ascii="Century Gothic" w:eastAsia="Century Gothic" w:hAnsi="Century Gothic" w:cs="Century Gothic"/>
          <w:sz w:val="20"/>
          <w:szCs w:val="20"/>
        </w:rPr>
        <w:tab/>
        <w:t xml:space="preserve"> </w:t>
      </w:r>
      <w:r>
        <w:rPr>
          <w:rFonts w:ascii="Century Gothic" w:eastAsia="Century Gothic" w:hAnsi="Century Gothic" w:cs="Century Gothic"/>
          <w:sz w:val="20"/>
          <w:szCs w:val="20"/>
        </w:rPr>
        <w:tab/>
      </w:r>
      <w:r>
        <w:rPr>
          <w:rFonts w:ascii="Century Gothic" w:eastAsia="Century Gothic" w:hAnsi="Century Gothic" w:cs="Century Gothic"/>
          <w:sz w:val="20"/>
          <w:szCs w:val="20"/>
        </w:rPr>
        <w:tab/>
      </w:r>
      <w:r>
        <w:rPr>
          <w:rFonts w:ascii="Century Gothic" w:eastAsia="Century Gothic" w:hAnsi="Century Gothic" w:cs="Century Gothic"/>
          <w:sz w:val="20"/>
          <w:szCs w:val="20"/>
        </w:rPr>
        <w:tab/>
      </w:r>
      <w:r>
        <w:rPr>
          <w:rFonts w:ascii="Century Gothic" w:eastAsia="Century Gothic" w:hAnsi="Century Gothic" w:cs="Century Gothic"/>
          <w:sz w:val="20"/>
          <w:szCs w:val="20"/>
        </w:rPr>
        <w:tab/>
      </w:r>
      <w:r>
        <w:rPr>
          <w:rFonts w:ascii="Century Gothic" w:eastAsia="Century Gothic" w:hAnsi="Century Gothic" w:cs="Century Gothic"/>
          <w:sz w:val="20"/>
          <w:szCs w:val="20"/>
        </w:rPr>
        <w:tab/>
      </w:r>
      <w:r>
        <w:rPr>
          <w:rFonts w:ascii="Century Gothic" w:eastAsia="Century Gothic" w:hAnsi="Century Gothic" w:cs="Century Gothic"/>
          <w:sz w:val="20"/>
          <w:szCs w:val="20"/>
        </w:rPr>
        <w:tab/>
      </w:r>
      <w:r>
        <w:rPr>
          <w:rFonts w:ascii="Century Gothic" w:eastAsia="Century Gothic" w:hAnsi="Century Gothic" w:cs="Century Gothic"/>
          <w:sz w:val="20"/>
          <w:szCs w:val="20"/>
        </w:rPr>
        <w:tab/>
      </w:r>
    </w:p>
    <w:p w14:paraId="0000017B" w14:textId="77777777" w:rsidR="006A13A2" w:rsidRDefault="00000000">
      <w:pPr>
        <w:spacing w:before="240" w:after="200" w:line="360" w:lineRule="auto"/>
        <w:rPr>
          <w:rFonts w:ascii="Century Gothic" w:eastAsia="Century Gothic" w:hAnsi="Century Gothic" w:cs="Century Gothic"/>
          <w:b/>
          <w:bCs/>
          <w:sz w:val="20"/>
          <w:szCs w:val="20"/>
        </w:rPr>
      </w:pPr>
      <w:r>
        <w:t>FOR: JOSSY DIGITAL TECHNOLOGIES LTD [CLIENT]</w:t>
      </w:r>
    </w:p>
    <w:p w14:paraId="0000017C" w14:textId="77777777" w:rsidR="006A13A2" w:rsidRDefault="00000000">
      <w:pPr>
        <w:spacing w:after="200" w:line="360" w:lineRule="auto"/>
        <w:rPr>
          <w:rFonts w:ascii="Century Gothic" w:eastAsia="Century Gothic" w:hAnsi="Century Gothic" w:cs="Century Gothic"/>
          <w:sz w:val="20"/>
          <w:szCs w:val="20"/>
        </w:rPr>
      </w:pPr>
      <w:r>
        <w:rPr>
          <w:rFonts w:ascii="Century Gothic" w:eastAsia="Century Gothic" w:hAnsi="Century Gothic" w:cs="Century Gothic"/>
          <w:sz w:val="20"/>
          <w:szCs w:val="20"/>
        </w:rPr>
        <w:tab/>
      </w:r>
      <w:r>
        <w:rPr>
          <w:rFonts w:ascii="Century Gothic" w:eastAsia="Century Gothic" w:hAnsi="Century Gothic" w:cs="Century Gothic"/>
          <w:sz w:val="20"/>
          <w:szCs w:val="20"/>
        </w:rPr>
        <w:tab/>
      </w:r>
      <w:r>
        <w:rPr>
          <w:rFonts w:ascii="Century Gothic" w:eastAsia="Century Gothic" w:hAnsi="Century Gothic" w:cs="Century Gothic"/>
          <w:sz w:val="20"/>
          <w:szCs w:val="20"/>
        </w:rPr>
        <w:tab/>
      </w:r>
      <w:r>
        <w:rPr>
          <w:rFonts w:ascii="Century Gothic" w:eastAsia="Century Gothic" w:hAnsi="Century Gothic" w:cs="Century Gothic"/>
          <w:sz w:val="20"/>
          <w:szCs w:val="20"/>
        </w:rPr>
        <w:tab/>
      </w:r>
      <w:r>
        <w:rPr>
          <w:rFonts w:ascii="Century Gothic" w:eastAsia="Century Gothic" w:hAnsi="Century Gothic" w:cs="Century Gothic"/>
          <w:sz w:val="20"/>
          <w:szCs w:val="20"/>
        </w:rPr>
        <w:tab/>
      </w:r>
    </w:p>
    <w:p w14:paraId="0000017D" w14:textId="77777777" w:rsidR="006A13A2" w:rsidRDefault="00000000">
      <w:pPr>
        <w:spacing w:before="240" w:after="200" w:line="360" w:lineRule="auto"/>
        <w:rPr>
          <w:rFonts w:ascii="Century Gothic" w:eastAsia="Century Gothic" w:hAnsi="Century Gothic" w:cs="Century Gothic"/>
          <w:sz w:val="20"/>
          <w:szCs w:val="20"/>
        </w:rPr>
      </w:pPr>
      <w:r>
        <w:t xml:space="preserve">SIGNATURE: </w:t>
      </w:r>
      <w:r>
        <w:rPr>
          <w:noProof/>
        </w:rPr>
        <w:drawing>
          <wp:inline distT="0" distB="0" distL="0" distR="0" wp14:anchorId="6739E7B9" wp14:editId="337B919A">
            <wp:extent cx="1645920" cy="7053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_transparent.png"/>
                    <pic:cNvPicPr/>
                  </pic:nvPicPr>
                  <pic:blipFill>
                    <a:blip r:embed="rId11"/>
                    <a:stretch>
                      <a:fillRect/>
                    </a:stretch>
                  </pic:blipFill>
                  <pic:spPr>
                    <a:xfrm>
                      <a:off x="0" y="0"/>
                      <a:ext cx="1645920" cy="705394"/>
                    </a:xfrm>
                    <a:prstGeom prst="rect">
                      <a:avLst/>
                    </a:prstGeom>
                  </pic:spPr>
                </pic:pic>
              </a:graphicData>
            </a:graphic>
          </wp:inline>
        </w:drawing>
      </w:r>
    </w:p>
    <w:p w14:paraId="0000017E" w14:textId="76D6191E" w:rsidR="006A13A2" w:rsidRDefault="00000000">
      <w:pPr>
        <w:spacing w:before="240" w:after="200" w:line="360" w:lineRule="auto"/>
        <w:rPr>
          <w:rFonts w:ascii="Century Gothic" w:eastAsia="Century Gothic" w:hAnsi="Century Gothic" w:cs="Century Gothic"/>
          <w:sz w:val="20"/>
          <w:szCs w:val="20"/>
        </w:rPr>
      </w:pPr>
      <w:r>
        <w:t xml:space="preserve">NAME: AGHOGHO </w:t>
      </w:r>
      <w:r w:rsidR="00995807">
        <w:t>JOSSY OBOH</w:t>
      </w:r>
    </w:p>
    <w:p w14:paraId="0000017F" w14:textId="77777777" w:rsidR="006A13A2" w:rsidRDefault="00000000">
      <w:pPr>
        <w:spacing w:before="240" w:after="200" w:line="360" w:lineRule="auto"/>
        <w:rPr>
          <w:rFonts w:ascii="Century Gothic" w:eastAsia="Century Gothic" w:hAnsi="Century Gothic" w:cs="Century Gothic"/>
          <w:sz w:val="20"/>
          <w:szCs w:val="20"/>
        </w:rPr>
      </w:pPr>
      <w:r>
        <w:t>DESIGNATION: DIRECTOR</w:t>
      </w:r>
    </w:p>
    <w:p w14:paraId="00000180" w14:textId="77777777" w:rsidR="006A13A2" w:rsidRDefault="00000000">
      <w:pPr>
        <w:spacing w:before="240" w:after="200" w:line="360" w:lineRule="auto"/>
        <w:rPr>
          <w:rFonts w:ascii="Century Gothic" w:eastAsia="Century Gothic" w:hAnsi="Century Gothic" w:cs="Century Gothic"/>
          <w:sz w:val="20"/>
          <w:szCs w:val="20"/>
        </w:rPr>
      </w:pPr>
      <w:r>
        <w:t>DATE: 03 August 2026</w:t>
      </w:r>
    </w:p>
    <w:p w14:paraId="00000181" w14:textId="77777777" w:rsidR="006A13A2" w:rsidRDefault="006A13A2">
      <w:pPr>
        <w:spacing w:after="200" w:line="360" w:lineRule="auto"/>
        <w:jc w:val="center"/>
        <w:rPr>
          <w:rFonts w:ascii="Century Gothic" w:eastAsia="Century Gothic" w:hAnsi="Century Gothic" w:cs="Century Gothic"/>
          <w:sz w:val="20"/>
          <w:szCs w:val="20"/>
        </w:rPr>
      </w:pPr>
    </w:p>
    <w:p w14:paraId="00000182" w14:textId="77777777" w:rsidR="006A13A2" w:rsidRDefault="006A13A2">
      <w:pPr>
        <w:spacing w:after="200" w:line="360" w:lineRule="auto"/>
        <w:jc w:val="center"/>
        <w:rPr>
          <w:rFonts w:ascii="Century Gothic" w:eastAsia="Century Gothic" w:hAnsi="Century Gothic" w:cs="Century Gothic"/>
          <w:sz w:val="20"/>
          <w:szCs w:val="20"/>
        </w:rPr>
      </w:pPr>
    </w:p>
    <w:p w14:paraId="00000183" w14:textId="77777777" w:rsidR="006A13A2" w:rsidRDefault="00000000">
      <w:pPr>
        <w:spacing w:after="200" w:line="360" w:lineRule="auto"/>
        <w:jc w:val="center"/>
        <w:rPr>
          <w:rFonts w:ascii="Century Gothic" w:eastAsia="Century Gothic" w:hAnsi="Century Gothic" w:cs="Century Gothic"/>
          <w:sz w:val="20"/>
          <w:szCs w:val="20"/>
        </w:rPr>
      </w:pPr>
      <w:r>
        <w:rPr>
          <w:rFonts w:ascii="Century Gothic" w:eastAsia="Century Gothic" w:hAnsi="Century Gothic" w:cs="Century Gothic"/>
          <w:sz w:val="20"/>
          <w:szCs w:val="20"/>
        </w:rPr>
        <w:t>[Schedules attached]</w:t>
      </w:r>
    </w:p>
    <w:p w14:paraId="00000184" w14:textId="77777777" w:rsidR="006A13A2" w:rsidRDefault="006A13A2">
      <w:pPr>
        <w:spacing w:after="200" w:line="360" w:lineRule="auto"/>
        <w:jc w:val="both"/>
        <w:rPr>
          <w:rFonts w:ascii="Century Gothic" w:eastAsia="Century Gothic" w:hAnsi="Century Gothic" w:cs="Century Gothic"/>
          <w:sz w:val="20"/>
          <w:szCs w:val="20"/>
        </w:rPr>
      </w:pPr>
    </w:p>
    <w:p w14:paraId="00000185" w14:textId="77777777" w:rsidR="006A13A2" w:rsidRDefault="006A13A2">
      <w:pPr>
        <w:spacing w:after="200" w:line="360" w:lineRule="auto"/>
        <w:jc w:val="both"/>
        <w:rPr>
          <w:rFonts w:ascii="Century Gothic" w:eastAsia="Century Gothic" w:hAnsi="Century Gothic" w:cs="Century Gothic"/>
          <w:sz w:val="20"/>
          <w:szCs w:val="20"/>
        </w:rPr>
      </w:pPr>
    </w:p>
    <w:p w14:paraId="00000186" w14:textId="77777777" w:rsidR="006A13A2" w:rsidRDefault="006A13A2">
      <w:pPr>
        <w:spacing w:after="200" w:line="360" w:lineRule="auto"/>
        <w:jc w:val="both"/>
        <w:rPr>
          <w:rFonts w:ascii="Century Gothic" w:eastAsia="Century Gothic" w:hAnsi="Century Gothic" w:cs="Century Gothic"/>
          <w:sz w:val="20"/>
          <w:szCs w:val="20"/>
        </w:rPr>
      </w:pPr>
    </w:p>
    <w:p w14:paraId="00000187" w14:textId="77777777" w:rsidR="006A13A2" w:rsidRDefault="006A13A2">
      <w:pPr>
        <w:spacing w:after="200" w:line="360" w:lineRule="auto"/>
        <w:jc w:val="both"/>
        <w:rPr>
          <w:rFonts w:ascii="Century Gothic" w:eastAsia="Century Gothic" w:hAnsi="Century Gothic" w:cs="Century Gothic"/>
          <w:sz w:val="20"/>
          <w:szCs w:val="20"/>
        </w:rPr>
      </w:pPr>
    </w:p>
    <w:p w14:paraId="00000188" w14:textId="77777777" w:rsidR="006A13A2" w:rsidRDefault="00000000">
      <w:pPr>
        <w:spacing w:after="200" w:line="360" w:lineRule="auto"/>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SCHEDULES</w:t>
      </w:r>
    </w:p>
    <w:p w14:paraId="00000189" w14:textId="77777777" w:rsidR="006A13A2" w:rsidRDefault="00000000">
      <w:pPr>
        <w:spacing w:after="200" w:line="360" w:lineRule="auto"/>
        <w:jc w:val="both"/>
        <w:rPr>
          <w:rFonts w:ascii="Century Gothic" w:eastAsia="Century Gothic" w:hAnsi="Century Gothic" w:cs="Century Gothic"/>
          <w:b/>
          <w:bCs/>
          <w:color w:val="F1F3F4"/>
          <w:sz w:val="20"/>
          <w:szCs w:val="20"/>
        </w:rPr>
      </w:pPr>
      <w:r>
        <w:rPr>
          <w:rFonts w:ascii="Century Gothic" w:eastAsia="Century Gothic" w:hAnsi="Century Gothic" w:cs="Century Gothic"/>
          <w:b/>
          <w:bCs/>
          <w:sz w:val="20"/>
          <w:szCs w:val="20"/>
        </w:rPr>
        <w:t xml:space="preserve">Schedule A - Order Form and List of Services </w:t>
      </w:r>
    </w:p>
    <w:p w14:paraId="0000018A" w14:textId="77777777" w:rsidR="006A13A2" w:rsidRDefault="00000000">
      <w:pPr>
        <w:spacing w:after="200" w:line="360" w:lineRule="auto"/>
        <w:jc w:val="both"/>
        <w:rPr>
          <w:rFonts w:ascii="Century Gothic" w:eastAsia="Century Gothic" w:hAnsi="Century Gothic" w:cs="Century Gothic"/>
          <w:b/>
          <w:bCs/>
          <w:color w:val="F1F3F4"/>
          <w:sz w:val="20"/>
          <w:szCs w:val="20"/>
        </w:rPr>
      </w:pPr>
      <w:r>
        <w:t>1. CLIENT &amp; COMPANY DETAILS</w:t>
      </w:r>
      <w:r>
        <w:br/>
        <w:t>Company Name: Jossy Digital Technologies Ltd</w:t>
      </w:r>
      <w:r>
        <w:br/>
      </w:r>
      <w:r>
        <w:lastRenderedPageBreak/>
        <w:t>RC Number: RC 9586407</w:t>
      </w:r>
      <w:r>
        <w:br/>
        <w:t>Registered Address: Effurun, Delta State, Nigeria</w:t>
      </w:r>
      <w:r>
        <w:br/>
        <w:t>Primary Contact / CEO: Oboh Aghogho Jossy (Founder &amp; Chief Executive Officer)</w:t>
      </w:r>
      <w:r>
        <w:br/>
        <w:t>Official Email: admin@notestandard.com</w:t>
      </w:r>
      <w:r>
        <w:br/>
        <w:t>Support Email: support@notestandard.com</w:t>
      </w:r>
      <w:r>
        <w:br/>
        <w:t>Technical Email: tech@notestandard.com</w:t>
      </w:r>
      <w:r>
        <w:br/>
        <w:t>Phone Number: +234 705 182 4027</w:t>
      </w:r>
      <w:r>
        <w:br/>
        <w:t>Website: https://notestandard.com</w:t>
      </w:r>
      <w:r>
        <w:br/>
      </w:r>
      <w:r>
        <w:br/>
        <w:t>2. BUSINESS DESCRIPTION</w:t>
      </w:r>
      <w:r>
        <w:br/>
        <w:t>Jossy Digital Technologies Ltd develops and operates NoteStandard, a financial technology platform that provides digital wallets, virtual bank accounts, payment collection, bank transfers, internal wallet transfers, treasury management, merchant collections and financial technology infrastructure.</w:t>
      </w:r>
      <w:r>
        <w:br/>
      </w:r>
      <w:r>
        <w:br/>
        <w:t>3. SUBSCRIBED SERVICES &amp; SELECTED PRODUCTS</w:t>
      </w:r>
      <w:r>
        <w:br/>
        <w:t>- NGN Virtual Accounts</w:t>
      </w:r>
      <w:r>
        <w:br/>
        <w:t>- Virtual Account Collections</w:t>
      </w:r>
      <w:r>
        <w:br/>
        <w:t>- NIP Transfers</w:t>
      </w:r>
      <w:r>
        <w:br/>
        <w:t>- Business Wallet</w:t>
      </w:r>
      <w:r>
        <w:br/>
        <w:t>- API Access</w:t>
      </w:r>
      <w:r>
        <w:br/>
        <w:t>- Webhook Events</w:t>
      </w:r>
      <w:r>
        <w:br/>
        <w:t>- Settlement</w:t>
      </w:r>
      <w:r>
        <w:br/>
        <w:t>- Customer Profile</w:t>
      </w:r>
      <w:r>
        <w:br/>
        <w:t>- Merchant Collections</w:t>
      </w:r>
    </w:p>
    <w:p w14:paraId="0000018B"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8C"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8D"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8E"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8F"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0"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1"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2"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3"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4"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5"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6"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7"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8"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9"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A"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B"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C"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D"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E"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9F"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A0"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A1"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A2"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A3"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A4"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A5"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A6"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A7"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A8" w14:textId="77777777" w:rsidR="006A13A2" w:rsidRDefault="006A13A2">
      <w:pPr>
        <w:spacing w:after="200" w:line="360" w:lineRule="auto"/>
        <w:jc w:val="both"/>
        <w:rPr>
          <w:rFonts w:ascii="Century Gothic" w:eastAsia="Century Gothic" w:hAnsi="Century Gothic" w:cs="Century Gothic"/>
          <w:b/>
          <w:bCs/>
          <w:color w:val="F1F3F4"/>
          <w:sz w:val="20"/>
          <w:szCs w:val="20"/>
        </w:rPr>
      </w:pPr>
    </w:p>
    <w:p w14:paraId="000001A9" w14:textId="77777777" w:rsidR="006A13A2" w:rsidRDefault="00000000">
      <w:pPr>
        <w:spacing w:after="200" w:line="360" w:lineRule="auto"/>
        <w:jc w:val="both"/>
        <w:rPr>
          <w:rFonts w:ascii="Century Gothic" w:eastAsia="Century Gothic" w:hAnsi="Century Gothic" w:cs="Century Gothic"/>
          <w:b/>
          <w:bCs/>
          <w:sz w:val="20"/>
          <w:szCs w:val="20"/>
        </w:rPr>
      </w:pPr>
      <w:r>
        <w:br w:type="page"/>
      </w:r>
    </w:p>
    <w:p w14:paraId="000001AA" w14:textId="77777777" w:rsidR="006A13A2" w:rsidRDefault="00000000">
      <w:pPr>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lastRenderedPageBreak/>
        <w:t>Schedule B</w:t>
      </w:r>
    </w:p>
    <w:p w14:paraId="000001AB" w14:textId="77777777" w:rsidR="006A13A2" w:rsidRDefault="00000000">
      <w:pPr>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Service Level</w:t>
      </w:r>
    </w:p>
    <w:p w14:paraId="000001AC" w14:textId="77777777" w:rsidR="006A13A2" w:rsidRDefault="00000000">
      <w:pPr>
        <w:numPr>
          <w:ilvl w:val="0"/>
          <w:numId w:val="2"/>
        </w:numPr>
        <w:rPr>
          <w:rFonts w:ascii="Century Gothic" w:eastAsia="Century Gothic" w:hAnsi="Century Gothic" w:cs="Century Gothic"/>
          <w:b/>
          <w:bCs/>
          <w:sz w:val="20"/>
          <w:szCs w:val="20"/>
        </w:rPr>
      </w:pPr>
      <w:r>
        <w:rPr>
          <w:rFonts w:ascii="Century Gothic" w:eastAsia="Century Gothic" w:hAnsi="Century Gothic" w:cs="Century Gothic"/>
          <w:b/>
          <w:bCs/>
          <w:sz w:val="20"/>
          <w:szCs w:val="20"/>
        </w:rPr>
        <w:t>Service Availability</w:t>
      </w:r>
    </w:p>
    <w:p w14:paraId="000001AD" w14:textId="77777777" w:rsidR="006A13A2" w:rsidRDefault="00000000">
      <w:pPr>
        <w:numPr>
          <w:ilvl w:val="0"/>
          <w:numId w:val="3"/>
        </w:numPr>
        <w:spacing w:after="200"/>
        <w:rPr>
          <w:rFonts w:ascii="Century Gothic" w:eastAsia="Century Gothic" w:hAnsi="Century Gothic" w:cs="Century Gothic"/>
          <w:sz w:val="20"/>
          <w:szCs w:val="20"/>
        </w:rPr>
      </w:pPr>
      <w:r>
        <w:rPr>
          <w:rFonts w:ascii="Century Gothic" w:eastAsia="Century Gothic" w:hAnsi="Century Gothic" w:cs="Century Gothic"/>
          <w:sz w:val="20"/>
          <w:szCs w:val="20"/>
        </w:rPr>
        <w:t>Anchor shall provide the necessary support Services via:</w:t>
      </w:r>
    </w:p>
    <w:p w14:paraId="000001AE" w14:textId="77777777" w:rsidR="006A13A2" w:rsidRDefault="00000000">
      <w:pPr>
        <w:numPr>
          <w:ilvl w:val="1"/>
          <w:numId w:val="1"/>
        </w:numPr>
        <w:spacing w:after="200"/>
        <w:jc w:val="both"/>
        <w:rPr>
          <w:rFonts w:ascii="Century Gothic" w:eastAsia="Century Gothic" w:hAnsi="Century Gothic" w:cs="Century Gothic"/>
          <w:sz w:val="20"/>
          <w:szCs w:val="20"/>
        </w:rPr>
      </w:pPr>
      <w:r>
        <w:rPr>
          <w:rFonts w:ascii="Century Gothic" w:eastAsia="Century Gothic" w:hAnsi="Century Gothic" w:cs="Century Gothic"/>
          <w:sz w:val="20"/>
          <w:szCs w:val="20"/>
        </w:rPr>
        <w:t>Email through a dedicated support email account hello@getanchor.co from 9:00am to 5:00pm on Business Days; and</w:t>
      </w:r>
    </w:p>
    <w:p w14:paraId="000001AF" w14:textId="77777777" w:rsidR="006A13A2" w:rsidRDefault="00000000">
      <w:pPr>
        <w:numPr>
          <w:ilvl w:val="1"/>
          <w:numId w:val="1"/>
        </w:numPr>
        <w:spacing w:after="20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Managed Slack Channel. </w:t>
      </w:r>
    </w:p>
    <w:p w14:paraId="000001B0" w14:textId="77777777" w:rsidR="006A13A2" w:rsidRDefault="00000000">
      <w:pPr>
        <w:numPr>
          <w:ilvl w:val="0"/>
          <w:numId w:val="1"/>
        </w:numPr>
        <w:spacing w:after="20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The Service shall have an uptime of at least 99% (ninety-nine percent) and for any downtime that is not dependent on its third-party partners, it shall endeavour to  resolve them within a maximum of 24 (twenty-four) hours from receipt of a formal complaint by the Client by email or such other means. </w:t>
      </w:r>
    </w:p>
    <w:p w14:paraId="000001B1" w14:textId="77777777" w:rsidR="006A13A2" w:rsidRDefault="00000000">
      <w:pPr>
        <w:numPr>
          <w:ilvl w:val="0"/>
          <w:numId w:val="1"/>
        </w:numPr>
        <w:spacing w:after="200"/>
        <w:jc w:val="both"/>
        <w:rPr>
          <w:rFonts w:ascii="Century Gothic" w:eastAsia="Century Gothic" w:hAnsi="Century Gothic" w:cs="Century Gothic"/>
          <w:sz w:val="20"/>
          <w:szCs w:val="20"/>
        </w:rPr>
      </w:pPr>
      <w:r>
        <w:rPr>
          <w:rFonts w:ascii="Century Gothic" w:eastAsia="Century Gothic" w:hAnsi="Century Gothic" w:cs="Century Gothic"/>
          <w:sz w:val="20"/>
          <w:szCs w:val="20"/>
        </w:rPr>
        <w:t>For complaints on Services that are due to downtime of its third-party partner’s APIs, Anchor shall endeavour to give the Client periodic updates as stated in the table below.</w:t>
      </w:r>
    </w:p>
    <w:p w14:paraId="000001B2" w14:textId="77777777" w:rsidR="006A13A2" w:rsidRDefault="00000000">
      <w:pPr>
        <w:numPr>
          <w:ilvl w:val="0"/>
          <w:numId w:val="1"/>
        </w:numPr>
        <w:spacing w:after="200"/>
        <w:jc w:val="both"/>
        <w:rPr>
          <w:rFonts w:ascii="Century Gothic" w:eastAsia="Century Gothic" w:hAnsi="Century Gothic" w:cs="Century Gothic"/>
          <w:sz w:val="20"/>
          <w:szCs w:val="20"/>
        </w:rPr>
      </w:pPr>
      <w:r>
        <w:rPr>
          <w:rFonts w:ascii="Century Gothic" w:eastAsia="Century Gothic" w:hAnsi="Century Gothic" w:cs="Century Gothic"/>
          <w:sz w:val="20"/>
          <w:szCs w:val="20"/>
        </w:rPr>
        <w:t>All service descriptions and timelines stated below are applicable within the business operating hours.</w:t>
      </w:r>
    </w:p>
    <w:p w14:paraId="000001B3" w14:textId="77777777" w:rsidR="006A13A2" w:rsidRDefault="00000000">
      <w:pPr>
        <w:numPr>
          <w:ilvl w:val="1"/>
          <w:numId w:val="1"/>
        </w:numPr>
        <w:spacing w:after="200"/>
        <w:jc w:val="both"/>
        <w:rPr>
          <w:rFonts w:ascii="Century Gothic" w:eastAsia="Century Gothic" w:hAnsi="Century Gothic" w:cs="Century Gothic"/>
          <w:sz w:val="20"/>
          <w:szCs w:val="20"/>
        </w:rPr>
      </w:pPr>
      <w:r>
        <w:rPr>
          <w:rFonts w:ascii="Century Gothic" w:eastAsia="Century Gothic" w:hAnsi="Century Gothic" w:cs="Century Gothic"/>
          <w:sz w:val="20"/>
          <w:szCs w:val="20"/>
        </w:rPr>
        <w:t>We provide support for our clients between 7 am – 8 pm, Mondays through Fridays (business operating hours).</w:t>
      </w:r>
    </w:p>
    <w:p w14:paraId="000001B4" w14:textId="77777777" w:rsidR="006A13A2" w:rsidRDefault="00000000">
      <w:pPr>
        <w:numPr>
          <w:ilvl w:val="1"/>
          <w:numId w:val="1"/>
        </w:numPr>
        <w:spacing w:after="200"/>
        <w:jc w:val="both"/>
        <w:rPr>
          <w:rFonts w:ascii="Century Gothic" w:eastAsia="Century Gothic" w:hAnsi="Century Gothic" w:cs="Century Gothic"/>
          <w:sz w:val="20"/>
          <w:szCs w:val="20"/>
        </w:rPr>
      </w:pPr>
      <w:r>
        <w:rPr>
          <w:rFonts w:ascii="Century Gothic" w:eastAsia="Century Gothic" w:hAnsi="Century Gothic" w:cs="Century Gothic"/>
          <w:sz w:val="20"/>
          <w:szCs w:val="20"/>
        </w:rPr>
        <w:t>However, for emergency support service, our emergency support Team (support@getanchor.co) is available 24/7 to provide support for transaction-related downtimes. Our support team is equipped to fulfil this function in concurrence with this Agreement.</w:t>
      </w:r>
      <w:r>
        <w:rPr>
          <w:rFonts w:ascii="Century Gothic" w:eastAsia="Century Gothic" w:hAnsi="Century Gothic" w:cs="Century Gothic"/>
          <w:sz w:val="20"/>
          <w:szCs w:val="20"/>
        </w:rPr>
        <w:br/>
      </w:r>
    </w:p>
    <w:p w14:paraId="000001B5" w14:textId="77777777" w:rsidR="006A13A2" w:rsidRDefault="00000000">
      <w:pPr>
        <w:numPr>
          <w:ilvl w:val="0"/>
          <w:numId w:val="8"/>
        </w:numPr>
        <w:spacing w:after="200"/>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ISSUE RESOLUTION</w:t>
      </w:r>
    </w:p>
    <w:tbl>
      <w:tblPr>
        <w:tblStyle w:val="aff7"/>
        <w:tblW w:w="10440" w:type="dxa"/>
        <w:tblInd w:w="-2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3225"/>
        <w:gridCol w:w="1650"/>
        <w:gridCol w:w="3225"/>
      </w:tblGrid>
      <w:tr w:rsidR="006A13A2" w14:paraId="5A17E370" w14:textId="77777777">
        <w:trPr>
          <w:trHeight w:val="300"/>
        </w:trPr>
        <w:tc>
          <w:tcPr>
            <w:tcW w:w="2340" w:type="dxa"/>
            <w:shd w:val="clear" w:color="auto" w:fill="000000"/>
            <w:tcMar>
              <w:top w:w="100" w:type="dxa"/>
              <w:left w:w="100" w:type="dxa"/>
              <w:bottom w:w="100" w:type="dxa"/>
              <w:right w:w="100" w:type="dxa"/>
            </w:tcMar>
          </w:tcPr>
          <w:p w14:paraId="000001B7"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REQUEST</w:t>
            </w:r>
          </w:p>
        </w:tc>
        <w:tc>
          <w:tcPr>
            <w:tcW w:w="3225" w:type="dxa"/>
            <w:shd w:val="clear" w:color="auto" w:fill="000000"/>
            <w:tcMar>
              <w:top w:w="100" w:type="dxa"/>
              <w:left w:w="100" w:type="dxa"/>
              <w:bottom w:w="100" w:type="dxa"/>
              <w:right w:w="100" w:type="dxa"/>
            </w:tcMar>
          </w:tcPr>
          <w:p w14:paraId="000001B8"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DESCRIPTION</w:t>
            </w:r>
          </w:p>
        </w:tc>
        <w:tc>
          <w:tcPr>
            <w:tcW w:w="1650" w:type="dxa"/>
            <w:shd w:val="clear" w:color="auto" w:fill="000000"/>
            <w:tcMar>
              <w:top w:w="100" w:type="dxa"/>
              <w:left w:w="100" w:type="dxa"/>
              <w:bottom w:w="100" w:type="dxa"/>
              <w:right w:w="100" w:type="dxa"/>
            </w:tcMar>
          </w:tcPr>
          <w:p w14:paraId="000001B9"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TRANSACTION TIMELINE</w:t>
            </w:r>
          </w:p>
        </w:tc>
        <w:tc>
          <w:tcPr>
            <w:tcW w:w="3225" w:type="dxa"/>
            <w:shd w:val="clear" w:color="auto" w:fill="000000"/>
            <w:tcMar>
              <w:top w:w="100" w:type="dxa"/>
              <w:left w:w="100" w:type="dxa"/>
              <w:bottom w:w="100" w:type="dxa"/>
              <w:right w:w="100" w:type="dxa"/>
            </w:tcMar>
          </w:tcPr>
          <w:p w14:paraId="000001BA"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 xml:space="preserve">RESOLUTION </w:t>
            </w:r>
          </w:p>
        </w:tc>
      </w:tr>
      <w:tr w:rsidR="006A13A2" w14:paraId="617D37CC" w14:textId="77777777">
        <w:trPr>
          <w:trHeight w:val="420"/>
        </w:trPr>
        <w:tc>
          <w:tcPr>
            <w:tcW w:w="2340" w:type="dxa"/>
            <w:vMerge w:val="restart"/>
            <w:tcMar>
              <w:top w:w="100" w:type="dxa"/>
              <w:left w:w="100" w:type="dxa"/>
              <w:bottom w:w="100" w:type="dxa"/>
              <w:right w:w="100" w:type="dxa"/>
            </w:tcMar>
          </w:tcPr>
          <w:p w14:paraId="000001BB"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Account Request</w:t>
            </w:r>
          </w:p>
        </w:tc>
        <w:tc>
          <w:tcPr>
            <w:tcW w:w="3225" w:type="dxa"/>
            <w:tcMar>
              <w:top w:w="100" w:type="dxa"/>
              <w:left w:w="100" w:type="dxa"/>
              <w:bottom w:w="100" w:type="dxa"/>
              <w:right w:w="100" w:type="dxa"/>
            </w:tcMar>
          </w:tcPr>
          <w:p w14:paraId="000001BC"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Account opening</w:t>
            </w:r>
          </w:p>
        </w:tc>
        <w:tc>
          <w:tcPr>
            <w:tcW w:w="1650" w:type="dxa"/>
            <w:vMerge w:val="restart"/>
            <w:tcMar>
              <w:top w:w="100" w:type="dxa"/>
              <w:left w:w="100" w:type="dxa"/>
              <w:bottom w:w="100" w:type="dxa"/>
              <w:right w:w="100" w:type="dxa"/>
            </w:tcMar>
          </w:tcPr>
          <w:p w14:paraId="000001BD"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45 minutes</w:t>
            </w:r>
          </w:p>
        </w:tc>
        <w:tc>
          <w:tcPr>
            <w:tcW w:w="3225" w:type="dxa"/>
            <w:tcMar>
              <w:top w:w="100" w:type="dxa"/>
              <w:left w:w="100" w:type="dxa"/>
              <w:bottom w:w="100" w:type="dxa"/>
              <w:right w:w="100" w:type="dxa"/>
            </w:tcMar>
          </w:tcPr>
          <w:p w14:paraId="000001BE"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24 hours</w:t>
            </w:r>
          </w:p>
        </w:tc>
      </w:tr>
      <w:tr w:rsidR="006A13A2" w14:paraId="1BD26D78" w14:textId="77777777">
        <w:trPr>
          <w:trHeight w:val="420"/>
        </w:trPr>
        <w:tc>
          <w:tcPr>
            <w:tcW w:w="2340" w:type="dxa"/>
            <w:vMerge/>
            <w:tcMar>
              <w:top w:w="100" w:type="dxa"/>
              <w:left w:w="100" w:type="dxa"/>
              <w:bottom w:w="100" w:type="dxa"/>
              <w:right w:w="100" w:type="dxa"/>
            </w:tcMar>
          </w:tcPr>
          <w:p w14:paraId="000001BF"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c>
          <w:tcPr>
            <w:tcW w:w="3225" w:type="dxa"/>
            <w:tcMar>
              <w:top w:w="100" w:type="dxa"/>
              <w:left w:w="100" w:type="dxa"/>
              <w:bottom w:w="100" w:type="dxa"/>
              <w:right w:w="100" w:type="dxa"/>
            </w:tcMar>
          </w:tcPr>
          <w:p w14:paraId="000001C0"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Account update </w:t>
            </w:r>
          </w:p>
        </w:tc>
        <w:tc>
          <w:tcPr>
            <w:tcW w:w="1650" w:type="dxa"/>
            <w:vMerge/>
            <w:tcMar>
              <w:top w:w="100" w:type="dxa"/>
              <w:left w:w="100" w:type="dxa"/>
              <w:bottom w:w="100" w:type="dxa"/>
              <w:right w:w="100" w:type="dxa"/>
            </w:tcMar>
          </w:tcPr>
          <w:p w14:paraId="000001C1"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c>
          <w:tcPr>
            <w:tcW w:w="3225" w:type="dxa"/>
            <w:tcMar>
              <w:top w:w="100" w:type="dxa"/>
              <w:left w:w="100" w:type="dxa"/>
              <w:bottom w:w="100" w:type="dxa"/>
              <w:right w:w="100" w:type="dxa"/>
            </w:tcMar>
          </w:tcPr>
          <w:p w14:paraId="000001C2"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24 hours</w:t>
            </w:r>
          </w:p>
        </w:tc>
      </w:tr>
      <w:tr w:rsidR="006A13A2" w14:paraId="72BE5EB2" w14:textId="77777777">
        <w:trPr>
          <w:trHeight w:val="420"/>
        </w:trPr>
        <w:tc>
          <w:tcPr>
            <w:tcW w:w="2340" w:type="dxa"/>
            <w:vMerge/>
            <w:tcMar>
              <w:top w:w="100" w:type="dxa"/>
              <w:left w:w="100" w:type="dxa"/>
              <w:bottom w:w="100" w:type="dxa"/>
              <w:right w:w="100" w:type="dxa"/>
            </w:tcMar>
          </w:tcPr>
          <w:p w14:paraId="000001C3"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c>
          <w:tcPr>
            <w:tcW w:w="3225" w:type="dxa"/>
            <w:tcMar>
              <w:top w:w="100" w:type="dxa"/>
              <w:left w:w="100" w:type="dxa"/>
              <w:bottom w:w="100" w:type="dxa"/>
              <w:right w:w="100" w:type="dxa"/>
            </w:tcMar>
          </w:tcPr>
          <w:p w14:paraId="000001C4"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Blacklist Account</w:t>
            </w:r>
          </w:p>
        </w:tc>
        <w:tc>
          <w:tcPr>
            <w:tcW w:w="1650" w:type="dxa"/>
            <w:vMerge/>
            <w:tcMar>
              <w:top w:w="100" w:type="dxa"/>
              <w:left w:w="100" w:type="dxa"/>
              <w:bottom w:w="100" w:type="dxa"/>
              <w:right w:w="100" w:type="dxa"/>
            </w:tcMar>
          </w:tcPr>
          <w:p w14:paraId="000001C5"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c>
          <w:tcPr>
            <w:tcW w:w="3225" w:type="dxa"/>
            <w:tcMar>
              <w:top w:w="100" w:type="dxa"/>
              <w:left w:w="100" w:type="dxa"/>
              <w:bottom w:w="100" w:type="dxa"/>
              <w:right w:w="100" w:type="dxa"/>
            </w:tcMar>
          </w:tcPr>
          <w:p w14:paraId="000001C6"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24 hours</w:t>
            </w:r>
          </w:p>
        </w:tc>
      </w:tr>
      <w:tr w:rsidR="006A13A2" w14:paraId="0C43C528" w14:textId="77777777">
        <w:trPr>
          <w:trHeight w:val="420"/>
        </w:trPr>
        <w:tc>
          <w:tcPr>
            <w:tcW w:w="2340" w:type="dxa"/>
            <w:vMerge w:val="restart"/>
            <w:tcMar>
              <w:top w:w="100" w:type="dxa"/>
              <w:left w:w="100" w:type="dxa"/>
              <w:bottom w:w="100" w:type="dxa"/>
              <w:right w:w="100" w:type="dxa"/>
            </w:tcMar>
          </w:tcPr>
          <w:p w14:paraId="000001C7"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Transaction Request</w:t>
            </w:r>
          </w:p>
        </w:tc>
        <w:tc>
          <w:tcPr>
            <w:tcW w:w="3225" w:type="dxa"/>
            <w:tcMar>
              <w:top w:w="100" w:type="dxa"/>
              <w:left w:w="100" w:type="dxa"/>
              <w:bottom w:w="100" w:type="dxa"/>
              <w:right w:w="100" w:type="dxa"/>
            </w:tcMar>
          </w:tcPr>
          <w:p w14:paraId="000001C8"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Transaction Verification</w:t>
            </w:r>
          </w:p>
        </w:tc>
        <w:tc>
          <w:tcPr>
            <w:tcW w:w="1650" w:type="dxa"/>
            <w:vMerge w:val="restart"/>
            <w:tcMar>
              <w:top w:w="100" w:type="dxa"/>
              <w:left w:w="100" w:type="dxa"/>
              <w:bottom w:w="100" w:type="dxa"/>
              <w:right w:w="100" w:type="dxa"/>
            </w:tcMar>
          </w:tcPr>
          <w:p w14:paraId="000001C9"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30 minutes</w:t>
            </w:r>
          </w:p>
        </w:tc>
        <w:tc>
          <w:tcPr>
            <w:tcW w:w="3225" w:type="dxa"/>
            <w:tcMar>
              <w:top w:w="100" w:type="dxa"/>
              <w:left w:w="100" w:type="dxa"/>
              <w:bottom w:w="100" w:type="dxa"/>
              <w:right w:w="100" w:type="dxa"/>
            </w:tcMar>
          </w:tcPr>
          <w:p w14:paraId="000001CA"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3 hours </w:t>
            </w:r>
          </w:p>
        </w:tc>
      </w:tr>
      <w:tr w:rsidR="006A13A2" w14:paraId="1EEF57FD" w14:textId="77777777">
        <w:trPr>
          <w:trHeight w:val="420"/>
        </w:trPr>
        <w:tc>
          <w:tcPr>
            <w:tcW w:w="2340" w:type="dxa"/>
            <w:vMerge/>
            <w:tcMar>
              <w:top w:w="100" w:type="dxa"/>
              <w:left w:w="100" w:type="dxa"/>
              <w:bottom w:w="100" w:type="dxa"/>
              <w:right w:w="100" w:type="dxa"/>
            </w:tcMar>
          </w:tcPr>
          <w:p w14:paraId="000001CB"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c>
          <w:tcPr>
            <w:tcW w:w="3225" w:type="dxa"/>
            <w:tcMar>
              <w:top w:w="100" w:type="dxa"/>
              <w:left w:w="100" w:type="dxa"/>
              <w:bottom w:w="100" w:type="dxa"/>
              <w:right w:w="100" w:type="dxa"/>
            </w:tcMar>
          </w:tcPr>
          <w:p w14:paraId="000001CC"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Transaction Notification</w:t>
            </w:r>
          </w:p>
        </w:tc>
        <w:tc>
          <w:tcPr>
            <w:tcW w:w="1650" w:type="dxa"/>
            <w:vMerge/>
            <w:tcMar>
              <w:top w:w="100" w:type="dxa"/>
              <w:left w:w="100" w:type="dxa"/>
              <w:bottom w:w="100" w:type="dxa"/>
              <w:right w:w="100" w:type="dxa"/>
            </w:tcMar>
          </w:tcPr>
          <w:p w14:paraId="000001CD"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c>
          <w:tcPr>
            <w:tcW w:w="3225" w:type="dxa"/>
            <w:tcMar>
              <w:top w:w="100" w:type="dxa"/>
              <w:left w:w="100" w:type="dxa"/>
              <w:bottom w:w="100" w:type="dxa"/>
              <w:right w:w="100" w:type="dxa"/>
            </w:tcMar>
          </w:tcPr>
          <w:p w14:paraId="000001CE"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12 hours </w:t>
            </w:r>
          </w:p>
        </w:tc>
      </w:tr>
      <w:tr w:rsidR="006A13A2" w14:paraId="5F0F5130" w14:textId="77777777">
        <w:trPr>
          <w:trHeight w:val="420"/>
        </w:trPr>
        <w:tc>
          <w:tcPr>
            <w:tcW w:w="2340" w:type="dxa"/>
            <w:vMerge w:val="restart"/>
            <w:tcMar>
              <w:top w:w="100" w:type="dxa"/>
              <w:left w:w="100" w:type="dxa"/>
              <w:bottom w:w="100" w:type="dxa"/>
              <w:right w:w="100" w:type="dxa"/>
            </w:tcMar>
          </w:tcPr>
          <w:p w14:paraId="000001CF"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Reporting </w:t>
            </w:r>
            <w:r>
              <w:rPr>
                <w:rFonts w:ascii="Century Gothic" w:eastAsia="Century Gothic" w:hAnsi="Century Gothic" w:cs="Century Gothic"/>
                <w:sz w:val="20"/>
                <w:szCs w:val="20"/>
              </w:rPr>
              <w:lastRenderedPageBreak/>
              <w:t>(Compliance Deliverables) Request</w:t>
            </w:r>
          </w:p>
        </w:tc>
        <w:tc>
          <w:tcPr>
            <w:tcW w:w="3225" w:type="dxa"/>
            <w:tcMar>
              <w:top w:w="100" w:type="dxa"/>
              <w:left w:w="100" w:type="dxa"/>
              <w:bottom w:w="100" w:type="dxa"/>
              <w:right w:w="100" w:type="dxa"/>
            </w:tcMar>
          </w:tcPr>
          <w:p w14:paraId="000001D0"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lastRenderedPageBreak/>
              <w:t>Suspicious Transactions Report</w:t>
            </w:r>
          </w:p>
        </w:tc>
        <w:tc>
          <w:tcPr>
            <w:tcW w:w="1650" w:type="dxa"/>
            <w:vMerge w:val="restart"/>
            <w:tcMar>
              <w:top w:w="100" w:type="dxa"/>
              <w:left w:w="100" w:type="dxa"/>
              <w:bottom w:w="100" w:type="dxa"/>
              <w:right w:w="100" w:type="dxa"/>
            </w:tcMar>
          </w:tcPr>
          <w:p w14:paraId="000001D1"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24 hours</w:t>
            </w:r>
          </w:p>
        </w:tc>
        <w:tc>
          <w:tcPr>
            <w:tcW w:w="3225" w:type="dxa"/>
            <w:vMerge w:val="restart"/>
            <w:tcMar>
              <w:top w:w="100" w:type="dxa"/>
              <w:left w:w="100" w:type="dxa"/>
              <w:bottom w:w="100" w:type="dxa"/>
              <w:right w:w="100" w:type="dxa"/>
            </w:tcMar>
          </w:tcPr>
          <w:p w14:paraId="000001D2"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24 hours (Necessary reports to </w:t>
            </w:r>
            <w:r>
              <w:rPr>
                <w:rFonts w:ascii="Century Gothic" w:eastAsia="Century Gothic" w:hAnsi="Century Gothic" w:cs="Century Gothic"/>
                <w:sz w:val="20"/>
                <w:szCs w:val="20"/>
              </w:rPr>
              <w:lastRenderedPageBreak/>
              <w:t>be filed with the regulators through Anchor’s partners)</w:t>
            </w:r>
          </w:p>
        </w:tc>
      </w:tr>
      <w:tr w:rsidR="006A13A2" w14:paraId="69AA74D4" w14:textId="77777777">
        <w:trPr>
          <w:trHeight w:val="420"/>
        </w:trPr>
        <w:tc>
          <w:tcPr>
            <w:tcW w:w="2340" w:type="dxa"/>
            <w:vMerge/>
            <w:tcMar>
              <w:top w:w="100" w:type="dxa"/>
              <w:left w:w="100" w:type="dxa"/>
              <w:bottom w:w="100" w:type="dxa"/>
              <w:right w:w="100" w:type="dxa"/>
            </w:tcMar>
          </w:tcPr>
          <w:p w14:paraId="000001D3"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c>
          <w:tcPr>
            <w:tcW w:w="3225" w:type="dxa"/>
            <w:tcMar>
              <w:top w:w="100" w:type="dxa"/>
              <w:left w:w="100" w:type="dxa"/>
              <w:bottom w:w="100" w:type="dxa"/>
              <w:right w:w="100" w:type="dxa"/>
            </w:tcMar>
          </w:tcPr>
          <w:p w14:paraId="000001D4"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Fraud Reporting</w:t>
            </w:r>
          </w:p>
        </w:tc>
        <w:tc>
          <w:tcPr>
            <w:tcW w:w="1650" w:type="dxa"/>
            <w:vMerge/>
            <w:tcMar>
              <w:top w:w="100" w:type="dxa"/>
              <w:left w:w="100" w:type="dxa"/>
              <w:bottom w:w="100" w:type="dxa"/>
              <w:right w:w="100" w:type="dxa"/>
            </w:tcMar>
          </w:tcPr>
          <w:p w14:paraId="000001D5"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c>
          <w:tcPr>
            <w:tcW w:w="3225" w:type="dxa"/>
            <w:vMerge/>
            <w:tcMar>
              <w:top w:w="100" w:type="dxa"/>
              <w:left w:w="100" w:type="dxa"/>
              <w:bottom w:w="100" w:type="dxa"/>
              <w:right w:w="100" w:type="dxa"/>
            </w:tcMar>
          </w:tcPr>
          <w:p w14:paraId="000001D6"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r>
      <w:tr w:rsidR="006A13A2" w14:paraId="4B50D36A" w14:textId="77777777">
        <w:trPr>
          <w:trHeight w:val="420"/>
        </w:trPr>
        <w:tc>
          <w:tcPr>
            <w:tcW w:w="2340" w:type="dxa"/>
            <w:tcMar>
              <w:top w:w="100" w:type="dxa"/>
              <w:left w:w="100" w:type="dxa"/>
              <w:bottom w:w="100" w:type="dxa"/>
              <w:right w:w="100" w:type="dxa"/>
            </w:tcMar>
          </w:tcPr>
          <w:p w14:paraId="000001D7"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Electronic fund transfer</w:t>
            </w:r>
          </w:p>
        </w:tc>
        <w:tc>
          <w:tcPr>
            <w:tcW w:w="3225" w:type="dxa"/>
            <w:tcMar>
              <w:top w:w="100" w:type="dxa"/>
              <w:left w:w="100" w:type="dxa"/>
              <w:bottom w:w="100" w:type="dxa"/>
              <w:right w:w="100" w:type="dxa"/>
            </w:tcMar>
          </w:tcPr>
          <w:p w14:paraId="000001D8"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Disputes on electronic fund transfers</w:t>
            </w:r>
          </w:p>
        </w:tc>
        <w:tc>
          <w:tcPr>
            <w:tcW w:w="1650" w:type="dxa"/>
            <w:tcMar>
              <w:top w:w="100" w:type="dxa"/>
              <w:left w:w="100" w:type="dxa"/>
              <w:bottom w:w="100" w:type="dxa"/>
              <w:right w:w="100" w:type="dxa"/>
            </w:tcMar>
          </w:tcPr>
          <w:p w14:paraId="000001D9"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45 minutes</w:t>
            </w:r>
          </w:p>
        </w:tc>
        <w:tc>
          <w:tcPr>
            <w:tcW w:w="3225" w:type="dxa"/>
            <w:tcMar>
              <w:top w:w="100" w:type="dxa"/>
              <w:left w:w="100" w:type="dxa"/>
              <w:bottom w:w="100" w:type="dxa"/>
              <w:right w:w="100" w:type="dxa"/>
            </w:tcMar>
          </w:tcPr>
          <w:p w14:paraId="000001DA"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Within 24 hours</w:t>
            </w:r>
          </w:p>
        </w:tc>
      </w:tr>
      <w:tr w:rsidR="006A13A2" w14:paraId="76CB60A5" w14:textId="77777777">
        <w:trPr>
          <w:trHeight w:val="420"/>
        </w:trPr>
        <w:tc>
          <w:tcPr>
            <w:tcW w:w="2340" w:type="dxa"/>
            <w:vMerge w:val="restart"/>
            <w:tcMar>
              <w:top w:w="100" w:type="dxa"/>
              <w:left w:w="100" w:type="dxa"/>
              <w:bottom w:w="100" w:type="dxa"/>
              <w:right w:w="100" w:type="dxa"/>
            </w:tcMar>
          </w:tcPr>
          <w:p w14:paraId="000001DB"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Other Requests</w:t>
            </w:r>
          </w:p>
        </w:tc>
        <w:tc>
          <w:tcPr>
            <w:tcW w:w="3225" w:type="dxa"/>
            <w:tcMar>
              <w:top w:w="100" w:type="dxa"/>
              <w:left w:w="100" w:type="dxa"/>
              <w:bottom w:w="100" w:type="dxa"/>
              <w:right w:w="100" w:type="dxa"/>
            </w:tcMar>
          </w:tcPr>
          <w:p w14:paraId="000001DC"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Configuration</w:t>
            </w:r>
          </w:p>
        </w:tc>
        <w:tc>
          <w:tcPr>
            <w:tcW w:w="1650" w:type="dxa"/>
            <w:vMerge w:val="restart"/>
            <w:tcMar>
              <w:top w:w="100" w:type="dxa"/>
              <w:left w:w="100" w:type="dxa"/>
              <w:bottom w:w="100" w:type="dxa"/>
              <w:right w:w="100" w:type="dxa"/>
            </w:tcMar>
          </w:tcPr>
          <w:p w14:paraId="000001DD"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1 hour</w:t>
            </w:r>
          </w:p>
        </w:tc>
        <w:tc>
          <w:tcPr>
            <w:tcW w:w="3225" w:type="dxa"/>
            <w:tcMar>
              <w:top w:w="100" w:type="dxa"/>
              <w:left w:w="100" w:type="dxa"/>
              <w:bottom w:w="100" w:type="dxa"/>
              <w:right w:w="100" w:type="dxa"/>
            </w:tcMar>
          </w:tcPr>
          <w:p w14:paraId="000001DE"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2 hours</w:t>
            </w:r>
          </w:p>
        </w:tc>
      </w:tr>
      <w:tr w:rsidR="006A13A2" w14:paraId="7347A3A8" w14:textId="77777777">
        <w:tc>
          <w:tcPr>
            <w:tcW w:w="2340" w:type="dxa"/>
            <w:vMerge/>
            <w:tcMar>
              <w:top w:w="100" w:type="dxa"/>
              <w:left w:w="100" w:type="dxa"/>
              <w:bottom w:w="100" w:type="dxa"/>
              <w:right w:w="100" w:type="dxa"/>
            </w:tcMar>
          </w:tcPr>
          <w:p w14:paraId="000001DF"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c>
          <w:tcPr>
            <w:tcW w:w="3225" w:type="dxa"/>
            <w:tcMar>
              <w:top w:w="100" w:type="dxa"/>
              <w:left w:w="100" w:type="dxa"/>
              <w:bottom w:w="100" w:type="dxa"/>
              <w:right w:w="100" w:type="dxa"/>
            </w:tcMar>
          </w:tcPr>
          <w:p w14:paraId="000001E0"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Product/Service Inquiry</w:t>
            </w:r>
          </w:p>
        </w:tc>
        <w:tc>
          <w:tcPr>
            <w:tcW w:w="1650" w:type="dxa"/>
            <w:vMerge/>
            <w:tcMar>
              <w:top w:w="100" w:type="dxa"/>
              <w:left w:w="100" w:type="dxa"/>
              <w:bottom w:w="100" w:type="dxa"/>
              <w:right w:w="100" w:type="dxa"/>
            </w:tcMar>
          </w:tcPr>
          <w:p w14:paraId="000001E1"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c>
          <w:tcPr>
            <w:tcW w:w="3225" w:type="dxa"/>
            <w:tcMar>
              <w:top w:w="100" w:type="dxa"/>
              <w:left w:w="100" w:type="dxa"/>
              <w:bottom w:w="100" w:type="dxa"/>
              <w:right w:w="100" w:type="dxa"/>
            </w:tcMar>
          </w:tcPr>
          <w:p w14:paraId="000001E2"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24 hours</w:t>
            </w:r>
          </w:p>
        </w:tc>
      </w:tr>
      <w:tr w:rsidR="006A13A2" w14:paraId="1E5E5ED7" w14:textId="77777777">
        <w:trPr>
          <w:trHeight w:val="420"/>
        </w:trPr>
        <w:tc>
          <w:tcPr>
            <w:tcW w:w="2340" w:type="dxa"/>
            <w:vMerge/>
            <w:tcMar>
              <w:top w:w="100" w:type="dxa"/>
              <w:left w:w="100" w:type="dxa"/>
              <w:bottom w:w="100" w:type="dxa"/>
              <w:right w:w="100" w:type="dxa"/>
            </w:tcMar>
          </w:tcPr>
          <w:p w14:paraId="000001E3"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c>
          <w:tcPr>
            <w:tcW w:w="3225" w:type="dxa"/>
            <w:tcMar>
              <w:top w:w="100" w:type="dxa"/>
              <w:left w:w="100" w:type="dxa"/>
              <w:bottom w:w="100" w:type="dxa"/>
              <w:right w:w="100" w:type="dxa"/>
            </w:tcMar>
          </w:tcPr>
          <w:p w14:paraId="000001E4"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Documentation Request</w:t>
            </w:r>
          </w:p>
        </w:tc>
        <w:tc>
          <w:tcPr>
            <w:tcW w:w="1650" w:type="dxa"/>
            <w:vMerge/>
            <w:tcMar>
              <w:top w:w="100" w:type="dxa"/>
              <w:left w:w="100" w:type="dxa"/>
              <w:bottom w:w="100" w:type="dxa"/>
              <w:right w:w="100" w:type="dxa"/>
            </w:tcMar>
          </w:tcPr>
          <w:p w14:paraId="000001E5" w14:textId="77777777" w:rsidR="006A13A2" w:rsidRDefault="006A13A2">
            <w:pPr>
              <w:widowControl w:val="0"/>
              <w:pBdr>
                <w:top w:val="nil"/>
                <w:left w:val="nil"/>
                <w:bottom w:val="nil"/>
                <w:right w:val="nil"/>
                <w:between w:val="nil"/>
              </w:pBdr>
              <w:spacing w:after="200"/>
              <w:rPr>
                <w:rFonts w:ascii="Century Gothic" w:eastAsia="Century Gothic" w:hAnsi="Century Gothic" w:cs="Century Gothic"/>
                <w:sz w:val="20"/>
                <w:szCs w:val="20"/>
              </w:rPr>
            </w:pPr>
          </w:p>
        </w:tc>
        <w:tc>
          <w:tcPr>
            <w:tcW w:w="3225" w:type="dxa"/>
            <w:tcMar>
              <w:top w:w="100" w:type="dxa"/>
              <w:left w:w="100" w:type="dxa"/>
              <w:bottom w:w="100" w:type="dxa"/>
              <w:right w:w="100" w:type="dxa"/>
            </w:tcMar>
          </w:tcPr>
          <w:p w14:paraId="000001E6"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1 hour</w:t>
            </w:r>
          </w:p>
        </w:tc>
      </w:tr>
    </w:tbl>
    <w:p w14:paraId="000001B6" w14:textId="77777777" w:rsidR="006A13A2" w:rsidRDefault="006A13A2">
      <w:pPr>
        <w:spacing w:after="200"/>
        <w:rPr>
          <w:rFonts w:ascii="Century Gothic" w:eastAsia="Century Gothic" w:hAnsi="Century Gothic" w:cs="Century Gothic"/>
          <w:b/>
          <w:bCs/>
          <w:sz w:val="20"/>
          <w:szCs w:val="20"/>
        </w:rPr>
      </w:pPr>
    </w:p>
    <w:p w14:paraId="000001E7" w14:textId="77777777" w:rsidR="006A13A2" w:rsidRDefault="006A13A2">
      <w:pPr>
        <w:spacing w:after="200"/>
        <w:rPr>
          <w:rFonts w:ascii="Century Gothic" w:eastAsia="Century Gothic" w:hAnsi="Century Gothic" w:cs="Century Gothic"/>
          <w:b/>
          <w:bCs/>
          <w:sz w:val="20"/>
          <w:szCs w:val="20"/>
        </w:rPr>
      </w:pPr>
    </w:p>
    <w:p w14:paraId="000001E8" w14:textId="77777777" w:rsidR="006A13A2" w:rsidRDefault="00000000">
      <w:pPr>
        <w:numPr>
          <w:ilvl w:val="0"/>
          <w:numId w:val="5"/>
        </w:numPr>
        <w:spacing w:after="200"/>
        <w:rPr>
          <w:rFonts w:ascii="Century Gothic" w:eastAsia="Century Gothic" w:hAnsi="Century Gothic" w:cs="Century Gothic"/>
          <w:b/>
          <w:bCs/>
          <w:sz w:val="20"/>
          <w:szCs w:val="20"/>
        </w:rPr>
      </w:pPr>
      <w:r>
        <w:rPr>
          <w:rFonts w:ascii="Century Gothic" w:eastAsia="Century Gothic" w:hAnsi="Century Gothic" w:cs="Century Gothic"/>
          <w:b/>
          <w:bCs/>
          <w:sz w:val="20"/>
          <w:szCs w:val="20"/>
        </w:rPr>
        <w:t>PERFORMANCE INDICATORS</w:t>
      </w:r>
    </w:p>
    <w:tbl>
      <w:tblPr>
        <w:tblStyle w:val="aff8"/>
        <w:tblW w:w="93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96"/>
        <w:gridCol w:w="2578"/>
        <w:gridCol w:w="2300"/>
        <w:gridCol w:w="2489"/>
      </w:tblGrid>
      <w:tr w:rsidR="006A13A2" w14:paraId="25692CDB" w14:textId="77777777">
        <w:tc>
          <w:tcPr>
            <w:tcW w:w="1996" w:type="dxa"/>
            <w:shd w:val="clear" w:color="auto" w:fill="000000"/>
            <w:tcMar>
              <w:top w:w="100" w:type="dxa"/>
              <w:left w:w="100" w:type="dxa"/>
              <w:bottom w:w="100" w:type="dxa"/>
              <w:right w:w="100" w:type="dxa"/>
            </w:tcMar>
          </w:tcPr>
          <w:p w14:paraId="000001E9"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METRIC</w:t>
            </w:r>
          </w:p>
        </w:tc>
        <w:tc>
          <w:tcPr>
            <w:tcW w:w="2578" w:type="dxa"/>
            <w:shd w:val="clear" w:color="auto" w:fill="000000"/>
            <w:tcMar>
              <w:top w:w="100" w:type="dxa"/>
              <w:left w:w="100" w:type="dxa"/>
              <w:bottom w:w="100" w:type="dxa"/>
              <w:right w:w="100" w:type="dxa"/>
            </w:tcMar>
          </w:tcPr>
          <w:p w14:paraId="000001EA"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OPERATIONAL</w:t>
            </w:r>
          </w:p>
        </w:tc>
        <w:tc>
          <w:tcPr>
            <w:tcW w:w="2300" w:type="dxa"/>
            <w:shd w:val="clear" w:color="auto" w:fill="000000"/>
            <w:tcMar>
              <w:top w:w="100" w:type="dxa"/>
              <w:left w:w="100" w:type="dxa"/>
              <w:bottom w:w="100" w:type="dxa"/>
              <w:right w:w="100" w:type="dxa"/>
            </w:tcMar>
          </w:tcPr>
          <w:p w14:paraId="000001EB"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SUSPECT</w:t>
            </w:r>
          </w:p>
        </w:tc>
        <w:tc>
          <w:tcPr>
            <w:tcW w:w="2489" w:type="dxa"/>
            <w:shd w:val="clear" w:color="auto" w:fill="000000"/>
            <w:tcMar>
              <w:top w:w="100" w:type="dxa"/>
              <w:left w:w="100" w:type="dxa"/>
              <w:bottom w:w="100" w:type="dxa"/>
              <w:right w:w="100" w:type="dxa"/>
            </w:tcMar>
          </w:tcPr>
          <w:p w14:paraId="000001EC"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CRITICAL</w:t>
            </w:r>
          </w:p>
        </w:tc>
      </w:tr>
      <w:tr w:rsidR="006A13A2" w14:paraId="4EEAA3BA" w14:textId="77777777">
        <w:tc>
          <w:tcPr>
            <w:tcW w:w="1996" w:type="dxa"/>
            <w:tcMar>
              <w:top w:w="100" w:type="dxa"/>
              <w:left w:w="100" w:type="dxa"/>
              <w:bottom w:w="100" w:type="dxa"/>
              <w:right w:w="100" w:type="dxa"/>
            </w:tcMar>
          </w:tcPr>
          <w:p w14:paraId="000001ED"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Availability</w:t>
            </w:r>
          </w:p>
        </w:tc>
        <w:tc>
          <w:tcPr>
            <w:tcW w:w="2578" w:type="dxa"/>
            <w:tcMar>
              <w:top w:w="100" w:type="dxa"/>
              <w:left w:w="100" w:type="dxa"/>
              <w:bottom w:w="100" w:type="dxa"/>
              <w:right w:w="100" w:type="dxa"/>
            </w:tcMar>
          </w:tcPr>
          <w:p w14:paraId="000001EE"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98%</w:t>
            </w:r>
          </w:p>
        </w:tc>
        <w:tc>
          <w:tcPr>
            <w:tcW w:w="2300" w:type="dxa"/>
            <w:tcMar>
              <w:top w:w="100" w:type="dxa"/>
              <w:left w:w="100" w:type="dxa"/>
              <w:bottom w:w="100" w:type="dxa"/>
              <w:right w:w="100" w:type="dxa"/>
            </w:tcMar>
          </w:tcPr>
          <w:p w14:paraId="000001EF"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95%</w:t>
            </w:r>
          </w:p>
        </w:tc>
        <w:tc>
          <w:tcPr>
            <w:tcW w:w="2489" w:type="dxa"/>
            <w:tcMar>
              <w:top w:w="100" w:type="dxa"/>
              <w:left w:w="100" w:type="dxa"/>
              <w:bottom w:w="100" w:type="dxa"/>
              <w:right w:w="100" w:type="dxa"/>
            </w:tcMar>
          </w:tcPr>
          <w:p w14:paraId="000001F0"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95%</w:t>
            </w:r>
          </w:p>
        </w:tc>
      </w:tr>
      <w:tr w:rsidR="006A13A2" w14:paraId="1A97EC11" w14:textId="77777777">
        <w:tc>
          <w:tcPr>
            <w:tcW w:w="1996" w:type="dxa"/>
            <w:tcMar>
              <w:top w:w="100" w:type="dxa"/>
              <w:left w:w="100" w:type="dxa"/>
              <w:bottom w:w="100" w:type="dxa"/>
              <w:right w:w="100" w:type="dxa"/>
            </w:tcMar>
          </w:tcPr>
          <w:p w14:paraId="000001F1"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Average Total Processing Time </w:t>
            </w:r>
          </w:p>
        </w:tc>
        <w:tc>
          <w:tcPr>
            <w:tcW w:w="2578" w:type="dxa"/>
            <w:tcMar>
              <w:top w:w="100" w:type="dxa"/>
              <w:left w:w="100" w:type="dxa"/>
              <w:bottom w:w="100" w:type="dxa"/>
              <w:right w:w="100" w:type="dxa"/>
            </w:tcMar>
          </w:tcPr>
          <w:p w14:paraId="000001F2"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3 seconds</w:t>
            </w:r>
          </w:p>
        </w:tc>
        <w:tc>
          <w:tcPr>
            <w:tcW w:w="2300" w:type="dxa"/>
            <w:tcMar>
              <w:top w:w="100" w:type="dxa"/>
              <w:left w:w="100" w:type="dxa"/>
              <w:bottom w:w="100" w:type="dxa"/>
              <w:right w:w="100" w:type="dxa"/>
            </w:tcMar>
          </w:tcPr>
          <w:p w14:paraId="000001F3"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7 seconds</w:t>
            </w:r>
          </w:p>
        </w:tc>
        <w:tc>
          <w:tcPr>
            <w:tcW w:w="2489" w:type="dxa"/>
            <w:tcMar>
              <w:top w:w="100" w:type="dxa"/>
              <w:left w:w="100" w:type="dxa"/>
              <w:bottom w:w="100" w:type="dxa"/>
              <w:right w:w="100" w:type="dxa"/>
            </w:tcMar>
          </w:tcPr>
          <w:p w14:paraId="000001F4"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7 seconds</w:t>
            </w:r>
          </w:p>
        </w:tc>
      </w:tr>
      <w:tr w:rsidR="006A13A2" w14:paraId="51480551" w14:textId="77777777">
        <w:tc>
          <w:tcPr>
            <w:tcW w:w="1996" w:type="dxa"/>
            <w:tcMar>
              <w:top w:w="100" w:type="dxa"/>
              <w:left w:w="100" w:type="dxa"/>
              <w:bottom w:w="100" w:type="dxa"/>
              <w:right w:w="100" w:type="dxa"/>
            </w:tcMar>
          </w:tcPr>
          <w:p w14:paraId="000001F5"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Success Rate </w:t>
            </w:r>
          </w:p>
        </w:tc>
        <w:tc>
          <w:tcPr>
            <w:tcW w:w="2578" w:type="dxa"/>
            <w:tcMar>
              <w:top w:w="100" w:type="dxa"/>
              <w:left w:w="100" w:type="dxa"/>
              <w:bottom w:w="100" w:type="dxa"/>
              <w:right w:w="100" w:type="dxa"/>
            </w:tcMar>
          </w:tcPr>
          <w:p w14:paraId="000001F6"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95%</w:t>
            </w:r>
          </w:p>
        </w:tc>
        <w:tc>
          <w:tcPr>
            <w:tcW w:w="2300" w:type="dxa"/>
            <w:tcMar>
              <w:top w:w="100" w:type="dxa"/>
              <w:left w:w="100" w:type="dxa"/>
              <w:bottom w:w="100" w:type="dxa"/>
              <w:right w:w="100" w:type="dxa"/>
            </w:tcMar>
          </w:tcPr>
          <w:p w14:paraId="000001F7"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90%</w:t>
            </w:r>
          </w:p>
        </w:tc>
        <w:tc>
          <w:tcPr>
            <w:tcW w:w="2489" w:type="dxa"/>
            <w:tcMar>
              <w:top w:w="100" w:type="dxa"/>
              <w:left w:w="100" w:type="dxa"/>
              <w:bottom w:w="100" w:type="dxa"/>
              <w:right w:w="100" w:type="dxa"/>
            </w:tcMar>
          </w:tcPr>
          <w:p w14:paraId="000001F8"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90%</w:t>
            </w:r>
          </w:p>
        </w:tc>
      </w:tr>
    </w:tbl>
    <w:p w14:paraId="000001F9" w14:textId="77777777" w:rsidR="006A13A2" w:rsidRDefault="006A13A2">
      <w:pPr>
        <w:spacing w:after="200"/>
        <w:rPr>
          <w:rFonts w:ascii="Century Gothic" w:eastAsia="Century Gothic" w:hAnsi="Century Gothic" w:cs="Century Gothic"/>
          <w:sz w:val="20"/>
          <w:szCs w:val="20"/>
        </w:rPr>
      </w:pPr>
    </w:p>
    <w:p w14:paraId="000001FA" w14:textId="77777777" w:rsidR="006A13A2" w:rsidRDefault="00000000">
      <w:pPr>
        <w:numPr>
          <w:ilvl w:val="0"/>
          <w:numId w:val="6"/>
        </w:numPr>
        <w:spacing w:after="200"/>
        <w:rPr>
          <w:rFonts w:ascii="Century Gothic" w:eastAsia="Century Gothic" w:hAnsi="Century Gothic" w:cs="Century Gothic"/>
          <w:b/>
          <w:bCs/>
          <w:sz w:val="20"/>
          <w:szCs w:val="20"/>
        </w:rPr>
      </w:pPr>
      <w:r>
        <w:rPr>
          <w:rFonts w:ascii="Century Gothic" w:eastAsia="Century Gothic" w:hAnsi="Century Gothic" w:cs="Century Gothic"/>
          <w:b/>
          <w:bCs/>
          <w:sz w:val="20"/>
          <w:szCs w:val="20"/>
        </w:rPr>
        <w:t>SEVERITY, INCIDENT RESPONSE AND RESOLUTION</w:t>
      </w:r>
    </w:p>
    <w:tbl>
      <w:tblPr>
        <w:tblStyle w:val="aff9"/>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3945"/>
        <w:gridCol w:w="3720"/>
      </w:tblGrid>
      <w:tr w:rsidR="006A13A2" w14:paraId="5300D6A8" w14:textId="77777777">
        <w:tc>
          <w:tcPr>
            <w:tcW w:w="2175" w:type="dxa"/>
            <w:shd w:val="clear" w:color="auto" w:fill="000000"/>
            <w:tcMar>
              <w:top w:w="100" w:type="dxa"/>
              <w:left w:w="100" w:type="dxa"/>
              <w:bottom w:w="100" w:type="dxa"/>
              <w:right w:w="100" w:type="dxa"/>
            </w:tcMar>
          </w:tcPr>
          <w:p w14:paraId="000001FB"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CATEGORY</w:t>
            </w:r>
          </w:p>
        </w:tc>
        <w:tc>
          <w:tcPr>
            <w:tcW w:w="3945" w:type="dxa"/>
            <w:shd w:val="clear" w:color="auto" w:fill="000000"/>
            <w:tcMar>
              <w:top w:w="100" w:type="dxa"/>
              <w:left w:w="100" w:type="dxa"/>
              <w:bottom w:w="100" w:type="dxa"/>
              <w:right w:w="100" w:type="dxa"/>
            </w:tcMar>
          </w:tcPr>
          <w:p w14:paraId="000001FC"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DESCRIPTION</w:t>
            </w:r>
          </w:p>
        </w:tc>
        <w:tc>
          <w:tcPr>
            <w:tcW w:w="3720" w:type="dxa"/>
            <w:shd w:val="clear" w:color="auto" w:fill="000000"/>
            <w:tcMar>
              <w:top w:w="100" w:type="dxa"/>
              <w:left w:w="100" w:type="dxa"/>
              <w:bottom w:w="100" w:type="dxa"/>
              <w:right w:w="100" w:type="dxa"/>
            </w:tcMar>
          </w:tcPr>
          <w:p w14:paraId="000001FD"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CONTACT FOR ESCALATION</w:t>
            </w:r>
          </w:p>
        </w:tc>
      </w:tr>
      <w:tr w:rsidR="006A13A2" w14:paraId="6237C9E4" w14:textId="77777777">
        <w:tc>
          <w:tcPr>
            <w:tcW w:w="2175" w:type="dxa"/>
            <w:tcMar>
              <w:top w:w="100" w:type="dxa"/>
              <w:left w:w="100" w:type="dxa"/>
              <w:bottom w:w="100" w:type="dxa"/>
              <w:right w:w="100" w:type="dxa"/>
            </w:tcMar>
          </w:tcPr>
          <w:p w14:paraId="000001FE"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High</w:t>
            </w:r>
          </w:p>
        </w:tc>
        <w:tc>
          <w:tcPr>
            <w:tcW w:w="3945" w:type="dxa"/>
            <w:tcMar>
              <w:top w:w="100" w:type="dxa"/>
              <w:left w:w="100" w:type="dxa"/>
              <w:bottom w:w="100" w:type="dxa"/>
              <w:right w:w="100" w:type="dxa"/>
            </w:tcMar>
          </w:tcPr>
          <w:p w14:paraId="000001FF" w14:textId="77777777" w:rsidR="006A13A2" w:rsidRDefault="00000000">
            <w:pPr>
              <w:widowControl w:val="0"/>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 xml:space="preserve">Critical Business Impact </w:t>
            </w:r>
          </w:p>
          <w:p w14:paraId="00000200"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 Fault incidence that has a material impact on customer service, revenue, and production</w:t>
            </w:r>
          </w:p>
        </w:tc>
        <w:tc>
          <w:tcPr>
            <w:tcW w:w="3720" w:type="dxa"/>
            <w:tcMar>
              <w:top w:w="100" w:type="dxa"/>
              <w:left w:w="100" w:type="dxa"/>
              <w:bottom w:w="100" w:type="dxa"/>
              <w:right w:w="100" w:type="dxa"/>
            </w:tcMar>
          </w:tcPr>
          <w:p w14:paraId="00000201"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Name: Olamide Sobowale</w:t>
            </w:r>
          </w:p>
          <w:p w14:paraId="00000202"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Email: olamide@getanchor.co</w:t>
            </w:r>
          </w:p>
          <w:p w14:paraId="00000203"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Timeline: 12 hours</w:t>
            </w:r>
          </w:p>
        </w:tc>
      </w:tr>
      <w:tr w:rsidR="006A13A2" w14:paraId="11490806" w14:textId="77777777">
        <w:tc>
          <w:tcPr>
            <w:tcW w:w="2175" w:type="dxa"/>
            <w:tcMar>
              <w:top w:w="100" w:type="dxa"/>
              <w:left w:w="100" w:type="dxa"/>
              <w:bottom w:w="100" w:type="dxa"/>
              <w:right w:w="100" w:type="dxa"/>
            </w:tcMar>
          </w:tcPr>
          <w:p w14:paraId="00000204"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Medium</w:t>
            </w:r>
          </w:p>
        </w:tc>
        <w:tc>
          <w:tcPr>
            <w:tcW w:w="3945" w:type="dxa"/>
            <w:tcMar>
              <w:top w:w="100" w:type="dxa"/>
              <w:left w:w="100" w:type="dxa"/>
              <w:bottom w:w="100" w:type="dxa"/>
              <w:right w:w="100" w:type="dxa"/>
            </w:tcMar>
          </w:tcPr>
          <w:p w14:paraId="00000205" w14:textId="77777777" w:rsidR="006A13A2" w:rsidRDefault="00000000">
            <w:pPr>
              <w:widowControl w:val="0"/>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 xml:space="preserve">Significant Business Impact </w:t>
            </w:r>
          </w:p>
          <w:p w14:paraId="00000206"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 Fault incidence that has a major impact on customer service, revenue, and production.</w:t>
            </w:r>
          </w:p>
        </w:tc>
        <w:tc>
          <w:tcPr>
            <w:tcW w:w="3720" w:type="dxa"/>
            <w:tcMar>
              <w:top w:w="100" w:type="dxa"/>
              <w:left w:w="100" w:type="dxa"/>
              <w:bottom w:w="100" w:type="dxa"/>
              <w:right w:w="100" w:type="dxa"/>
            </w:tcMar>
          </w:tcPr>
          <w:p w14:paraId="00000207"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Name: Tayo Brahm</w:t>
            </w:r>
          </w:p>
          <w:p w14:paraId="00000208"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Email: tayo@getanchor.co</w:t>
            </w:r>
          </w:p>
          <w:p w14:paraId="00000209"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Timeline: 24 hours</w:t>
            </w:r>
          </w:p>
        </w:tc>
      </w:tr>
      <w:tr w:rsidR="006A13A2" w14:paraId="39C579A4" w14:textId="77777777">
        <w:tc>
          <w:tcPr>
            <w:tcW w:w="2175" w:type="dxa"/>
            <w:tcMar>
              <w:top w:w="100" w:type="dxa"/>
              <w:left w:w="100" w:type="dxa"/>
              <w:bottom w:w="100" w:type="dxa"/>
              <w:right w:w="100" w:type="dxa"/>
            </w:tcMar>
          </w:tcPr>
          <w:p w14:paraId="0000020A"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Low</w:t>
            </w:r>
          </w:p>
        </w:tc>
        <w:tc>
          <w:tcPr>
            <w:tcW w:w="3945" w:type="dxa"/>
            <w:tcMar>
              <w:top w:w="100" w:type="dxa"/>
              <w:left w:w="100" w:type="dxa"/>
              <w:bottom w:w="100" w:type="dxa"/>
              <w:right w:w="100" w:type="dxa"/>
            </w:tcMar>
          </w:tcPr>
          <w:p w14:paraId="0000020B"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b/>
                <w:bCs/>
                <w:sz w:val="20"/>
                <w:szCs w:val="20"/>
              </w:rPr>
              <w:t>Minimal Business Impact</w:t>
            </w:r>
            <w:r>
              <w:rPr>
                <w:rFonts w:ascii="Century Gothic" w:eastAsia="Century Gothic" w:hAnsi="Century Gothic" w:cs="Century Gothic"/>
                <w:sz w:val="20"/>
                <w:szCs w:val="20"/>
              </w:rPr>
              <w:t xml:space="preserve"> </w:t>
            </w:r>
          </w:p>
          <w:p w14:paraId="0000020C"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 Fault incidence that has a minor impact on customer service, revenue, and production</w:t>
            </w:r>
          </w:p>
        </w:tc>
        <w:tc>
          <w:tcPr>
            <w:tcW w:w="3720" w:type="dxa"/>
            <w:tcMar>
              <w:top w:w="100" w:type="dxa"/>
              <w:left w:w="100" w:type="dxa"/>
              <w:bottom w:w="100" w:type="dxa"/>
              <w:right w:w="100" w:type="dxa"/>
            </w:tcMar>
          </w:tcPr>
          <w:p w14:paraId="0000020D"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Name: Precious Ehiwario</w:t>
            </w:r>
          </w:p>
          <w:p w14:paraId="0000020E"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Email: precious@getanchor.co</w:t>
            </w:r>
          </w:p>
          <w:p w14:paraId="0000020F"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Timeline: 48 hours</w:t>
            </w:r>
          </w:p>
        </w:tc>
      </w:tr>
    </w:tbl>
    <w:p w14:paraId="00000210" w14:textId="77777777" w:rsidR="006A13A2" w:rsidRDefault="006A13A2">
      <w:pPr>
        <w:spacing w:after="200"/>
        <w:rPr>
          <w:rFonts w:ascii="Century Gothic" w:eastAsia="Century Gothic" w:hAnsi="Century Gothic" w:cs="Century Gothic"/>
          <w:sz w:val="20"/>
          <w:szCs w:val="20"/>
        </w:rPr>
      </w:pPr>
    </w:p>
    <w:p w14:paraId="00000211" w14:textId="77777777" w:rsidR="006A13A2" w:rsidRDefault="00000000">
      <w:pPr>
        <w:numPr>
          <w:ilvl w:val="0"/>
          <w:numId w:val="9"/>
        </w:numPr>
        <w:spacing w:after="200"/>
        <w:rPr>
          <w:rFonts w:ascii="Century Gothic" w:eastAsia="Century Gothic" w:hAnsi="Century Gothic" w:cs="Century Gothic"/>
          <w:b/>
          <w:bCs/>
          <w:sz w:val="20"/>
          <w:szCs w:val="20"/>
        </w:rPr>
      </w:pPr>
      <w:r>
        <w:rPr>
          <w:rFonts w:ascii="Century Gothic" w:eastAsia="Century Gothic" w:hAnsi="Century Gothic" w:cs="Century Gothic"/>
          <w:b/>
          <w:bCs/>
          <w:sz w:val="20"/>
          <w:szCs w:val="20"/>
        </w:rPr>
        <w:lastRenderedPageBreak/>
        <w:t xml:space="preserve"> ESCALATION CHANNELS </w:t>
      </w:r>
    </w:p>
    <w:p w14:paraId="00000212" w14:textId="77777777" w:rsidR="006A13A2" w:rsidRDefault="00000000">
      <w:pPr>
        <w:spacing w:after="200"/>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Where the issue is not resolved based on the above service levels, the issue may be escalated to the following contacts; </w:t>
      </w:r>
    </w:p>
    <w:tbl>
      <w:tblPr>
        <w:tblStyle w:val="affa"/>
        <w:tblW w:w="98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0"/>
        <w:gridCol w:w="3015"/>
        <w:gridCol w:w="2130"/>
        <w:gridCol w:w="1215"/>
        <w:gridCol w:w="2595"/>
      </w:tblGrid>
      <w:tr w:rsidR="006A13A2" w14:paraId="67D8498A" w14:textId="77777777">
        <w:tc>
          <w:tcPr>
            <w:tcW w:w="900" w:type="dxa"/>
            <w:shd w:val="clear" w:color="auto" w:fill="000000"/>
            <w:tcMar>
              <w:top w:w="100" w:type="dxa"/>
              <w:left w:w="100" w:type="dxa"/>
              <w:bottom w:w="100" w:type="dxa"/>
              <w:right w:w="100" w:type="dxa"/>
            </w:tcMar>
          </w:tcPr>
          <w:p w14:paraId="00000213"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 xml:space="preserve">Level </w:t>
            </w:r>
          </w:p>
        </w:tc>
        <w:tc>
          <w:tcPr>
            <w:tcW w:w="3015" w:type="dxa"/>
            <w:shd w:val="clear" w:color="auto" w:fill="000000"/>
            <w:tcMar>
              <w:top w:w="100" w:type="dxa"/>
              <w:left w:w="100" w:type="dxa"/>
              <w:bottom w:w="100" w:type="dxa"/>
              <w:right w:w="100" w:type="dxa"/>
            </w:tcMar>
          </w:tcPr>
          <w:p w14:paraId="00000214"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Escalation</w:t>
            </w:r>
          </w:p>
        </w:tc>
        <w:tc>
          <w:tcPr>
            <w:tcW w:w="2130" w:type="dxa"/>
            <w:shd w:val="clear" w:color="auto" w:fill="000000"/>
            <w:tcMar>
              <w:top w:w="100" w:type="dxa"/>
              <w:left w:w="100" w:type="dxa"/>
              <w:bottom w:w="100" w:type="dxa"/>
              <w:right w:w="100" w:type="dxa"/>
            </w:tcMar>
          </w:tcPr>
          <w:p w14:paraId="00000215"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Response Timelines</w:t>
            </w:r>
          </w:p>
        </w:tc>
        <w:tc>
          <w:tcPr>
            <w:tcW w:w="1215" w:type="dxa"/>
            <w:shd w:val="clear" w:color="auto" w:fill="000000"/>
            <w:tcMar>
              <w:top w:w="100" w:type="dxa"/>
              <w:left w:w="100" w:type="dxa"/>
              <w:bottom w:w="100" w:type="dxa"/>
              <w:right w:w="100" w:type="dxa"/>
            </w:tcMar>
          </w:tcPr>
          <w:p w14:paraId="00000216"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Title</w:t>
            </w:r>
          </w:p>
        </w:tc>
        <w:tc>
          <w:tcPr>
            <w:tcW w:w="2595" w:type="dxa"/>
            <w:shd w:val="clear" w:color="auto" w:fill="000000"/>
            <w:tcMar>
              <w:top w:w="100" w:type="dxa"/>
              <w:left w:w="100" w:type="dxa"/>
              <w:bottom w:w="100" w:type="dxa"/>
              <w:right w:w="100" w:type="dxa"/>
            </w:tcMar>
          </w:tcPr>
          <w:p w14:paraId="00000217" w14:textId="77777777" w:rsidR="006A13A2" w:rsidRDefault="00000000">
            <w:pPr>
              <w:widowControl w:val="0"/>
              <w:jc w:val="both"/>
              <w:rPr>
                <w:rFonts w:ascii="Century Gothic" w:eastAsia="Century Gothic" w:hAnsi="Century Gothic" w:cs="Century Gothic"/>
                <w:b/>
                <w:bCs/>
                <w:color w:val="FFFFFF"/>
                <w:sz w:val="20"/>
                <w:szCs w:val="20"/>
              </w:rPr>
            </w:pPr>
            <w:r>
              <w:rPr>
                <w:rFonts w:ascii="Century Gothic" w:eastAsia="Century Gothic" w:hAnsi="Century Gothic" w:cs="Century Gothic"/>
                <w:b/>
                <w:bCs/>
                <w:color w:val="FFFFFF"/>
                <w:sz w:val="20"/>
                <w:szCs w:val="20"/>
              </w:rPr>
              <w:t>Contact</w:t>
            </w:r>
          </w:p>
        </w:tc>
      </w:tr>
      <w:tr w:rsidR="006A13A2" w14:paraId="6F8A1F7A" w14:textId="77777777">
        <w:tc>
          <w:tcPr>
            <w:tcW w:w="900" w:type="dxa"/>
            <w:tcMar>
              <w:top w:w="100" w:type="dxa"/>
              <w:left w:w="100" w:type="dxa"/>
              <w:bottom w:w="100" w:type="dxa"/>
              <w:right w:w="100" w:type="dxa"/>
            </w:tcMar>
          </w:tcPr>
          <w:p w14:paraId="00000218"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1</w:t>
            </w:r>
          </w:p>
        </w:tc>
        <w:tc>
          <w:tcPr>
            <w:tcW w:w="3015" w:type="dxa"/>
            <w:tcMar>
              <w:top w:w="100" w:type="dxa"/>
              <w:left w:w="100" w:type="dxa"/>
              <w:bottom w:w="100" w:type="dxa"/>
              <w:right w:w="100" w:type="dxa"/>
            </w:tcMar>
          </w:tcPr>
          <w:p w14:paraId="00000219"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Technical partnership support</w:t>
            </w:r>
          </w:p>
        </w:tc>
        <w:tc>
          <w:tcPr>
            <w:tcW w:w="2130" w:type="dxa"/>
            <w:tcMar>
              <w:top w:w="100" w:type="dxa"/>
              <w:left w:w="100" w:type="dxa"/>
              <w:bottom w:w="100" w:type="dxa"/>
              <w:right w:w="100" w:type="dxa"/>
            </w:tcMar>
          </w:tcPr>
          <w:p w14:paraId="0000021A"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12 hours </w:t>
            </w:r>
          </w:p>
        </w:tc>
        <w:tc>
          <w:tcPr>
            <w:tcW w:w="1215" w:type="dxa"/>
            <w:tcMar>
              <w:top w:w="100" w:type="dxa"/>
              <w:left w:w="100" w:type="dxa"/>
              <w:bottom w:w="100" w:type="dxa"/>
              <w:right w:w="100" w:type="dxa"/>
            </w:tcMar>
          </w:tcPr>
          <w:p w14:paraId="0000021B"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Technical Customer  Support</w:t>
            </w:r>
          </w:p>
        </w:tc>
        <w:tc>
          <w:tcPr>
            <w:tcW w:w="2595" w:type="dxa"/>
            <w:tcMar>
              <w:top w:w="100" w:type="dxa"/>
              <w:left w:w="100" w:type="dxa"/>
              <w:bottom w:w="100" w:type="dxa"/>
              <w:right w:w="100" w:type="dxa"/>
            </w:tcMar>
          </w:tcPr>
          <w:p w14:paraId="0000021C"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Name: Anchor Support</w:t>
            </w:r>
          </w:p>
          <w:p w14:paraId="0000021D"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Email: support@getanchor.co</w:t>
            </w:r>
          </w:p>
        </w:tc>
      </w:tr>
      <w:tr w:rsidR="006A13A2" w14:paraId="20E67E30" w14:textId="77777777">
        <w:tc>
          <w:tcPr>
            <w:tcW w:w="900" w:type="dxa"/>
            <w:tcMar>
              <w:top w:w="100" w:type="dxa"/>
              <w:left w:w="100" w:type="dxa"/>
              <w:bottom w:w="100" w:type="dxa"/>
              <w:right w:w="100" w:type="dxa"/>
            </w:tcMar>
          </w:tcPr>
          <w:p w14:paraId="0000021E"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2</w:t>
            </w:r>
          </w:p>
        </w:tc>
        <w:tc>
          <w:tcPr>
            <w:tcW w:w="3015" w:type="dxa"/>
            <w:tcMar>
              <w:top w:w="100" w:type="dxa"/>
              <w:left w:w="100" w:type="dxa"/>
              <w:bottom w:w="100" w:type="dxa"/>
              <w:right w:w="100" w:type="dxa"/>
            </w:tcMar>
          </w:tcPr>
          <w:p w14:paraId="0000021F"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30% of stipulated resolution timeline</w:t>
            </w:r>
          </w:p>
        </w:tc>
        <w:tc>
          <w:tcPr>
            <w:tcW w:w="2130" w:type="dxa"/>
            <w:tcMar>
              <w:top w:w="100" w:type="dxa"/>
              <w:left w:w="100" w:type="dxa"/>
              <w:bottom w:w="100" w:type="dxa"/>
              <w:right w:w="100" w:type="dxa"/>
            </w:tcMar>
          </w:tcPr>
          <w:p w14:paraId="00000220"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24hours</w:t>
            </w:r>
          </w:p>
        </w:tc>
        <w:tc>
          <w:tcPr>
            <w:tcW w:w="1215" w:type="dxa"/>
            <w:tcMar>
              <w:top w:w="100" w:type="dxa"/>
              <w:left w:w="100" w:type="dxa"/>
              <w:bottom w:w="100" w:type="dxa"/>
              <w:right w:w="100" w:type="dxa"/>
            </w:tcMar>
          </w:tcPr>
          <w:p w14:paraId="00000221"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Operations Analyst</w:t>
            </w:r>
          </w:p>
        </w:tc>
        <w:tc>
          <w:tcPr>
            <w:tcW w:w="2595" w:type="dxa"/>
            <w:tcMar>
              <w:top w:w="100" w:type="dxa"/>
              <w:left w:w="100" w:type="dxa"/>
              <w:bottom w:w="100" w:type="dxa"/>
              <w:right w:w="100" w:type="dxa"/>
            </w:tcMar>
          </w:tcPr>
          <w:p w14:paraId="00000222"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Name: Precious Ehiwario</w:t>
            </w:r>
          </w:p>
          <w:p w14:paraId="00000223"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Email:precious@getanchor.co</w:t>
            </w:r>
          </w:p>
        </w:tc>
      </w:tr>
      <w:tr w:rsidR="006A13A2" w14:paraId="4583BC72" w14:textId="77777777">
        <w:tc>
          <w:tcPr>
            <w:tcW w:w="900" w:type="dxa"/>
            <w:tcMar>
              <w:top w:w="100" w:type="dxa"/>
              <w:left w:w="100" w:type="dxa"/>
              <w:bottom w:w="100" w:type="dxa"/>
              <w:right w:w="100" w:type="dxa"/>
            </w:tcMar>
          </w:tcPr>
          <w:p w14:paraId="00000224"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3</w:t>
            </w:r>
          </w:p>
        </w:tc>
        <w:tc>
          <w:tcPr>
            <w:tcW w:w="3015" w:type="dxa"/>
            <w:tcMar>
              <w:top w:w="100" w:type="dxa"/>
              <w:left w:w="100" w:type="dxa"/>
              <w:bottom w:w="100" w:type="dxa"/>
              <w:right w:w="100" w:type="dxa"/>
            </w:tcMar>
          </w:tcPr>
          <w:p w14:paraId="00000225"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50% of stipulated resolution time</w:t>
            </w:r>
          </w:p>
        </w:tc>
        <w:tc>
          <w:tcPr>
            <w:tcW w:w="2130" w:type="dxa"/>
            <w:tcMar>
              <w:top w:w="100" w:type="dxa"/>
              <w:left w:w="100" w:type="dxa"/>
              <w:bottom w:w="100" w:type="dxa"/>
              <w:right w:w="100" w:type="dxa"/>
            </w:tcMar>
          </w:tcPr>
          <w:p w14:paraId="00000226"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48hours</w:t>
            </w:r>
          </w:p>
        </w:tc>
        <w:tc>
          <w:tcPr>
            <w:tcW w:w="1215" w:type="dxa"/>
            <w:tcMar>
              <w:top w:w="100" w:type="dxa"/>
              <w:left w:w="100" w:type="dxa"/>
              <w:bottom w:w="100" w:type="dxa"/>
              <w:right w:w="100" w:type="dxa"/>
            </w:tcMar>
          </w:tcPr>
          <w:p w14:paraId="00000227"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Head of Product</w:t>
            </w:r>
          </w:p>
        </w:tc>
        <w:tc>
          <w:tcPr>
            <w:tcW w:w="2595" w:type="dxa"/>
            <w:tcMar>
              <w:top w:w="100" w:type="dxa"/>
              <w:left w:w="100" w:type="dxa"/>
              <w:bottom w:w="100" w:type="dxa"/>
              <w:right w:w="100" w:type="dxa"/>
            </w:tcMar>
          </w:tcPr>
          <w:p w14:paraId="00000228"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Name: Tayo Brahm</w:t>
            </w:r>
          </w:p>
          <w:p w14:paraId="00000229"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Email: tayo@getanchor.co</w:t>
            </w:r>
          </w:p>
        </w:tc>
      </w:tr>
      <w:tr w:rsidR="006A13A2" w14:paraId="69E1466A" w14:textId="77777777">
        <w:tc>
          <w:tcPr>
            <w:tcW w:w="900" w:type="dxa"/>
            <w:tcMar>
              <w:top w:w="100" w:type="dxa"/>
              <w:left w:w="100" w:type="dxa"/>
              <w:bottom w:w="100" w:type="dxa"/>
              <w:right w:w="100" w:type="dxa"/>
            </w:tcMar>
          </w:tcPr>
          <w:p w14:paraId="0000022A"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4</w:t>
            </w:r>
          </w:p>
        </w:tc>
        <w:tc>
          <w:tcPr>
            <w:tcW w:w="3015" w:type="dxa"/>
            <w:tcMar>
              <w:top w:w="100" w:type="dxa"/>
              <w:left w:w="100" w:type="dxa"/>
              <w:bottom w:w="100" w:type="dxa"/>
              <w:right w:w="100" w:type="dxa"/>
            </w:tcMar>
          </w:tcPr>
          <w:p w14:paraId="0000022B"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75% of stipulated resolution time</w:t>
            </w:r>
          </w:p>
        </w:tc>
        <w:tc>
          <w:tcPr>
            <w:tcW w:w="2130" w:type="dxa"/>
            <w:tcMar>
              <w:top w:w="100" w:type="dxa"/>
              <w:left w:w="100" w:type="dxa"/>
              <w:bottom w:w="100" w:type="dxa"/>
              <w:right w:w="100" w:type="dxa"/>
            </w:tcMar>
          </w:tcPr>
          <w:p w14:paraId="0000022C"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72hours</w:t>
            </w:r>
          </w:p>
        </w:tc>
        <w:tc>
          <w:tcPr>
            <w:tcW w:w="1215" w:type="dxa"/>
            <w:tcMar>
              <w:top w:w="100" w:type="dxa"/>
              <w:left w:w="100" w:type="dxa"/>
              <w:bottom w:w="100" w:type="dxa"/>
              <w:right w:w="100" w:type="dxa"/>
            </w:tcMar>
          </w:tcPr>
          <w:p w14:paraId="0000022D"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CEO</w:t>
            </w:r>
          </w:p>
        </w:tc>
        <w:tc>
          <w:tcPr>
            <w:tcW w:w="2595" w:type="dxa"/>
            <w:tcMar>
              <w:top w:w="100" w:type="dxa"/>
              <w:left w:w="100" w:type="dxa"/>
              <w:bottom w:w="100" w:type="dxa"/>
              <w:right w:w="100" w:type="dxa"/>
            </w:tcMar>
          </w:tcPr>
          <w:p w14:paraId="0000022E"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Name: Segun Adeyemi</w:t>
            </w:r>
          </w:p>
          <w:p w14:paraId="0000022F" w14:textId="77777777" w:rsidR="006A13A2" w:rsidRDefault="00000000">
            <w:pPr>
              <w:widowControl w:val="0"/>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Email: </w:t>
            </w:r>
            <w:hyperlink r:id="rId12">
              <w:r w:rsidR="006A13A2">
                <w:rPr>
                  <w:rFonts w:ascii="Century Gothic" w:eastAsia="Century Gothic" w:hAnsi="Century Gothic" w:cs="Century Gothic"/>
                  <w:color w:val="1155CC"/>
                  <w:sz w:val="20"/>
                  <w:szCs w:val="20"/>
                  <w:u w:val="single"/>
                </w:rPr>
                <w:t>segun@getanchor.co</w:t>
              </w:r>
            </w:hyperlink>
          </w:p>
        </w:tc>
      </w:tr>
    </w:tbl>
    <w:p w14:paraId="00000230" w14:textId="77777777" w:rsidR="006A13A2" w:rsidRDefault="006A13A2">
      <w:pPr>
        <w:spacing w:after="200" w:line="360" w:lineRule="auto"/>
        <w:rPr>
          <w:rFonts w:ascii="Century Gothic" w:eastAsia="Century Gothic" w:hAnsi="Century Gothic" w:cs="Century Gothic"/>
          <w:b/>
          <w:bCs/>
          <w:sz w:val="20"/>
          <w:szCs w:val="20"/>
        </w:rPr>
      </w:pPr>
    </w:p>
    <w:p w14:paraId="00000231" w14:textId="77777777" w:rsidR="006A13A2" w:rsidRDefault="00000000">
      <w:pPr>
        <w:spacing w:after="200" w:line="360" w:lineRule="auto"/>
        <w:jc w:val="both"/>
        <w:rPr>
          <w:rFonts w:ascii="Century Gothic" w:eastAsia="Century Gothic" w:hAnsi="Century Gothic" w:cs="Century Gothic"/>
          <w:b/>
          <w:bCs/>
          <w:sz w:val="20"/>
          <w:szCs w:val="20"/>
        </w:rPr>
      </w:pPr>
      <w:r>
        <w:br w:type="page"/>
      </w:r>
    </w:p>
    <w:p w14:paraId="00000232" w14:textId="77777777" w:rsidR="006A13A2" w:rsidRDefault="00000000">
      <w:pPr>
        <w:spacing w:after="200" w:line="360" w:lineRule="auto"/>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lastRenderedPageBreak/>
        <w:t>SCHEDULE C</w:t>
      </w:r>
    </w:p>
    <w:p w14:paraId="00000233" w14:textId="77777777" w:rsidR="006A13A2" w:rsidRDefault="00000000">
      <w:pPr>
        <w:spacing w:after="200" w:line="360" w:lineRule="auto"/>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HIGH-RISK AND PROHIBITED CUSTOMERS</w:t>
      </w:r>
    </w:p>
    <w:p w14:paraId="00000234" w14:textId="77777777" w:rsidR="006A13A2" w:rsidRDefault="00000000">
      <w:pPr>
        <w:spacing w:after="200" w:line="360" w:lineRule="auto"/>
        <w:jc w:val="both"/>
        <w:rPr>
          <w:rFonts w:ascii="Century Gothic" w:eastAsia="Century Gothic" w:hAnsi="Century Gothic" w:cs="Century Gothic"/>
          <w:sz w:val="20"/>
          <w:szCs w:val="20"/>
        </w:rPr>
      </w:pPr>
      <w:r>
        <w:rPr>
          <w:rFonts w:ascii="Century Gothic" w:eastAsia="Century Gothic" w:hAnsi="Century Gothic" w:cs="Century Gothic"/>
          <w:sz w:val="20"/>
          <w:szCs w:val="20"/>
        </w:rPr>
        <w:t xml:space="preserve">Please find attached a </w:t>
      </w:r>
      <w:hyperlink r:id="rId13">
        <w:r w:rsidR="006A13A2">
          <w:rPr>
            <w:rFonts w:ascii="Century Gothic" w:eastAsia="Century Gothic" w:hAnsi="Century Gothic" w:cs="Century Gothic"/>
            <w:color w:val="1155CC"/>
            <w:sz w:val="20"/>
            <w:szCs w:val="20"/>
            <w:u w:val="single"/>
          </w:rPr>
          <w:t>list</w:t>
        </w:r>
      </w:hyperlink>
      <w:r>
        <w:rPr>
          <w:rFonts w:ascii="Century Gothic" w:eastAsia="Century Gothic" w:hAnsi="Century Gothic" w:cs="Century Gothic"/>
          <w:sz w:val="20"/>
          <w:szCs w:val="20"/>
        </w:rPr>
        <w:t xml:space="preserve"> of our high risk and prohibited Customers</w:t>
      </w:r>
    </w:p>
    <w:p w14:paraId="00000235" w14:textId="77777777" w:rsidR="006A13A2" w:rsidRDefault="00000000">
      <w:pPr>
        <w:spacing w:after="200" w:line="360" w:lineRule="auto"/>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SCHEDULE D</w:t>
      </w:r>
    </w:p>
    <w:p w14:paraId="00000236" w14:textId="77777777" w:rsidR="006A13A2" w:rsidRDefault="00000000">
      <w:pPr>
        <w:spacing w:after="200" w:line="360" w:lineRule="auto"/>
        <w:jc w:val="both"/>
        <w:rPr>
          <w:rFonts w:ascii="Century Gothic" w:eastAsia="Century Gothic" w:hAnsi="Century Gothic" w:cs="Century Gothic"/>
          <w:b/>
          <w:bCs/>
          <w:sz w:val="20"/>
          <w:szCs w:val="20"/>
        </w:rPr>
      </w:pPr>
      <w:r>
        <w:rPr>
          <w:rFonts w:ascii="Century Gothic" w:eastAsia="Century Gothic" w:hAnsi="Century Gothic" w:cs="Century Gothic"/>
          <w:b/>
          <w:bCs/>
          <w:sz w:val="20"/>
          <w:szCs w:val="20"/>
        </w:rPr>
        <w:t>HIGH RISK AND PROHIBITED JURISDICTIONS</w:t>
      </w:r>
    </w:p>
    <w:p w14:paraId="00000237" w14:textId="77777777" w:rsidR="006A13A2" w:rsidRDefault="00000000">
      <w:pPr>
        <w:spacing w:after="200" w:line="360" w:lineRule="auto"/>
        <w:jc w:val="both"/>
        <w:rPr>
          <w:rFonts w:ascii="Century Gothic" w:eastAsia="Century Gothic" w:hAnsi="Century Gothic" w:cs="Century Gothic"/>
          <w:b/>
          <w:bCs/>
          <w:sz w:val="20"/>
          <w:szCs w:val="20"/>
        </w:rPr>
      </w:pPr>
      <w:r>
        <w:rPr>
          <w:rFonts w:ascii="Century Gothic" w:eastAsia="Century Gothic" w:hAnsi="Century Gothic" w:cs="Century Gothic"/>
          <w:sz w:val="20"/>
          <w:szCs w:val="20"/>
        </w:rPr>
        <w:t xml:space="preserve">Please find attached a </w:t>
      </w:r>
      <w:hyperlink r:id="rId14">
        <w:r w:rsidR="006A13A2">
          <w:rPr>
            <w:rFonts w:ascii="Century Gothic" w:eastAsia="Century Gothic" w:hAnsi="Century Gothic" w:cs="Century Gothic"/>
            <w:color w:val="1155CC"/>
            <w:sz w:val="20"/>
            <w:szCs w:val="20"/>
            <w:u w:val="single"/>
          </w:rPr>
          <w:t>list</w:t>
        </w:r>
      </w:hyperlink>
      <w:r>
        <w:rPr>
          <w:rFonts w:ascii="Century Gothic" w:eastAsia="Century Gothic" w:hAnsi="Century Gothic" w:cs="Century Gothic"/>
          <w:sz w:val="20"/>
          <w:szCs w:val="20"/>
        </w:rPr>
        <w:t xml:space="preserve"> of our high risk and prohibited Jurisdictions</w:t>
      </w:r>
    </w:p>
    <w:p w14:paraId="00000238" w14:textId="77777777" w:rsidR="006A13A2" w:rsidRDefault="006A13A2">
      <w:pPr>
        <w:spacing w:after="200" w:line="360" w:lineRule="auto"/>
        <w:jc w:val="both"/>
        <w:rPr>
          <w:rFonts w:ascii="Century Gothic" w:eastAsia="Century Gothic" w:hAnsi="Century Gothic" w:cs="Century Gothic"/>
          <w:sz w:val="20"/>
          <w:szCs w:val="20"/>
        </w:rPr>
      </w:pPr>
    </w:p>
    <w:sectPr w:rsidR="006A13A2">
      <w:footerReference w:type="default" r:id="rId15"/>
      <w:footerReference w:type="first" r:id="rId16"/>
      <w:pgSz w:w="12240" w:h="15840"/>
      <w:pgMar w:top="1440" w:right="1440" w:bottom="1440" w:left="1440" w:header="720" w:footer="720" w:gutter="0"/>
      <w:pgNumType w:start="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gal Team" w:date="2024-03-14T11:28:00Z" w:initials="">
    <w:p w14:paraId="0000023D" w14:textId="77777777" w:rsidR="006A13A2" w:rsidRDefault="00000000">
      <w:pPr>
        <w:widowControl w:val="0"/>
        <w:pBdr>
          <w:top w:val="nil"/>
          <w:left w:val="nil"/>
          <w:bottom w:val="nil"/>
          <w:right w:val="nil"/>
          <w:between w:val="nil"/>
        </w:pBdr>
        <w:spacing w:line="240" w:lineRule="auto"/>
        <w:rPr>
          <w:color w:val="000000"/>
        </w:rPr>
      </w:pPr>
      <w:r>
        <w:rPr>
          <w:color w:val="000000"/>
        </w:rPr>
        <w:t>provide details of contact person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23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23D" w16cid:durableId="000002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3E572" w14:textId="77777777" w:rsidR="007F5B5C" w:rsidRDefault="007F5B5C">
      <w:pPr>
        <w:spacing w:line="240" w:lineRule="auto"/>
      </w:pPr>
      <w:r>
        <w:separator/>
      </w:r>
    </w:p>
  </w:endnote>
  <w:endnote w:type="continuationSeparator" w:id="0">
    <w:p w14:paraId="31FDC5A5" w14:textId="77777777" w:rsidR="007F5B5C" w:rsidRDefault="007F5B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embedRegular r:id="rId1" w:fontKey="{71739DB8-5772-4B8B-A630-19E5FC4114DA}"/>
    <w:embedBold r:id="rId2" w:fontKey="{C2BF78CA-3C6A-464F-ACA3-AF16753BB0F6}"/>
  </w:font>
  <w:font w:name="Calibri">
    <w:panose1 w:val="020F0502020204030204"/>
    <w:charset w:val="00"/>
    <w:family w:val="swiss"/>
    <w:pitch w:val="variable"/>
    <w:sig w:usb0="E4002EFF" w:usb1="C200247B" w:usb2="00000009" w:usb3="00000000" w:csb0="000001FF" w:csb1="00000000"/>
    <w:embedRegular r:id="rId3" w:fontKey="{CDD71CB8-5A23-42D3-A0C5-082FE5938CFB}"/>
  </w:font>
  <w:font w:name="Cambria">
    <w:panose1 w:val="02040503050406030204"/>
    <w:charset w:val="00"/>
    <w:family w:val="roman"/>
    <w:pitch w:val="variable"/>
    <w:sig w:usb0="E00006FF" w:usb1="420024FF" w:usb2="02000000" w:usb3="00000000" w:csb0="0000019F" w:csb1="00000000"/>
    <w:embedRegular r:id="rId4" w:fontKey="{08931DA2-4C93-4AB6-A162-08A088E079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39" w14:textId="77777777" w:rsidR="006A13A2" w:rsidRDefault="006A13A2">
    <w:pPr>
      <w:spacing w:line="360" w:lineRule="auto"/>
      <w:jc w:val="both"/>
      <w:rPr>
        <w:rFonts w:ascii="Century Gothic" w:eastAsia="Century Gothic" w:hAnsi="Century Gothic" w:cs="Century Gothic"/>
        <w:b/>
        <w:bCs/>
        <w:sz w:val="20"/>
        <w:szCs w:val="20"/>
      </w:rPr>
    </w:pPr>
  </w:p>
  <w:p w14:paraId="0000023A" w14:textId="6B29E298" w:rsidR="006A13A2" w:rsidRDefault="00000000">
    <w:pPr>
      <w:jc w:val="right"/>
      <w:rPr>
        <w:rFonts w:ascii="Century Gothic" w:eastAsia="Century Gothic" w:hAnsi="Century Gothic" w:cs="Century Gothic"/>
        <w:sz w:val="20"/>
        <w:szCs w:val="20"/>
      </w:rPr>
    </w:pPr>
    <w:r>
      <w:rPr>
        <w:rFonts w:ascii="Century Gothic" w:eastAsia="Century Gothic" w:hAnsi="Century Gothic" w:cs="Century Gothic"/>
        <w:sz w:val="20"/>
        <w:szCs w:val="20"/>
      </w:rPr>
      <w:fldChar w:fldCharType="begin"/>
    </w:r>
    <w:r>
      <w:rPr>
        <w:rFonts w:ascii="Century Gothic" w:eastAsia="Century Gothic" w:hAnsi="Century Gothic" w:cs="Century Gothic"/>
        <w:sz w:val="20"/>
        <w:szCs w:val="20"/>
      </w:rPr>
      <w:instrText>PAGE</w:instrText>
    </w:r>
    <w:r>
      <w:rPr>
        <w:rFonts w:ascii="Century Gothic" w:eastAsia="Century Gothic" w:hAnsi="Century Gothic" w:cs="Century Gothic"/>
        <w:sz w:val="20"/>
        <w:szCs w:val="20"/>
      </w:rPr>
      <w:fldChar w:fldCharType="separate"/>
    </w:r>
    <w:r w:rsidR="00356A12">
      <w:rPr>
        <w:rFonts w:ascii="Century Gothic" w:eastAsia="Century Gothic" w:hAnsi="Century Gothic" w:cs="Century Gothic"/>
        <w:noProof/>
        <w:sz w:val="20"/>
        <w:szCs w:val="20"/>
      </w:rPr>
      <w:t>1</w:t>
    </w:r>
    <w:r>
      <w:rPr>
        <w:rFonts w:ascii="Century Gothic" w:eastAsia="Century Gothic" w:hAnsi="Century Gothic" w:cs="Century Gothic"/>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3B" w14:textId="77777777" w:rsidR="006A13A2" w:rsidRDefault="006A13A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C1276" w14:textId="77777777" w:rsidR="007F5B5C" w:rsidRDefault="007F5B5C">
      <w:pPr>
        <w:spacing w:line="240" w:lineRule="auto"/>
      </w:pPr>
      <w:r>
        <w:separator/>
      </w:r>
    </w:p>
  </w:footnote>
  <w:footnote w:type="continuationSeparator" w:id="0">
    <w:p w14:paraId="352A0A51" w14:textId="77777777" w:rsidR="007F5B5C" w:rsidRDefault="007F5B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1D7F"/>
    <w:multiLevelType w:val="multilevel"/>
    <w:tmpl w:val="753013C8"/>
    <w:lvl w:ilvl="0">
      <w:start w:val="3"/>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34909E2"/>
    <w:multiLevelType w:val="multilevel"/>
    <w:tmpl w:val="9DCC2714"/>
    <w:lvl w:ilvl="0">
      <w:start w:val="1"/>
      <w:numFmt w:val="decimal"/>
      <w:lvlText w:val="%1."/>
      <w:lvlJc w:val="right"/>
      <w:pPr>
        <w:ind w:left="720" w:hanging="360"/>
      </w:pPr>
      <w:rPr>
        <w:rFonts w:ascii="Arial" w:eastAsia="Arial" w:hAnsi="Arial" w:cs="Arial"/>
        <w:b/>
        <w:bCs/>
        <w:u w:val="none"/>
      </w:rPr>
    </w:lvl>
    <w:lvl w:ilvl="1">
      <w:start w:val="1"/>
      <w:numFmt w:val="decimal"/>
      <w:lvlText w:val="%1.%2."/>
      <w:lvlJc w:val="right"/>
      <w:pPr>
        <w:ind w:left="1440" w:hanging="360"/>
      </w:pPr>
      <w:rPr>
        <w:rFonts w:ascii="Arial" w:eastAsia="Arial" w:hAnsi="Arial" w:cs="Arial"/>
        <w:b/>
        <w:bCs/>
        <w:u w:val="none"/>
      </w:rPr>
    </w:lvl>
    <w:lvl w:ilvl="2">
      <w:start w:val="1"/>
      <w:numFmt w:val="decimal"/>
      <w:lvlText w:val="%1.%2.%3."/>
      <w:lvlJc w:val="right"/>
      <w:pPr>
        <w:ind w:left="2160" w:hanging="360"/>
      </w:pPr>
      <w:rPr>
        <w:rFonts w:ascii="Arial" w:eastAsia="Arial" w:hAnsi="Arial" w:cs="Arial"/>
        <w:b/>
        <w:bCs/>
        <w:u w:val="none"/>
      </w:rPr>
    </w:lvl>
    <w:lvl w:ilvl="3">
      <w:start w:val="1"/>
      <w:numFmt w:val="decimal"/>
      <w:lvlText w:val="%1.%2.%3.%4."/>
      <w:lvlJc w:val="right"/>
      <w:pPr>
        <w:ind w:left="2880" w:hanging="360"/>
      </w:pPr>
      <w:rPr>
        <w:rFonts w:ascii="Arial" w:eastAsia="Arial" w:hAnsi="Arial" w:cs="Arial"/>
        <w:b/>
        <w:bCs/>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26F258E2"/>
    <w:multiLevelType w:val="multilevel"/>
    <w:tmpl w:val="2452D7F6"/>
    <w:lvl w:ilvl="0">
      <w:start w:val="4"/>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82027B3"/>
    <w:multiLevelType w:val="multilevel"/>
    <w:tmpl w:val="8F4CD3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F7F7317"/>
    <w:multiLevelType w:val="multilevel"/>
    <w:tmpl w:val="17161614"/>
    <w:lvl w:ilvl="0">
      <w:start w:val="2"/>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1FA2B93"/>
    <w:multiLevelType w:val="multilevel"/>
    <w:tmpl w:val="D340FB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B87616"/>
    <w:multiLevelType w:val="multilevel"/>
    <w:tmpl w:val="F6F601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78A7324"/>
    <w:multiLevelType w:val="multilevel"/>
    <w:tmpl w:val="FBB2A4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72D3D12"/>
    <w:multiLevelType w:val="multilevel"/>
    <w:tmpl w:val="3E1AFFDC"/>
    <w:lvl w:ilvl="0">
      <w:start w:val="5"/>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F745BCE"/>
    <w:multiLevelType w:val="multilevel"/>
    <w:tmpl w:val="56C6519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7874830">
    <w:abstractNumId w:val="6"/>
  </w:num>
  <w:num w:numId="2" w16cid:durableId="330986086">
    <w:abstractNumId w:val="9"/>
  </w:num>
  <w:num w:numId="3" w16cid:durableId="1481575443">
    <w:abstractNumId w:val="7"/>
  </w:num>
  <w:num w:numId="4" w16cid:durableId="157578461">
    <w:abstractNumId w:val="3"/>
  </w:num>
  <w:num w:numId="5" w16cid:durableId="1822229888">
    <w:abstractNumId w:val="0"/>
  </w:num>
  <w:num w:numId="6" w16cid:durableId="230970755">
    <w:abstractNumId w:val="2"/>
  </w:num>
  <w:num w:numId="7" w16cid:durableId="378478118">
    <w:abstractNumId w:val="5"/>
  </w:num>
  <w:num w:numId="8" w16cid:durableId="1679380975">
    <w:abstractNumId w:val="4"/>
  </w:num>
  <w:num w:numId="9" w16cid:durableId="1929608991">
    <w:abstractNumId w:val="8"/>
  </w:num>
  <w:num w:numId="10" w16cid:durableId="17171240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13A2"/>
    <w:rsid w:val="00356A12"/>
    <w:rsid w:val="006A13A2"/>
    <w:rsid w:val="007F5B5C"/>
    <w:rsid w:val="00995807"/>
    <w:rsid w:val="00C768CF"/>
    <w:rsid w:val="00D57D40"/>
    <w:rsid w:val="00F64EAB"/>
    <w:rsid w:val="00FB0D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2B64B"/>
  <w15:docId w15:val="{39B8B60A-6C17-42E9-A51C-C4BB0E44F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docs.google.com/spreadsheets/d/1gVJkhzmrOoWcFhTnuqjugVi2oR2pzQUf/edit?usp=drive_link&amp;ouid=100230166548722607809&amp;rtpof=true&amp;sd=true"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egun@getanchor.co"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cs.google.com/spreadsheets/d/1fbsuf9W573TQtAxvoBWX28g6JoGqexfc/edit?usp=drive_link&amp;ouid=100230166548722607809&amp;rtpof=true&amp;sd=tru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M/8STC/216nB+MXywT5iFPoWYg==">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42</Pages>
  <Words>9601</Words>
  <Characters>54727</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hp</cp:lastModifiedBy>
  <cp:revision>3</cp:revision>
  <dcterms:created xsi:type="dcterms:W3CDTF">2026-08-05T22:31:00Z</dcterms:created>
  <dcterms:modified xsi:type="dcterms:W3CDTF">2026-08-05T22:53:00Z</dcterms:modified>
</cp:coreProperties>
</file>