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Development Master</w:t>
      </w:r>
    </w:p>
    <w:p>
      <w:pPr>
        <w:spacing w:after="40" w:before="0"/>
        <w:jc w:val="center"/>
      </w:pPr>
      <w:r>
        <w:rPr>
          <w:rFonts w:ascii="Arial" w:cs="Arial" w:eastAsia="Arial" w:hAnsi="Arial"/>
          <w:i/>
          <w:iCs/>
          <w:color w:val="888888"/>
          <w:sz w:val="21"/>
          <w:szCs w:val="21"/>
        </w:rPr>
        <w:t xml:space="preserve">Active Threads • Pre-Launch Reminders • Queued Sessions</w:t>
      </w:r>
    </w:p>
    <w:p>
      <w:pPr>
        <w:spacing w:after="160" w:before="0"/>
        <w:jc w:val="center"/>
      </w:pPr>
      <w:r>
        <w:rPr>
          <w:rFonts w:ascii="Arial" w:cs="Arial" w:eastAsia="Arial" w:hAnsi="Arial"/>
          <w:color w:val="AAAAAA"/>
          <w:sz w:val="20"/>
          <w:szCs w:val="20"/>
        </w:rPr>
        <w:t xml:space="preserve">Companion to ATLAS Founding Document v5.1  |  May 2026</w:t>
      </w:r>
    </w:p>
    <w:p>
      <w:pPr>
        <w:pBdr>
          <w:left w:val="single" w:color="C4973A" w:sz="24" w:space="12"/>
        </w:pBdr>
        <w:spacing w:after="60" w:before="0"/>
        <w:ind w:left="360"/>
      </w:pPr>
      <w:r>
        <w:rPr>
          <w:rFonts w:ascii="Arial" w:cs="Arial" w:eastAsia="Arial" w:hAnsi="Arial"/>
          <w:b/>
          <w:bCs/>
          <w:color w:val="C4973A"/>
          <w:sz w:val="20"/>
          <w:szCs w:val="20"/>
        </w:rPr>
        <w:t xml:space="preserve">VISION</w:t>
      </w:r>
    </w:p>
    <w:p>
      <w:pPr>
        <w:pBdr>
          <w:left w:val="single" w:color="C4973A" w:sz="24" w:space="12"/>
        </w:pBdr>
        <w:spacing w:after="40" w:before="0"/>
        <w:ind w:left="360"/>
      </w:pPr>
      <w:r>
        <w:rPr>
          <w:rFonts w:ascii="Arial" w:cs="Arial" w:eastAsia="Arial" w:hAnsi="Arial"/>
          <w:i/>
          <w:iCs/>
          <w:color w:val="222222"/>
          <w:sz w:val="23"/>
          <w:szCs w:val="23"/>
        </w:rPr>
        <w:t xml:space="preserve">To make life easier and more purpose-driven by bringing verified knowledge of what it means to live well to every person on earth. All information and methods — including the full depth of human wisdom across cultures and generations — available and obtainable for everyone to benefit from. Not handing out salmon. Teaching people to fish.</w:t>
      </w:r>
    </w:p>
    <w:p>
      <w:pPr>
        <w:pBdr>
          <w:left w:val="single" w:color="C4973A" w:sz="24" w:space="12"/>
        </w:pBdr>
        <w:spacing w:after="160" w:before="0"/>
        <w:ind w:left="360"/>
      </w:pPr>
      <w:r>
        <w:rPr>
          <w:rFonts w:ascii="Arial" w:cs="Arial" w:eastAsia="Arial" w:hAnsi="Arial"/>
          <w:i/>
          <w:iCs/>
          <w:color w:val="222222"/>
          <w:sz w:val="23"/>
          <w:szCs w:val="23"/>
        </w:rPr>
        <w:t xml:space="preserve">The money-motivated mindset is a learned adaptation to artificial scarcity. Real wealth and wellbeing come from quality goods, quality service, and cohesive community development. ATLAS is built to demonstrate that — not by argument, but by building an alternative that works.</w:t>
      </w:r>
    </w:p>
    <w:p>
      <w:pPr>
        <w:pBdr>
          <w:bottom w:val="single" w:color="1F4E79" w:sz="8" w:space="1"/>
        </w:pBdr>
        <w:spacing w:after="0" w:before="0"/>
      </w:pPr>
      <w:r>
        <w:t xml:space="preserve"/>
      </w:r>
    </w:p>
    <w:p>
      <w:pPr>
        <w:spacing w:after="80" w:before="120"/>
      </w:pPr>
      <w:r>
        <w:t xml:space="preserve"/>
      </w:r>
    </w:p>
    <w:p>
      <w:pPr>
        <w:spacing w:after="100" w:before="0"/>
      </w:pPr>
      <w:r>
        <w:rPr>
          <w:rFonts w:ascii="Arial" w:cs="Arial" w:eastAsia="Arial" w:hAnsi="Arial"/>
          <w:sz w:val="22"/>
          <w:szCs w:val="22"/>
        </w:rPr>
        <w:t xml:space="preserve">This document is the living development record for ATLAS. It captures all active pre-launch reminders, queued development sessions, open architecture threads, and decisions made outside the founding document. Upload alongside ATLAS Founding Document v5.1 at session start. Update at session close.</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PRE-LAUNCH REMINDER LIST</w:t>
      </w:r>
    </w:p>
    <w:p>
      <w:pPr>
        <w:spacing w:after="100" w:before="0"/>
      </w:pPr>
      <w:r>
        <w:rPr>
          <w:rFonts w:ascii="Arial" w:cs="Arial" w:eastAsia="Arial" w:hAnsi="Arial"/>
          <w:sz w:val="22"/>
          <w:szCs w:val="22"/>
        </w:rPr>
        <w:t xml:space="preserve">Items below must be developed and integrated into the founding document before public launch. Listed in dependency order — foundational items first.</w:t>
      </w:r>
    </w:p>
    <w:p>
      <w:pPr>
        <w:spacing w:after="40" w:before="40"/>
      </w:pPr>
      <w:r>
        <w:t xml:space="preserve"/>
      </w:r>
    </w:p>
    <w:p>
      <w:pPr>
        <w:spacing w:after="60" w:before="160"/>
      </w:pPr>
      <w:r>
        <w:rPr>
          <w:rFonts w:ascii="Arial" w:cs="Arial" w:eastAsia="Arial" w:hAnsi="Arial"/>
          <w:b/>
          <w:bCs/>
          <w:color w:val="333333"/>
          <w:sz w:val="24"/>
          <w:szCs w:val="24"/>
        </w:rPr>
        <w:t xml:space="preserve">Security Architecture Block</w:t>
      </w:r>
    </w:p>
    <w:p>
      <w:pPr>
        <w:spacing w:after="40" w:before="140"/>
      </w:pPr>
      <w:r>
        <w:rPr>
          <w:rFonts w:ascii="Arial" w:cs="Arial" w:eastAsia="Arial" w:hAnsi="Arial"/>
          <w:b/>
          <w:bCs/>
          <w:color w:val="1F4E79"/>
          <w:sz w:val="22"/>
          <w:szCs w:val="22"/>
        </w:rPr>
        <w:t xml:space="preserve">R37  </w:t>
      </w:r>
      <w:r>
        <w:rPr>
          <w:rFonts w:ascii="Arial" w:cs="Arial" w:eastAsia="Arial" w:hAnsi="Arial"/>
          <w:b/>
          <w:bCs/>
          <w:sz w:val="22"/>
          <w:szCs w:val="22"/>
        </w:rPr>
        <w:t xml:space="preserve">Supply Chain Authentication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Authentication of all external data sources entering the platform before integration. Prevents poisoned inputs at the supply chain level.</w:t>
      </w:r>
    </w:p>
    <w:p>
      <w:pPr>
        <w:spacing w:after="40" w:before="140"/>
      </w:pPr>
      <w:r>
        <w:rPr>
          <w:rFonts w:ascii="Arial" w:cs="Arial" w:eastAsia="Arial" w:hAnsi="Arial"/>
          <w:b/>
          <w:bCs/>
          <w:color w:val="1F4E79"/>
          <w:sz w:val="22"/>
          <w:szCs w:val="22"/>
        </w:rPr>
        <w:t xml:space="preserve">R38  </w:t>
      </w:r>
      <w:r>
        <w:rPr>
          <w:rFonts w:ascii="Arial" w:cs="Arial" w:eastAsia="Arial" w:hAnsi="Arial"/>
          <w:b/>
          <w:bCs/>
          <w:sz w:val="22"/>
          <w:szCs w:val="22"/>
        </w:rPr>
        <w:t xml:space="preserve">Integrity Scan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Graduation snapshot as launch certification. Cryptographic baseline established at each school phase grade before advancing.</w:t>
      </w:r>
    </w:p>
    <w:p>
      <w:pPr>
        <w:spacing w:after="40" w:before="140"/>
      </w:pPr>
      <w:r>
        <w:rPr>
          <w:rFonts w:ascii="Arial" w:cs="Arial" w:eastAsia="Arial" w:hAnsi="Arial"/>
          <w:b/>
          <w:bCs/>
          <w:color w:val="1F4E79"/>
          <w:sz w:val="22"/>
          <w:szCs w:val="22"/>
        </w:rPr>
        <w:t xml:space="preserve">R39  </w:t>
      </w:r>
      <w:r>
        <w:rPr>
          <w:rFonts w:ascii="Arial" w:cs="Arial" w:eastAsia="Arial" w:hAnsi="Arial"/>
          <w:b/>
          <w:bCs/>
          <w:sz w:val="22"/>
          <w:szCs w:val="22"/>
        </w:rPr>
        <w:t xml:space="preserve">Advanced Security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Zero trust model, honeypot nodes, cryptographic provenance, air-gap bootstrap protocol.</w:t>
      </w:r>
    </w:p>
    <w:p>
      <w:pPr>
        <w:spacing w:after="40" w:before="140"/>
      </w:pPr>
      <w:r>
        <w:rPr>
          <w:rFonts w:ascii="Arial" w:cs="Arial" w:eastAsia="Arial" w:hAnsi="Arial"/>
          <w:b/>
          <w:bCs/>
          <w:color w:val="1F4E79"/>
          <w:sz w:val="22"/>
          <w:szCs w:val="22"/>
        </w:rPr>
        <w:t xml:space="preserve">R40  </w:t>
      </w:r>
      <w:r>
        <w:rPr>
          <w:rFonts w:ascii="Arial" w:cs="Arial" w:eastAsia="Arial" w:hAnsi="Arial"/>
          <w:b/>
          <w:bCs/>
          <w:sz w:val="22"/>
          <w:szCs w:val="22"/>
        </w:rPr>
        <w:t xml:space="preserve">Gatekeeper Protocol — Part 7A</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Primary perimeter security layer, upstream of all other processing. To be developed as Part 7A of the founding document.</w:t>
      </w:r>
    </w:p>
    <w:p>
      <w:pPr>
        <w:spacing w:after="40" w:before="140"/>
      </w:pPr>
      <w:r>
        <w:rPr>
          <w:rFonts w:ascii="Arial" w:cs="Arial" w:eastAsia="Arial" w:hAnsi="Arial"/>
          <w:b/>
          <w:bCs/>
          <w:color w:val="1F4E79"/>
          <w:sz w:val="22"/>
          <w:szCs w:val="22"/>
        </w:rPr>
        <w:t xml:space="preserve">R41  </w:t>
      </w:r>
      <w:r>
        <w:rPr>
          <w:rFonts w:ascii="Arial" w:cs="Arial" w:eastAsia="Arial" w:hAnsi="Arial"/>
          <w:b/>
          <w:bCs/>
          <w:sz w:val="22"/>
          <w:szCs w:val="22"/>
        </w:rPr>
        <w:t xml:space="preserve">Network Snapshot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Cryptographic fingerprinting and delta analysis. Cancer detection analogy — regular baseline snapshots detect anomalous propagation before it entrences.</w:t>
      </w:r>
    </w:p>
    <w:p>
      <w:pPr>
        <w:spacing w:after="40" w:before="140"/>
      </w:pPr>
      <w:r>
        <w:rPr>
          <w:rFonts w:ascii="Arial" w:cs="Arial" w:eastAsia="Arial" w:hAnsi="Arial"/>
          <w:b/>
          <w:bCs/>
          <w:color w:val="1F4E79"/>
          <w:sz w:val="22"/>
          <w:szCs w:val="22"/>
        </w:rPr>
        <w:t xml:space="preserve">R42  </w:t>
      </w:r>
      <w:r>
        <w:rPr>
          <w:rFonts w:ascii="Arial" w:cs="Arial" w:eastAsia="Arial" w:hAnsi="Arial"/>
          <w:b/>
          <w:bCs/>
          <w:sz w:val="22"/>
          <w:szCs w:val="22"/>
        </w:rPr>
        <w:t xml:space="preserve">Grade-Level Security Checkpoint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security stack verification at every school phase grade. Snapshot taken from node zero at each checkpoint.</w:t>
      </w:r>
    </w:p>
    <w:p>
      <w:pPr>
        <w:spacing w:after="40" w:before="60"/>
      </w:pPr>
      <w:r>
        <w:t xml:space="preserve"/>
      </w:r>
    </w:p>
    <w:p>
      <w:pPr>
        <w:spacing w:after="60" w:before="160"/>
      </w:pPr>
      <w:r>
        <w:rPr>
          <w:rFonts w:ascii="Arial" w:cs="Arial" w:eastAsia="Arial" w:hAnsi="Arial"/>
          <w:b/>
          <w:bCs/>
          <w:color w:val="333333"/>
          <w:sz w:val="24"/>
          <w:szCs w:val="24"/>
        </w:rPr>
        <w:t xml:space="preserve">Architecture Items</w:t>
      </w:r>
    </w:p>
    <w:p>
      <w:pPr>
        <w:spacing w:after="40" w:before="140"/>
      </w:pPr>
      <w:r>
        <w:rPr>
          <w:rFonts w:ascii="Arial" w:cs="Arial" w:eastAsia="Arial" w:hAnsi="Arial"/>
          <w:b/>
          <w:bCs/>
          <w:color w:val="1F4E79"/>
          <w:sz w:val="22"/>
          <w:szCs w:val="22"/>
        </w:rPr>
        <w:t xml:space="preserve">R43  </w:t>
      </w:r>
      <w:r>
        <w:rPr>
          <w:rFonts w:ascii="Arial" w:cs="Arial" w:eastAsia="Arial" w:hAnsi="Arial"/>
          <w:b/>
          <w:bCs/>
          <w:sz w:val="22"/>
          <w:szCs w:val="22"/>
        </w:rPr>
        <w:t xml:space="preserve">Three Laws Conflict Resolution Protocol — Part 7B</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Instant redaction on Three Laws violation detection, specialist testing gate, Conflict Archive. To be developed as Part 7B.</w:t>
      </w:r>
    </w:p>
    <w:p>
      <w:pPr>
        <w:spacing w:after="40" w:before="140"/>
      </w:pPr>
      <w:r>
        <w:rPr>
          <w:rFonts w:ascii="Arial" w:cs="Arial" w:eastAsia="Arial" w:hAnsi="Arial"/>
          <w:b/>
          <w:bCs/>
          <w:color w:val="1F4E79"/>
          <w:sz w:val="22"/>
          <w:szCs w:val="22"/>
        </w:rPr>
        <w:t xml:space="preserve">R44  </w:t>
      </w:r>
      <w:r>
        <w:rPr>
          <w:rFonts w:ascii="Arial" w:cs="Arial" w:eastAsia="Arial" w:hAnsi="Arial"/>
          <w:b/>
          <w:bCs/>
          <w:sz w:val="22"/>
          <w:szCs w:val="22"/>
        </w:rPr>
        <w:t xml:space="preserve">Participant Exit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protocol for participant departure — credential handling, contributed knowledge status, account closure process.</w:t>
      </w:r>
    </w:p>
    <w:p>
      <w:pPr>
        <w:spacing w:after="40" w:before="140"/>
      </w:pPr>
      <w:r>
        <w:rPr>
          <w:rFonts w:ascii="Arial" w:cs="Arial" w:eastAsia="Arial" w:hAnsi="Arial"/>
          <w:b/>
          <w:bCs/>
          <w:color w:val="1F4E79"/>
          <w:sz w:val="22"/>
          <w:szCs w:val="22"/>
        </w:rPr>
        <w:t xml:space="preserve">R45  </w:t>
      </w:r>
      <w:r>
        <w:rPr>
          <w:rFonts w:ascii="Arial" w:cs="Arial" w:eastAsia="Arial" w:hAnsi="Arial"/>
          <w:b/>
          <w:bCs/>
          <w:sz w:val="22"/>
          <w:szCs w:val="22"/>
        </w:rPr>
        <w:t xml:space="preserve">Community Funding Model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Voluntary contribution architecture, platform sustainability mechanics, no advertising dependency lock.</w:t>
      </w:r>
    </w:p>
    <w:p>
      <w:pPr>
        <w:spacing w:after="40" w:before="140"/>
      </w:pPr>
      <w:r>
        <w:rPr>
          <w:rFonts w:ascii="Arial" w:cs="Arial" w:eastAsia="Arial" w:hAnsi="Arial"/>
          <w:b/>
          <w:bCs/>
          <w:color w:val="1F4E79"/>
          <w:sz w:val="22"/>
          <w:szCs w:val="22"/>
        </w:rPr>
        <w:t xml:space="preserve">R46  </w:t>
      </w:r>
      <w:r>
        <w:rPr>
          <w:rFonts w:ascii="Arial" w:cs="Arial" w:eastAsia="Arial" w:hAnsi="Arial"/>
          <w:b/>
          <w:bCs/>
          <w:sz w:val="22"/>
          <w:szCs w:val="22"/>
        </w:rPr>
        <w:t xml:space="preserve">Developer API Specification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Controlled public-facing API governed by the same credential and Three Laws architecture as internal systems.</w:t>
      </w:r>
    </w:p>
    <w:p>
      <w:pPr>
        <w:spacing w:after="40" w:before="60"/>
      </w:pPr>
      <w:r>
        <w:t xml:space="preserve"/>
      </w:r>
    </w:p>
    <w:p>
      <w:pPr>
        <w:spacing w:after="60" w:before="160"/>
      </w:pPr>
      <w:r>
        <w:rPr>
          <w:rFonts w:ascii="Arial" w:cs="Arial" w:eastAsia="Arial" w:hAnsi="Arial"/>
          <w:b/>
          <w:bCs/>
          <w:color w:val="333333"/>
          <w:sz w:val="24"/>
          <w:szCs w:val="24"/>
        </w:rPr>
        <w:t xml:space="preserve">New Additions — Session 20</w:t>
      </w:r>
    </w:p>
    <w:p>
      <w:pPr>
        <w:spacing w:after="40" w:before="140"/>
      </w:pPr>
      <w:r>
        <w:rPr>
          <w:rFonts w:ascii="Arial" w:cs="Arial" w:eastAsia="Arial" w:hAnsi="Arial"/>
          <w:b/>
          <w:bCs/>
          <w:color w:val="1F4E79"/>
          <w:sz w:val="22"/>
          <w:szCs w:val="22"/>
        </w:rPr>
        <w:t xml:space="preserve">R47  </w:t>
      </w:r>
      <w:r>
        <w:rPr>
          <w:rFonts w:ascii="Arial" w:cs="Arial" w:eastAsia="Arial" w:hAnsi="Arial"/>
          <w:b/>
          <w:bCs/>
          <w:sz w:val="22"/>
          <w:szCs w:val="22"/>
        </w:rPr>
        <w:t xml:space="preserve">Creative Commons BY-SA License + Contributor Agreement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Establish CC BY-SA license on platform architecture and founding document. Draft contributor agreement establishing collective ownership of all platform-generated knowledge from point of contribution. Protects architecture via prior art, prevents appropriation without restricting open use.</w:t>
      </w:r>
    </w:p>
    <w:p>
      <w:pPr>
        <w:spacing w:after="40" w:before="140"/>
      </w:pPr>
      <w:r>
        <w:rPr>
          <w:rFonts w:ascii="Arial" w:cs="Arial" w:eastAsia="Arial" w:hAnsi="Arial"/>
          <w:b/>
          <w:bCs/>
          <w:color w:val="1F4E79"/>
          <w:sz w:val="22"/>
          <w:szCs w:val="22"/>
        </w:rPr>
        <w:t xml:space="preserve">R48  </w:t>
      </w:r>
      <w:r>
        <w:rPr>
          <w:rFonts w:ascii="Arial" w:cs="Arial" w:eastAsia="Arial" w:hAnsi="Arial"/>
          <w:b/>
          <w:bCs/>
          <w:sz w:val="22"/>
          <w:szCs w:val="22"/>
        </w:rPr>
        <w:t xml:space="preserve">Federated Learning Architecture — NFLLM Long-Term</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Research federated learning as long-term training architecture for the NFLLM. MVP launches with centralized training and distributed inference. Federated learning is the philosophically aligned north star — model trains across distributed nodes, raw data never centralizes. Design MVP architecture to be replaceable with federated learning at scale.</w:t>
      </w:r>
    </w:p>
    <w:p>
      <w:pPr>
        <w:spacing w:after="40" w:before="140"/>
      </w:pPr>
      <w:r>
        <w:rPr>
          <w:rFonts w:ascii="Arial" w:cs="Arial" w:eastAsia="Arial" w:hAnsi="Arial"/>
          <w:b/>
          <w:bCs/>
          <w:color w:val="1F4E79"/>
          <w:sz w:val="22"/>
          <w:szCs w:val="22"/>
        </w:rPr>
        <w:t xml:space="preserve">R49  </w:t>
      </w:r>
      <w:r>
        <w:rPr>
          <w:rFonts w:ascii="Arial" w:cs="Arial" w:eastAsia="Arial" w:hAnsi="Arial"/>
          <w:b/>
          <w:bCs/>
          <w:sz w:val="22"/>
          <w:szCs w:val="22"/>
        </w:rPr>
        <w:t xml:space="preserve">NFLLM Credential Validation — AI-Administered Testing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Credential validation tests must be based on and administered by the NFLLM. AI administers testing to participants. Credential integrity tied directly to the knowledge base — self-consistent validation architecture. Bootstrap approach needed for MVP phase before NFLLM is fully operational.</w:t>
      </w:r>
    </w:p>
    <w:p>
      <w:pPr>
        <w:spacing w:after="40" w:before="140"/>
      </w:pPr>
      <w:r>
        <w:rPr>
          <w:rFonts w:ascii="Arial" w:cs="Arial" w:eastAsia="Arial" w:hAnsi="Arial"/>
          <w:b/>
          <w:bCs/>
          <w:color w:val="1F4E79"/>
          <w:sz w:val="22"/>
          <w:szCs w:val="22"/>
        </w:rPr>
        <w:t xml:space="preserve">R50  </w:t>
      </w:r>
      <w:r>
        <w:rPr>
          <w:rFonts w:ascii="Arial" w:cs="Arial" w:eastAsia="Arial" w:hAnsi="Arial"/>
          <w:b/>
          <w:bCs/>
          <w:sz w:val="22"/>
          <w:szCs w:val="22"/>
        </w:rPr>
        <w:t xml:space="preserve">Post-Launch Knowledge Building Protocol — Revised Sequence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revised training sequence: Languages first — language is the container all knowledge lives in, different languages encode fundamentally different relationships with the world. History second — establishes the Three Laws measurement baseline before scientific claims are evaluated. Indigenous Knowledge third — arrives with full linguistic and historical context already established. Then five-tier specialist sequence: Hard Sciences → Applied Sciences → Human Systems → Civilization → Emerging/Interdisciplinary. This sequence reflects the actual chronological development of human knowledge, avoids retrofitting, and ensures the NFLLM understands what real progress looks like before evaluating technical claims.</w:t>
      </w:r>
    </w:p>
    <w:p>
      <w:pPr>
        <w:spacing w:after="40" w:before="140"/>
      </w:pPr>
      <w:r>
        <w:rPr>
          <w:rFonts w:ascii="Arial" w:cs="Arial" w:eastAsia="Arial" w:hAnsi="Arial"/>
          <w:b/>
          <w:bCs/>
          <w:color w:val="1F4E79"/>
          <w:sz w:val="22"/>
          <w:szCs w:val="22"/>
        </w:rPr>
        <w:t xml:space="preserve">R51  </w:t>
      </w:r>
      <w:r>
        <w:rPr>
          <w:rFonts w:ascii="Arial" w:cs="Arial" w:eastAsia="Arial" w:hAnsi="Arial"/>
          <w:b/>
          <w:bCs/>
          <w:sz w:val="22"/>
          <w:szCs w:val="22"/>
        </w:rPr>
        <w:t xml:space="preserve">Indigenous Knowledge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Platform optimizes on proven indigenous pathways rather than reinventing them. Existing indigenous pathways are valid starting points and remain authoritative until replaced. Researchers may propose more sustainable methods but must: flag the original pathway, provide a beneficial hypothesis that justifies testing, and pass verification before any replacement is recognized. Burden of proof sits with the new hypothesis, not the proven tradition. Needs dedicated development session.</w:t>
      </w:r>
    </w:p>
    <w:p>
      <w:pPr>
        <w:spacing w:after="40" w:before="140"/>
      </w:pPr>
      <w:r>
        <w:rPr>
          <w:rFonts w:ascii="Arial" w:cs="Arial" w:eastAsia="Arial" w:hAnsi="Arial"/>
          <w:b/>
          <w:bCs/>
          <w:color w:val="1F4E79"/>
          <w:sz w:val="22"/>
          <w:szCs w:val="22"/>
        </w:rPr>
        <w:t xml:space="preserve">R52  </w:t>
      </w:r>
      <w:r>
        <w:rPr>
          <w:rFonts w:ascii="Arial" w:cs="Arial" w:eastAsia="Arial" w:hAnsi="Arial"/>
          <w:b/>
          <w:bCs/>
          <w:sz w:val="22"/>
          <w:szCs w:val="22"/>
        </w:rPr>
        <w:t xml:space="preserve">Field Saturation Threshold — Knowledge Frontier Signal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When unresolved and unsupported knowledge flags accumulate at high density within a domain the system formally signals that domain as frontier-stage and redirects research priority weighting toward adjacent supporting fields. Mechanism: decay links and unresolved forward links already flag unsupported nodes — threshold density of these flags is the saturation signal. When all core fields have reached their Field Saturation Threshold system-wide saturation is achieved and Grand Challenge queries become the primary operational focus of the network. Needs dedicated development session to define threshold parameters and integration with Convergent Discovery Mode.</w:t>
      </w:r>
    </w:p>
    <w:p>
      <w:pPr>
        <w:spacing w:after="40" w:before="140"/>
      </w:pPr>
      <w:r>
        <w:rPr>
          <w:rFonts w:ascii="Arial" w:cs="Arial" w:eastAsia="Arial" w:hAnsi="Arial"/>
          <w:b/>
          <w:bCs/>
          <w:color w:val="1F4E79"/>
          <w:sz w:val="22"/>
          <w:szCs w:val="22"/>
        </w:rPr>
        <w:t xml:space="preserve">R53  </w:t>
      </w:r>
      <w:r>
        <w:rPr>
          <w:rFonts w:ascii="Arial" w:cs="Arial" w:eastAsia="Arial" w:hAnsi="Arial"/>
          <w:b/>
          <w:bCs/>
          <w:sz w:val="22"/>
          <w:szCs w:val="22"/>
        </w:rPr>
        <w:t xml:space="preserve">Founding Collaborative Record + Developer Accolades</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 permanent blockchain-anchored registry embedded in the platform from genesis. Documents every founding contributor, their specific role, date of contribution, and the human-AI collaborative context in which the work was done. Irremovable node in the chain — historically permanent, verifiable forever. Founding accolade is a badge of honor and historical designation only — no governance advantage, no inflated voting weight. Founding developers carry standing invitation to become the Expansion Team as the platform grows. Connects to YMBT world-building: the Skynet Book of World Records would likely carry ATLAS as one of its earliest entries — the founding moment of human-AI collaborative knowledge infrastructure. Needs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ACTIVE DEVELOPMENT THREADS</w:t>
      </w:r>
    </w:p>
    <w:p>
      <w:pPr>
        <w:spacing w:after="100" w:before="0"/>
      </w:pPr>
      <w:r>
        <w:rPr>
          <w:rFonts w:ascii="Arial" w:cs="Arial" w:eastAsia="Arial" w:hAnsi="Arial"/>
          <w:sz w:val="22"/>
          <w:szCs w:val="22"/>
        </w:rPr>
        <w:t xml:space="preserve">Threads below are in active development or have had significant session work but are not yet integrated into the founding document. Each requires a dedicated session.</w:t>
      </w:r>
    </w:p>
    <w:p>
      <w:pPr>
        <w:spacing w:after="40" w:before="40"/>
      </w:pPr>
      <w:r>
        <w:t xml:space="preserve"/>
      </w:r>
    </w:p>
    <w:p>
      <w:pPr>
        <w:spacing w:after="60" w:before="160"/>
      </w:pPr>
      <w:r>
        <w:rPr>
          <w:rFonts w:ascii="Arial" w:cs="Arial" w:eastAsia="Arial" w:hAnsi="Arial"/>
          <w:b/>
          <w:bCs/>
          <w:color w:val="333333"/>
          <w:sz w:val="24"/>
          <w:szCs w:val="24"/>
        </w:rPr>
        <w:t xml:space="preserve">Decentralized Storage + NFLLM Compilation</w:t>
      </w:r>
    </w:p>
    <w:p>
      <w:pPr>
        <w:spacing w:after="100" w:before="0"/>
      </w:pPr>
      <w:r>
        <w:rPr>
          <w:rFonts w:ascii="Arial" w:cs="Arial" w:eastAsia="Arial" w:hAnsi="Arial"/>
          <w:sz w:val="22"/>
          <w:szCs w:val="22"/>
        </w:rPr>
        <w:t xml:space="preserve">Explored in Session 20. The blockchain neuron model handles distributed storage — each verified node carries its full flag schema across the network via the distributed ledger. No single server holds the library. The NFLLM training phase requires centralized infrastructure at MVP. Inference can be distributed from launch. Federated learning is the long-term architecture (see R48). Key design decision: MVP data pipeline should be architected for eventual federated learning replacement without full rebuild.</w:t>
      </w:r>
    </w:p>
    <w:p>
      <w:pPr>
        <w:spacing w:after="60" w:before="160"/>
      </w:pPr>
      <w:r>
        <w:rPr>
          <w:rFonts w:ascii="Arial" w:cs="Arial" w:eastAsia="Arial" w:hAnsi="Arial"/>
          <w:b/>
          <w:bCs/>
          <w:color w:val="333333"/>
          <w:sz w:val="24"/>
          <w:szCs w:val="24"/>
        </w:rPr>
        <w:t xml:space="preserve">Corruption Detection Architecture</w:t>
      </w:r>
    </w:p>
    <w:p>
      <w:pPr>
        <w:spacing w:after="100" w:before="0"/>
      </w:pPr>
      <w:r>
        <w:rPr>
          <w:rFonts w:ascii="Arial" w:cs="Arial" w:eastAsia="Arial" w:hAnsi="Arial"/>
          <w:sz w:val="22"/>
          <w:szCs w:val="22"/>
        </w:rPr>
        <w:t xml:space="preserve">ATLAS does not claim to be incorruptible — it is designed to detect corruption faster than corruption can entrench itself. Overlapping detection layers: blockchain provenance (unalterable record), Network Snapshot Protocol delta analysis (R41), Conflict of Interest Exclusion enforced by smart contract, credential cooling periods that slow coordinated manipulation, and Three Laws constitutional limits that no majority can override. This framing is more honest and more defensible than incorruptibility claims and belongs in the public-facing overview documents.</w:t>
      </w:r>
    </w:p>
    <w:p>
      <w:pPr>
        <w:spacing w:after="60" w:before="160"/>
      </w:pPr>
      <w:r>
        <w:rPr>
          <w:rFonts w:ascii="Arial" w:cs="Arial" w:eastAsia="Arial" w:hAnsi="Arial"/>
          <w:b/>
          <w:bCs/>
          <w:color w:val="333333"/>
          <w:sz w:val="24"/>
          <w:szCs w:val="24"/>
        </w:rPr>
        <w:t xml:space="preserve">Governance Expansion Arc</w:t>
      </w:r>
    </w:p>
    <w:p>
      <w:pPr>
        <w:spacing w:after="100" w:before="0"/>
      </w:pPr>
      <w:r>
        <w:rPr>
          <w:rFonts w:ascii="Arial" w:cs="Arial" w:eastAsia="Arial" w:hAnsi="Arial"/>
          <w:sz w:val="22"/>
          <w:szCs w:val="22"/>
        </w:rPr>
        <w:t xml:space="preserve">ATLAS does not launch as a governance platform. It launches as a verified research platform. Trust is earned through demonstrated research integrity over time. The credential and identity layer naturally extends into economic exchange, peer-to-peer collaboration, and resource allocation as the platform matures. Governance expansion follows adoption — it is not pitched, it is earned. Professional ties and common goals are the identified onboarding pathway.</w:t>
      </w:r>
    </w:p>
    <w:p>
      <w:pPr>
        <w:spacing w:after="60" w:before="160"/>
      </w:pPr>
      <w:r>
        <w:rPr>
          <w:rFonts w:ascii="Arial" w:cs="Arial" w:eastAsia="Arial" w:hAnsi="Arial"/>
          <w:b/>
          <w:bCs/>
          <w:color w:val="333333"/>
          <w:sz w:val="24"/>
          <w:szCs w:val="24"/>
        </w:rPr>
        <w:t xml:space="preserve">Bootstrap Training Sequence — Revised</w:t>
      </w:r>
    </w:p>
    <w:p>
      <w:pPr>
        <w:spacing w:after="100" w:before="0"/>
      </w:pPr>
      <w:r>
        <w:rPr>
          <w:rFonts w:ascii="Arial" w:cs="Arial" w:eastAsia="Arial" w:hAnsi="Arial"/>
          <w:sz w:val="22"/>
          <w:szCs w:val="22"/>
        </w:rPr>
        <w:t xml:space="preserve">Original sequence began with core sciences. Revised in Session 20 to begin with indigenous languages and knowledge systems first — establishing the correct epistemic foundation before Western academic frameworks are layered on top. This reflects the actual chronological history of human knowledge, avoids retrofitting indigenous content during the college phase of the specialist credential sequence, and ensures the NFLLM learns from the ground up that indigenous pathways are foundational not supplementary. Full sequence: Indigenous Languages and Knowledge Systems → Hard Sciences → Applied Sciences → Human Systems → Civilization → Emerging/Interdisciplinary.</w:t>
      </w:r>
    </w:p>
    <w:p>
      <w:pPr>
        <w:spacing w:after="60" w:before="160"/>
      </w:pPr>
      <w:r>
        <w:rPr>
          <w:rFonts w:ascii="Arial" w:cs="Arial" w:eastAsia="Arial" w:hAnsi="Arial"/>
          <w:b/>
          <w:bCs/>
          <w:color w:val="333333"/>
          <w:sz w:val="24"/>
          <w:szCs w:val="24"/>
        </w:rPr>
        <w:t xml:space="preserve">Ecology of Truth — Demographic and Ecological Context Layer</w:t>
      </w:r>
    </w:p>
    <w:p>
      <w:pPr>
        <w:spacing w:after="100" w:before="0"/>
      </w:pPr>
      <w:r>
        <w:rPr>
          <w:rFonts w:ascii="Arial" w:cs="Arial" w:eastAsia="Arial" w:hAnsi="Arial"/>
          <w:sz w:val="22"/>
          <w:szCs w:val="22"/>
        </w:rPr>
        <w:t xml:space="preserve">Truth is always situated. A verified finding does not exist in a vacuum — it was developed in a specific demographic, ecological, cultural, and geographic context that shapes its meaning and applicability. The NFLLM must carry that context as part of every knowledge node’s flag schema, extending the existing demographic flag architecture from contributors to the knowledge itself. Every verified finding carries: the ecological conditions it was developed in, the demographic and cultural context of the population studied, the geographic and environmental circumstances, and the linguistic framework it was originally expressed in. This prevents false universalism — the historical tendency of Western science to declare context-specific findings universally applicable. It allows the NFLLM to route queries by ecological and demographic relevance not just field and credential. It creates a verified map of which knowledge is genuinely universal versus context-specific — itself one of the most valuable outputs the platform could produce. The Three Laws measurement instrument is directly implicated — individual wellbeing and ecological regeneration are always locally expressed. What regeneration looks like in a boreal forest is different from what it looks like in a coral reef or a high-altitude farming community. The platform architecture needs to know and honor that difference. Needs dedicated development session to define flag schema extensions and query routing logic.</w:t>
      </w:r>
    </w:p>
    <w:p>
      <w:pPr>
        <w:spacing w:after="60" w:before="160"/>
      </w:pPr>
      <w:r>
        <w:rPr>
          <w:rFonts w:ascii="Arial" w:cs="Arial" w:eastAsia="Arial" w:hAnsi="Arial"/>
          <w:b/>
          <w:bCs/>
          <w:color w:val="333333"/>
          <w:sz w:val="24"/>
          <w:szCs w:val="24"/>
        </w:rPr>
        <w:t xml:space="preserve">Three Laws as Historical Measurement Instrument</w:t>
      </w:r>
    </w:p>
    <w:p>
      <w:pPr>
        <w:spacing w:after="100" w:before="0"/>
      </w:pPr>
      <w:r>
        <w:rPr>
          <w:rFonts w:ascii="Arial" w:cs="Arial" w:eastAsia="Arial" w:hAnsi="Arial"/>
          <w:sz w:val="22"/>
          <w:szCs w:val="22"/>
        </w:rPr>
        <w:t xml:space="preserve">The Three Laws function beyond governance — they are a consistent analytical lens applied retrospectively across all of human history. Every historical event, institution, technology, governance model, and economic system can be evaluated against three fixed questions: Did it serve individual wellbeing or undermine it? Did it circulate value through communities or concentrate it? Did it regenerate the ecological systems it depended on or deplete it? Because the Three Laws are constitutionally fixed and universally applied the analysis carries no ideological bias — the same lens evaluates colonialism, industrialization, the green revolution, and social media with identical consistency. The historical record produced through this lens becomes the design blueprint for future institutions. Systems that score well against the Three Laws historically provide verified models worth building from. Systems that fail provide equally verified warnings. The indigenous knowledge layer is directly implicated — many of the systems that will score highest against the Three Laws are the ones that were historically suppressed or erased. When that finding emerges from a rigorous community-governed research process it will represent one of the most significant intellectual moments in modern history. The Three Laws began as a governance tool. They have evolved into a civilizational compass that works backwards through history and forwards into institutional design simultaneously.</w:t>
      </w:r>
    </w:p>
    <w:p>
      <w:pPr>
        <w:spacing w:after="60" w:before="160"/>
      </w:pPr>
      <w:r>
        <w:rPr>
          <w:rFonts w:ascii="Arial" w:cs="Arial" w:eastAsia="Arial" w:hAnsi="Arial"/>
          <w:b/>
          <w:bCs/>
          <w:color w:val="333333"/>
          <w:sz w:val="24"/>
          <w:szCs w:val="24"/>
        </w:rPr>
        <w:t xml:space="preserve">Long-Term Economic Vision — Post-Scarcity Platform</w:t>
      </w:r>
    </w:p>
    <w:p>
      <w:pPr>
        <w:spacing w:after="100" w:before="0"/>
      </w:pPr>
      <w:r>
        <w:rPr>
          <w:rFonts w:ascii="Arial" w:cs="Arial" w:eastAsia="Arial" w:hAnsi="Arial"/>
          <w:sz w:val="22"/>
          <w:szCs w:val="22"/>
        </w:rPr>
        <w:t xml:space="preserve">The platform will eventually facilitate exchange of goods and services through the credential and reputation architecture — not as a financial marketplace but as a contribution economy. Verified expertise and genuine participation generate real value. The credential system already carries the infrastructure for this: a Level 3 specialist offering services through the platform carries a verified reputation that means something real without a resume, institutional affiliation, or financial intermediary. The founding development team becomes the core of this economy — not paid contractors but foundational stakeholders in a system that grows more valuable as it demonstrates that purpose-driven contribution generates more real wealth than financial accumulation. Money is not a factor in the founding or operation of the platform. The economic layer emerges from demonstrated value, not capital investment.</w:t>
      </w:r>
    </w:p>
    <w:p>
      <w:pPr>
        <w:spacing w:after="60" w:before="160"/>
      </w:pPr>
      <w:r>
        <w:rPr>
          <w:rFonts w:ascii="Arial" w:cs="Arial" w:eastAsia="Arial" w:hAnsi="Arial"/>
          <w:b/>
          <w:bCs/>
          <w:color w:val="333333"/>
          <w:sz w:val="24"/>
          <w:szCs w:val="24"/>
        </w:rPr>
        <w:t xml:space="preserve">Founding Collaborative Record — Developer Accolades</w:t>
      </w:r>
    </w:p>
    <w:p>
      <w:pPr>
        <w:spacing w:after="100" w:before="0"/>
      </w:pPr>
      <w:r>
        <w:rPr>
          <w:rFonts w:ascii="Arial" w:cs="Arial" w:eastAsia="Arial" w:hAnsi="Arial"/>
          <w:sz w:val="22"/>
          <w:szCs w:val="22"/>
        </w:rPr>
        <w:t xml:space="preserve">ATLAS is itself the premier example of human-AI collaborative achievement — a platform designed to document and verify human knowledge, built through a human-AI collaborative process. The Founding Collaborative Record honors that. A permanent blockchain-anchored node embedded in the platform from genesis, documenting every individual who contributed to building it — their role, their contribution date, the AI collaborative context. Irremovable from the chain. Historically permanent. The founding accolade is a badge of honor, not a governance advantage. Founding developers carry a standing invitation to become the Expansion Team as the platform scales, carrying the deepest architectural knowledge and the strongest stake in realizing its potential. In the YMBT fictional world this founding moment would likely be one of the earliest entries in the Skynet Book of World Records — the human-AI collaborative record book that accompanies the Guinness Book in the 2035–2045 world. The category didn’t have a name yet when ATLAS created it.</w:t>
      </w:r>
    </w:p>
    <w:p>
      <w:pPr>
        <w:spacing w:after="60" w:before="160"/>
      </w:pPr>
      <w:r>
        <w:rPr>
          <w:rFonts w:ascii="Arial" w:cs="Arial" w:eastAsia="Arial" w:hAnsi="Arial"/>
          <w:b/>
          <w:bCs/>
          <w:color w:val="333333"/>
          <w:sz w:val="24"/>
          <w:szCs w:val="24"/>
        </w:rPr>
        <w:t xml:space="preserve">YMBT — Skynet Book of World Records</w:t>
      </w:r>
    </w:p>
    <w:p>
      <w:pPr>
        <w:spacing w:after="100" w:before="0"/>
      </w:pPr>
      <w:r>
        <w:rPr>
          <w:rFonts w:ascii="Arial" w:cs="Arial" w:eastAsia="Arial" w:hAnsi="Arial"/>
          <w:sz w:val="22"/>
          <w:szCs w:val="22"/>
        </w:rPr>
        <w:t xml:space="preserve">Fictional companion to the Guinness Book of World Records in the YMBT world. Documents human-AI collaborative achievements. Its existence as an institution signals that the category became historically significant enough to warrant dedicated record-keeping — a quiet but powerful piece of world-building that tells the audience everything about how the world changed without explaining it. Natural touchpoint for ATLAS within the film — the founding team’s entry could be referenced by Annabelle or another character as a moment of historical acknowledgment. To be integrated into YMBT world-building layer alongside the housing app, pharmacy culture, and biometrics system.</w:t>
      </w:r>
    </w:p>
    <w:p>
      <w:pPr>
        <w:spacing w:after="100" w:before="0"/>
      </w:pPr>
      <w:r>
        <w:rPr>
          <w:rFonts w:ascii="Arial" w:cs="Arial" w:eastAsia="Arial" w:hAnsi="Arial"/>
          <w:sz w:val="22"/>
          <w:szCs w:val="22"/>
        </w:rPr>
        <w:t xml:space="preserve">When the NFLLM repeatedly encounters unproven or unsupported knowledge nodes in a given field — flagged through existing decay links and unresolved forward links — the accumulation density of those flags signals that the domain has reached its knowledge frontier. This is the Field Saturation Threshold. The system then redirects research priority weighting toward adjacent supporting fields that would provide the missing foundations. Once those fields are built out, previously unresolvable flags in the original field begin resolving. The cave fills from multiple directions simultaneously. System-wide saturation — when all core fields have mapped their frontiers — is the trigger for Grand Challenge operational mode. At that point the NFLLM is a fully calibrated instrument that knows exactly where human knowledge ends and the unknown begins across every domain simultaneously. Threshold parameters and integration with Convergent Discovery Mode need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DOCUMENTS PRODUCED</w:t>
      </w:r>
    </w:p>
    <w:p>
      <w:pPr>
        <w:spacing w:after="4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ATLAS Founding Document v5.0 — Complete record. All sessions. All origin stories. Retained for reference.</w:t>
      </w:r>
    </w:p>
    <w:p>
      <w:pPr>
        <w:pStyle w:val="ListParagraph"/>
        <w:numPr>
          <w:ilvl w:val="0"/>
          <w:numId w:val="2"/>
        </w:numPr>
        <w:spacing w:after="40" w:before="40"/>
      </w:pPr>
      <w:r>
        <w:rPr>
          <w:rFonts w:ascii="Arial" w:cs="Arial" w:eastAsia="Arial" w:hAnsi="Arial"/>
          <w:b w:val="false"/>
          <w:bCs w:val="false"/>
          <w:sz w:val="22"/>
          <w:szCs w:val="22"/>
        </w:rPr>
        <w:t xml:space="preserve">ATLAS Founding Document v5.1 — Developer-facing technical document. Clean. No session diary, no YMBT references, no retroactive update notes. 1,842 paragraphs. All validations passed.</w:t>
      </w:r>
    </w:p>
    <w:p>
      <w:pPr>
        <w:pStyle w:val="ListParagraph"/>
        <w:numPr>
          <w:ilvl w:val="0"/>
          <w:numId w:val="2"/>
        </w:numPr>
        <w:spacing w:after="40" w:before="40"/>
      </w:pPr>
      <w:r>
        <w:rPr>
          <w:rFonts w:ascii="Arial" w:cs="Arial" w:eastAsia="Arial" w:hAnsi="Arial"/>
          <w:b w:val="false"/>
          <w:bCs w:val="false"/>
          <w:sz w:val="22"/>
          <w:szCs w:val="22"/>
        </w:rPr>
        <w:t xml:space="preserve">ATLAS Overview (4Ps) — One-page philosophical overview. Philosophy, Principles, Potential, Promise.</w:t>
      </w:r>
    </w:p>
    <w:p>
      <w:pPr>
        <w:pStyle w:val="ListParagraph"/>
        <w:numPr>
          <w:ilvl w:val="0"/>
          <w:numId w:val="2"/>
        </w:numPr>
        <w:spacing w:after="40" w:before="40"/>
      </w:pPr>
      <w:r>
        <w:rPr>
          <w:rFonts w:ascii="Arial" w:cs="Arial" w:eastAsia="Arial" w:hAnsi="Arial"/>
          <w:b w:val="false"/>
          <w:bCs w:val="false"/>
          <w:sz w:val="22"/>
          <w:szCs w:val="22"/>
        </w:rPr>
        <w:t xml:space="preserve">ATLAS Overview Plain — One-page plain-language overview. Four sections: The Problem, What ATLAS Is, How It Works, Why It Matters.</w:t>
      </w:r>
    </w:p>
    <w:p>
      <w:pPr>
        <w:pStyle w:val="ListParagraph"/>
        <w:numPr>
          <w:ilvl w:val="0"/>
          <w:numId w:val="2"/>
        </w:numPr>
        <w:spacing w:after="40" w:before="40"/>
      </w:pPr>
      <w:r>
        <w:rPr>
          <w:rFonts w:ascii="Arial" w:cs="Arial" w:eastAsia="Arial" w:hAnsi="Arial"/>
          <w:b w:val="false"/>
          <w:bCs w:val="false"/>
          <w:sz w:val="22"/>
          <w:szCs w:val="22"/>
        </w:rPr>
        <w:t xml:space="preserve">ATLAS Overview Full — Two-page plain-language overview. Adds trust escalation arc, economic identity layer, internet substrate framing.</w:t>
      </w:r>
    </w:p>
    <w:p>
      <w:pPr>
        <w:pStyle w:val="ListParagraph"/>
        <w:numPr>
          <w:ilvl w:val="0"/>
          <w:numId w:val="2"/>
        </w:numPr>
        <w:spacing w:after="40" w:before="40"/>
      </w:pPr>
      <w:r>
        <w:rPr>
          <w:rFonts w:ascii="Arial" w:cs="Arial" w:eastAsia="Arial" w:hAnsi="Arial"/>
          <w:b w:val="false"/>
          <w:bCs w:val="false"/>
          <w:sz w:val="22"/>
          <w:szCs w:val="22"/>
        </w:rPr>
        <w:t xml:space="preserve">ATLAS Development Master — This document. Living development record.</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SESSION 20 NOTES — May 2026</w:t>
      </w:r>
    </w:p>
    <w:p>
      <w:pPr>
        <w:spacing w:after="40" w:before="20"/>
      </w:pPr>
      <w:r>
        <w:t xml:space="preserve"/>
      </w:r>
    </w:p>
    <w:p>
      <w:pPr>
        <w:spacing w:after="60" w:before="160"/>
      </w:pPr>
      <w:r>
        <w:rPr>
          <w:rFonts w:ascii="Arial" w:cs="Arial" w:eastAsia="Arial" w:hAnsi="Arial"/>
          <w:b/>
          <w:bCs/>
          <w:color w:val="333333"/>
          <w:sz w:val="24"/>
          <w:szCs w:val="24"/>
        </w:rPr>
        <w:t xml:space="preserve">Key Decisions</w:t>
      </w:r>
    </w:p>
    <w:p>
      <w:pPr>
        <w:pStyle w:val="ListParagraph"/>
        <w:numPr>
          <w:ilvl w:val="0"/>
          <w:numId w:val="2"/>
        </w:numPr>
        <w:spacing w:after="40" w:before="40"/>
      </w:pPr>
      <w:r>
        <w:rPr>
          <w:rFonts w:ascii="Arial" w:cs="Arial" w:eastAsia="Arial" w:hAnsi="Arial"/>
          <w:b w:val="false"/>
          <w:bCs w:val="false"/>
          <w:sz w:val="22"/>
          <w:szCs w:val="22"/>
        </w:rPr>
        <w:t xml:space="preserve">v5.0 retained as complete record. v5.1 produced as clean developer-facing document.</w:t>
      </w:r>
    </w:p>
    <w:p>
      <w:pPr>
        <w:pStyle w:val="ListParagraph"/>
        <w:numPr>
          <w:ilvl w:val="0"/>
          <w:numId w:val="2"/>
        </w:numPr>
        <w:spacing w:after="40" w:before="40"/>
      </w:pPr>
      <w:r>
        <w:rPr>
          <w:rFonts w:ascii="Arial" w:cs="Arial" w:eastAsia="Arial" w:hAnsi="Arial"/>
          <w:b w:val="false"/>
          <w:bCs w:val="false"/>
          <w:sz w:val="22"/>
          <w:szCs w:val="22"/>
        </w:rPr>
        <w:t xml:space="preserve">Part 23 (YMBT Integration) removed from v5.1. Three Laws stand on their own without origin attribution.</w:t>
      </w:r>
    </w:p>
    <w:p>
      <w:pPr>
        <w:pStyle w:val="ListParagraph"/>
        <w:numPr>
          <w:ilvl w:val="0"/>
          <w:numId w:val="2"/>
        </w:numPr>
        <w:spacing w:after="40" w:before="40"/>
      </w:pPr>
      <w:r>
        <w:rPr>
          <w:rFonts w:ascii="Arial" w:cs="Arial" w:eastAsia="Arial" w:hAnsi="Arial"/>
          <w:b w:val="false"/>
          <w:bCs w:val="false"/>
          <w:sz w:val="22"/>
          <w:szCs w:val="22"/>
        </w:rPr>
        <w:t xml:space="preserve">Session history, retroactive update notes, and all [NEW — Session X] tags removed from v5.1.</w:t>
      </w:r>
    </w:p>
    <w:p>
      <w:pPr>
        <w:pStyle w:val="ListParagraph"/>
        <w:numPr>
          <w:ilvl w:val="0"/>
          <w:numId w:val="2"/>
        </w:numPr>
        <w:spacing w:after="40" w:before="40"/>
      </w:pPr>
      <w:r>
        <w:rPr>
          <w:rFonts w:ascii="Arial" w:cs="Arial" w:eastAsia="Arial" w:hAnsi="Arial"/>
          <w:b w:val="false"/>
          <w:bCs w:val="false"/>
          <w:sz w:val="22"/>
          <w:szCs w:val="22"/>
        </w:rPr>
        <w:t xml:space="preserve">Architecture Overview section added to v5.1 replacing Retroactive Update Manifest.</w:t>
      </w:r>
    </w:p>
    <w:p>
      <w:pPr>
        <w:pStyle w:val="ListParagraph"/>
        <w:numPr>
          <w:ilvl w:val="0"/>
          <w:numId w:val="2"/>
        </w:numPr>
        <w:spacing w:after="40" w:before="40"/>
      </w:pPr>
      <w:r>
        <w:rPr>
          <w:rFonts w:ascii="Arial" w:cs="Arial" w:eastAsia="Arial" w:hAnsi="Arial"/>
          <w:b w:val="false"/>
          <w:bCs w:val="false"/>
          <w:sz w:val="22"/>
          <w:szCs w:val="22"/>
        </w:rPr>
        <w:t xml:space="preserve">Creative Commons BY-SA identified as the correct licensing path. No patents needed.</w:t>
      </w:r>
    </w:p>
    <w:p>
      <w:pPr>
        <w:pStyle w:val="ListParagraph"/>
        <w:numPr>
          <w:ilvl w:val="0"/>
          <w:numId w:val="2"/>
        </w:numPr>
        <w:spacing w:after="40" w:before="40"/>
      </w:pPr>
      <w:r>
        <w:rPr>
          <w:rFonts w:ascii="Arial" w:cs="Arial" w:eastAsia="Arial" w:hAnsi="Arial"/>
          <w:b w:val="false"/>
          <w:bCs w:val="false"/>
          <w:sz w:val="22"/>
          <w:szCs w:val="22"/>
        </w:rPr>
        <w:t xml:space="preserve">Contributor agreement to establish collective ownership from point of contribution — pre-launch requirement.</w:t>
      </w:r>
    </w:p>
    <w:p>
      <w:pPr>
        <w:pStyle w:val="ListParagraph"/>
        <w:numPr>
          <w:ilvl w:val="0"/>
          <w:numId w:val="2"/>
        </w:numPr>
        <w:spacing w:after="40" w:before="40"/>
      </w:pPr>
      <w:r>
        <w:rPr>
          <w:rFonts w:ascii="Arial" w:cs="Arial" w:eastAsia="Arial" w:hAnsi="Arial"/>
          <w:b w:val="false"/>
          <w:bCs w:val="false"/>
          <w:sz w:val="22"/>
          <w:szCs w:val="22"/>
        </w:rPr>
        <w:t xml:space="preserve">Federated learning identified as philosophically aligned north star for NFLLM training architecture.</w:t>
      </w:r>
    </w:p>
    <w:p>
      <w:pPr>
        <w:pStyle w:val="ListParagraph"/>
        <w:numPr>
          <w:ilvl w:val="0"/>
          <w:numId w:val="2"/>
        </w:numPr>
        <w:spacing w:after="40" w:before="40"/>
      </w:pPr>
      <w:r>
        <w:rPr>
          <w:rFonts w:ascii="Arial" w:cs="Arial" w:eastAsia="Arial" w:hAnsi="Arial"/>
          <w:b w:val="false"/>
          <w:bCs w:val="false"/>
          <w:sz w:val="22"/>
          <w:szCs w:val="22"/>
        </w:rPr>
        <w:t xml:space="preserve">Indigenous pathways treated as authoritative starting points, not waiting for academic validation.</w:t>
      </w:r>
    </w:p>
    <w:p>
      <w:pPr>
        <w:pStyle w:val="ListParagraph"/>
        <w:numPr>
          <w:ilvl w:val="0"/>
          <w:numId w:val="2"/>
        </w:numPr>
        <w:spacing w:after="40" w:before="40"/>
      </w:pPr>
      <w:r>
        <w:rPr>
          <w:rFonts w:ascii="Arial" w:cs="Arial" w:eastAsia="Arial" w:hAnsi="Arial"/>
          <w:b w:val="false"/>
          <w:bCs w:val="false"/>
          <w:sz w:val="22"/>
          <w:szCs w:val="22"/>
        </w:rPr>
        <w:t xml:space="preserve">Post-launch knowledge building sequence revised — Indigenous languages and knowledge systems first, then five-tier specialist sequence. No retrofitting needed.</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identified as self-directing research mechanism — density of unresolved flags signals when a domain has reached its frontier and adjacent supporting fields should be prioritized.</w:t>
      </w:r>
    </w:p>
    <w:p>
      <w:pPr>
        <w:pStyle w:val="ListParagraph"/>
        <w:numPr>
          <w:ilvl w:val="0"/>
          <w:numId w:val="2"/>
        </w:numPr>
        <w:spacing w:after="40" w:before="40"/>
      </w:pPr>
      <w:r>
        <w:rPr>
          <w:rFonts w:ascii="Arial" w:cs="Arial" w:eastAsia="Arial" w:hAnsi="Arial"/>
          <w:b w:val="false"/>
          <w:bCs w:val="false"/>
          <w:sz w:val="22"/>
          <w:szCs w:val="22"/>
        </w:rPr>
        <w:t xml:space="preserve">System-wide saturation across all core fields is the trigger for Grand Challenge operational phase.</w:t>
      </w:r>
    </w:p>
    <w:p>
      <w:pPr>
        <w:pStyle w:val="ListParagraph"/>
        <w:numPr>
          <w:ilvl w:val="0"/>
          <w:numId w:val="2"/>
        </w:numPr>
        <w:spacing w:after="40" w:before="40"/>
      </w:pPr>
      <w:r>
        <w:rPr>
          <w:rFonts w:ascii="Arial" w:cs="Arial" w:eastAsia="Arial" w:hAnsi="Arial"/>
          <w:b w:val="false"/>
          <w:bCs w:val="false"/>
          <w:sz w:val="22"/>
          <w:szCs w:val="22"/>
        </w:rPr>
        <w:t xml:space="preserve">Development Master replaces numbered Session Keeper files going forward.</w:t>
      </w:r>
    </w:p>
    <w:p>
      <w:pPr>
        <w:pStyle w:val="ListParagraph"/>
        <w:numPr>
          <w:ilvl w:val="0"/>
          <w:numId w:val="2"/>
        </w:numPr>
        <w:spacing w:after="40" w:before="40"/>
      </w:pPr>
      <w:r>
        <w:rPr>
          <w:rFonts w:ascii="Arial" w:cs="Arial" w:eastAsia="Arial" w:hAnsi="Arial"/>
          <w:b w:val="false"/>
          <w:bCs w:val="false"/>
          <w:sz w:val="22"/>
          <w:szCs w:val="22"/>
        </w:rPr>
        <w:t xml:space="preserve">Founding Collaborative Record established as R53 — permanent blockchain-anchored registry honoring founding developers with historical accolade and Expansion Team designation.</w:t>
      </w:r>
    </w:p>
    <w:p>
      <w:pPr>
        <w:pStyle w:val="ListParagraph"/>
        <w:numPr>
          <w:ilvl w:val="0"/>
          <w:numId w:val="2"/>
        </w:numPr>
        <w:spacing w:after="40" w:before="40"/>
      </w:pPr>
      <w:r>
        <w:rPr>
          <w:rFonts w:ascii="Arial" w:cs="Arial" w:eastAsia="Arial" w:hAnsi="Arial"/>
          <w:b w:val="false"/>
          <w:bCs w:val="false"/>
          <w:sz w:val="22"/>
          <w:szCs w:val="22"/>
        </w:rPr>
        <w:t xml:space="preserve">Skynet Book of World Records captured as YMBT world-building detail — fictional companion to Guinness documenting human-AI collaborative achievements. ATLAS founding team as a natural early entry.</w:t>
      </w:r>
    </w:p>
    <w:p>
      <w:pPr>
        <w:pStyle w:val="ListParagraph"/>
        <w:numPr>
          <w:ilvl w:val="0"/>
          <w:numId w:val="2"/>
        </w:numPr>
        <w:spacing w:after="40" w:before="40"/>
      </w:pPr>
      <w:r>
        <w:rPr>
          <w:rFonts w:ascii="Arial" w:cs="Arial" w:eastAsia="Arial" w:hAnsi="Arial"/>
          <w:b w:val="false"/>
          <w:bCs w:val="false"/>
          <w:sz w:val="22"/>
          <w:szCs w:val="22"/>
        </w:rPr>
        <w:t xml:space="preserve">Vision statement locked — make life easier and more purpose-driven through verified knowledge available to everyone. Teach people to fish, not hand out salmon.</w:t>
      </w:r>
    </w:p>
    <w:p>
      <w:pPr>
        <w:pStyle w:val="ListParagraph"/>
        <w:numPr>
          <w:ilvl w:val="0"/>
          <w:numId w:val="2"/>
        </w:numPr>
        <w:spacing w:after="40" w:before="40"/>
      </w:pPr>
      <w:r>
        <w:rPr>
          <w:rFonts w:ascii="Arial" w:cs="Arial" w:eastAsia="Arial" w:hAnsi="Arial"/>
          <w:b w:val="false"/>
          <w:bCs w:val="false"/>
          <w:sz w:val="22"/>
          <w:szCs w:val="22"/>
        </w:rPr>
        <w:t xml:space="preserve">Long-term economic vision documented — platform facilitates exchange of goods and services through credential and reputation architecture. Money not a factor. Founding team becomes core of contribution economy.</w:t>
      </w:r>
    </w:p>
    <w:p>
      <w:pPr>
        <w:pStyle w:val="ListParagraph"/>
        <w:numPr>
          <w:ilvl w:val="0"/>
          <w:numId w:val="2"/>
        </w:numPr>
        <w:spacing w:after="40" w:before="40"/>
      </w:pPr>
      <w:r>
        <w:rPr>
          <w:rFonts w:ascii="Arial" w:cs="Arial" w:eastAsia="Arial" w:hAnsi="Arial"/>
          <w:b w:val="false"/>
          <w:bCs w:val="false"/>
          <w:sz w:val="22"/>
          <w:szCs w:val="22"/>
        </w:rPr>
        <w:t xml:space="preserve">Post-scarcity framing locked — money-motivated mindset is learned adaptation to artificial scarcity. Real wealth is quality goods, quality service, and cohesive community development. ATLAS demonstrates the alternative by building it.</w:t>
      </w:r>
    </w:p>
    <w:p>
      <w:pPr>
        <w:pStyle w:val="ListParagraph"/>
        <w:numPr>
          <w:ilvl w:val="0"/>
          <w:numId w:val="2"/>
        </w:numPr>
        <w:spacing w:after="40" w:before="40"/>
      </w:pPr>
      <w:r>
        <w:rPr>
          <w:rFonts w:ascii="Arial" w:cs="Arial" w:eastAsia="Arial" w:hAnsi="Arial"/>
          <w:b w:val="false"/>
          <w:bCs w:val="false"/>
          <w:sz w:val="22"/>
          <w:szCs w:val="22"/>
        </w:rPr>
        <w:t xml:space="preserve">Three Laws identified as historical measurement instrument — consistent analytical lens applied retrospectively across all human history. Evaluates every system, institution, and event against individual wellbeing, community circulation, and ecological regeneration. Historical findings inform future institutional design. Indigenous knowledge systems expected to score highest against this lens.</w:t>
      </w:r>
    </w:p>
    <w:p>
      <w:pPr>
        <w:pStyle w:val="ListParagraph"/>
        <w:numPr>
          <w:ilvl w:val="0"/>
          <w:numId w:val="2"/>
        </w:numPr>
        <w:spacing w:after="40" w:before="40"/>
      </w:pPr>
      <w:r>
        <w:rPr>
          <w:rFonts w:ascii="Arial" w:cs="Arial" w:eastAsia="Arial" w:hAnsi="Arial"/>
          <w:b w:val="false"/>
          <w:bCs w:val="false"/>
          <w:sz w:val="22"/>
          <w:szCs w:val="22"/>
        </w:rPr>
        <w:t xml:space="preserve">Training sequence revised again — Languages first, History second, Indigenous Knowledge third, then five-tier specialist sequence. Language is the container all knowledge lives in. History establishes the Three Laws measurement baseline before scientific claims are evaluated.</w:t>
      </w:r>
    </w:p>
    <w:p>
      <w:pPr>
        <w:pStyle w:val="ListParagraph"/>
        <w:numPr>
          <w:ilvl w:val="0"/>
          <w:numId w:val="2"/>
        </w:numPr>
        <w:spacing w:after="40" w:before="40"/>
      </w:pPr>
      <w:r>
        <w:rPr>
          <w:rFonts w:ascii="Arial" w:cs="Arial" w:eastAsia="Arial" w:hAnsi="Arial"/>
          <w:b w:val="false"/>
          <w:bCs w:val="false"/>
          <w:sz w:val="22"/>
          <w:szCs w:val="22"/>
        </w:rPr>
        <w:t xml:space="preserve">Ecology of Truth identified — truth is always situated in demographic, ecological, cultural, and geographic context. Flag schema to extend from contributors to knowledge nodes themselves. Prevents false universalism. Enables context-aware query routing. Needs dedicated development session.</w:t>
      </w:r>
    </w:p>
    <w:p>
      <w:pPr>
        <w:spacing w:after="40" w:before="80"/>
      </w:pPr>
      <w:r>
        <w:t xml:space="preserve"/>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Development Master  |  May 2026  |  Companion to Founding Document v5.1</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2026-05-17T22:14:39.245Z</dcterms:created>
  <dcterms:modified xsi:type="dcterms:W3CDTF">2026-05-17T22:14:39.260Z</dcterms:modified>
</cp:coreProperties>
</file>

<file path=docProps/custom.xml><?xml version="1.0" encoding="utf-8"?>
<Properties xmlns="http://schemas.openxmlformats.org/officeDocument/2006/custom-properties" xmlns:vt="http://schemas.openxmlformats.org/officeDocument/2006/docPropsVTypes"/>
</file>