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OLIVIER BRUCHEZ</w:t>
      </w:r>
    </w:p>
    <w:tbl>
      <w:tblPr>
        <w:tblStyle w:val="Table1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Software Engineer / Scala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67.84" w:type="dxa"/>
        <w:jc w:val="left"/>
        <w:tblInd w:w="28.799999999999997" w:type="pct"/>
        <w:tblLayout w:type="fixed"/>
        <w:tblLook w:val="0600"/>
      </w:tblPr>
      <w:tblGrid>
        <w:gridCol w:w="431.99999999999994"/>
        <w:gridCol w:w="3257.28"/>
        <w:gridCol w:w="431.99999999999994"/>
        <w:gridCol w:w="3257.28"/>
        <w:gridCol w:w="431.99999999999994"/>
        <w:gridCol w:w="3257.28"/>
        <w:tblGridChange w:id="0">
          <w:tblGrid>
            <w:gridCol w:w="431.99999999999994"/>
            <w:gridCol w:w="3257.28"/>
            <w:gridCol w:w="431.99999999999994"/>
            <w:gridCol w:w="3257.28"/>
            <w:gridCol w:w="431.99999999999994"/>
            <w:gridCol w:w="3257.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Nationality: Swiss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Lausanne, Switzerland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+41 (0)79 783 92 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olivier@bruchez.org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linkedin.com/in/obruchez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github.com/obruchez</w:t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/ Scala developer | Cultural Heritage &amp; Innovation Center, EPFL | May 2012 -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0" w:right="315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maintained a digital asset management (DAM) database for the Montreux Jazz Digital Project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(Scala, Play, Akka, Slick, S3, Lift)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Other projects I've worked on include: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Prototype for a distributed algorithm execution platform for musicology datasets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(Akka, Docker)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Preliminary work on the Verbier Festival archive (database check/import, etc.)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Archivematica-based ingestion solution for the Claude Nicollier archive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(Akka, Slick, SQLite, S3, Google APIs)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 API for iPad and web applications (metadata and audio/video streaming)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(Akka HTTP, Elasticsearch)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of our artist/person database with Wikidata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(SPARQL, open linked data)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Artist contracts/music rights management and search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Photo import tool using fuzzy string searching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with a smart playlist 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Various import/export and integrity check tools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Various audio/video compression/processing tools (ffmpeg, custom algorithms, etc.)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of various algorithms (perceptual hashes, affinity propagation clustering, etc.)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/ Scala developer | E-mmunizer / Groowin | Aug. 2011 - Mar. 2012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features to an online commerce platform for local businesses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(Scala, Lift, Cassandra, PostgreSQL, S3)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/ consultant | ELCA Informatique | Sep. 2009 - Jul. 2011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Maintained an unforgeable code printing framework and a printer-agnostic layout editor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(Python, C#, C++)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web application to allow multiple teams to synchronize their activities during the deployment of a release into the production environment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(Java, GWT)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artially rewrote a risk management (fraud detection) module developed by an intern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(C++, SQL)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maintained online/high-availability and offline electronic payment applications using Scrum, UML, and test-driven development (TDD)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(Java, C++, SQL)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/ consultant | Self-employed | Jul. 2008 - Aug. 2009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a REST interface to an existing web application and developed its Java client API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(Orbeon Forms, XForms, Java)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features to an XForms-based web application for network audit reports management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(Orbeon Forms, XForms, XQuery, XSLT, eXist)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desktop application to launch E-Prime psychology tests and analyze results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(C++, data analysis)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| VisioWave / GE Security | Apr. 2002 - Jun. 2008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a hardware-agnostic XML-based health monitoring framework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Tested and maintained an H.264 codec (rate control and entropy coding modules)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video/audio rendering component using pixel shaders for deinterlacing and color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a distributed alarm/event management system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31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timeline component (GUI) for video/audio storage display/playback</w:t>
      </w:r>
    </w:p>
    <w:p w:rsidR="00000000" w:rsidDel="00000000" w:rsidP="00000000" w:rsidRDefault="00000000" w:rsidRPr="00000000" w14:paraId="0000003F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SOFTWARE SKILLS</w:t>
      </w: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73.0" w:type="dxa"/>
        <w:jc w:val="left"/>
        <w:tblInd w:w="14.399999999999999" w:type="pct"/>
        <w:tblLayout w:type="fixed"/>
        <w:tblLook w:val="0600"/>
      </w:tblPr>
      <w:tblGrid>
        <w:gridCol w:w="1727.9999999999998"/>
        <w:gridCol w:w="9345"/>
        <w:tblGridChange w:id="0">
          <w:tblGrid>
            <w:gridCol w:w="1727.9999999999998"/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Languages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Scala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Java, JavaScript, Python, C/C++, PHP, C#, XQuery, XSLT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Play, Akka, Slick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Elasticsearch, Archivematica, Orbeon Forms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Databases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MySQL, SQLite,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PostgreSQL, Cassandra, Neo4j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Dev. tools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Git, IntelliJ, SBT, Eclipse, Maven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General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Backend/frontend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development, audio/video, digital preservation, functional programming (FP), object-oriented programming (OOP), distributed/real-time programming, machine learning</w:t>
            </w:r>
          </w:p>
        </w:tc>
      </w:tr>
    </w:tbl>
    <w:p w:rsidR="00000000" w:rsidDel="00000000" w:rsidP="00000000" w:rsidRDefault="00000000" w:rsidRPr="00000000" w14:paraId="0000004E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BOOKS / COURSES</w:t>
      </w: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14.399999999999999" w:type="pct"/>
        <w:tblLayout w:type="fixed"/>
        <w:tblLook w:val="0600"/>
      </w:tblPr>
      <w:tblGrid>
        <w:gridCol w:w="1727.9999999999998"/>
        <w:gridCol w:w="9046"/>
        <w:tblGridChange w:id="0">
          <w:tblGrid>
            <w:gridCol w:w="1727.9999999999998"/>
            <w:gridCol w:w="904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Mar. 2017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“Big Data Analysis with Scala and Spark”, by Heather Miller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Oct. 2016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“Parallel programming” (Scala), by Viktor Kuncak &amp; Aleksandar Prokopec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Dec. 2015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“Functional Programming in Scala”, by Paul Chiusano and Rúnar Bjarnason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#book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 2014</w:t>
            </w:r>
          </w:p>
          <w:p w:rsidR="00000000" w:rsidDel="00000000" w:rsidP="00000000" w:rsidRDefault="00000000" w:rsidRPr="00000000" w14:paraId="0000005A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Feb. 2014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“Machine Learning”, by Andrew Ng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</w:p>
          <w:p w:rsidR="00000000" w:rsidDel="00000000" w:rsidP="00000000" w:rsidRDefault="00000000" w:rsidRPr="00000000" w14:paraId="0000005C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“Play for Scala”, by Peter Hilton, Erik Bakker &amp; Francisco Canedo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#book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Dec. 2013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“Principles of Reactive Programming”, by Erik Meijer, Martin Odersky &amp; Roland Kuhn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Dec. 2013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“Scala in Depth”, by Joshua D. Suereth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#book</w:t>
            </w:r>
          </w:p>
        </w:tc>
      </w:tr>
    </w:tbl>
    <w:p w:rsidR="00000000" w:rsidDel="00000000" w:rsidP="00000000" w:rsidRDefault="00000000" w:rsidRPr="00000000" w14:paraId="00000061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OTHER / PERSONAL PROJECTS</w:t>
      </w: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14.399999999999999" w:type="pct"/>
        <w:tblLayout w:type="fixed"/>
        <w:tblLook w:val="0600"/>
      </w:tblPr>
      <w:tblGrid>
        <w:gridCol w:w="1727.9999999999998"/>
        <w:gridCol w:w="9046"/>
        <w:tblGridChange w:id="0">
          <w:tblGrid>
            <w:gridCol w:w="1727.9999999999998"/>
            <w:gridCol w:w="904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2000 - present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KeithJarrett.org, an unofficial website about jazz pianist Keith Jarrett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2002 - 2010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 for Civil Protection / Protection of Cultural Property organization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Self-learning Connect Four software using neural networks and reinforcement learning</w:t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0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4.0" w:type="dxa"/>
        <w:jc w:val="left"/>
        <w:tblInd w:w="14.399999999999999" w:type="pct"/>
        <w:tblLayout w:type="fixed"/>
        <w:tblLook w:val="0600"/>
      </w:tblPr>
      <w:tblGrid>
        <w:gridCol w:w="1727.9999999999998"/>
        <w:gridCol w:w="9046"/>
        <w:tblGridChange w:id="0">
          <w:tblGrid>
            <w:gridCol w:w="1727.9999999999998"/>
            <w:gridCol w:w="904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1997 - 2002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Master of Science in Computer Science (MS/CS)</w:t>
            </w:r>
          </w:p>
          <w:p w:rsidR="00000000" w:rsidDel="00000000" w:rsidP="00000000" w:rsidRDefault="00000000" w:rsidRPr="00000000" w14:paraId="00000073">
            <w:pPr>
              <w:spacing w:after="20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EPFL, Swiss Federal Institute of Technology, Lausanne, Switzerland</w:t>
            </w:r>
          </w:p>
          <w:p w:rsidR="00000000" w:rsidDel="00000000" w:rsidP="00000000" w:rsidRDefault="00000000" w:rsidRPr="00000000" w14:paraId="00000074">
            <w:pPr>
              <w:spacing w:after="200" w:before="0" w:lineRule="auto"/>
              <w:ind w:left="0" w:right="31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Optional courses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artificial intelligence (AI), artificial neural networks (ANN), bioinformatics, computer graphics, document engineering, natural language processing, pattern recognition, virtual environments</w:t>
            </w:r>
          </w:p>
          <w:p w:rsidR="00000000" w:rsidDel="00000000" w:rsidP="00000000" w:rsidRDefault="00000000" w:rsidRPr="00000000" w14:paraId="00000075">
            <w:pPr>
              <w:spacing w:after="200" w:before="0" w:lineRule="auto"/>
              <w:ind w:left="0" w:right="31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distributed video archival and streaming system using CD/DVD jukeboxes, utility for converting between ICC profiles and XML, exploration of new types of Turing neural network, control software for an MC68331-based mobile robot, DNA sequence classification using artificial neural networks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(C/C++, Java, Lisp, assembly language, distributed computing, machine learning, evolutionary algorithms)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1992 - 1997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Scientific Matura</w:t>
            </w:r>
          </w:p>
          <w:p w:rsidR="00000000" w:rsidDel="00000000" w:rsidP="00000000" w:rsidRDefault="00000000" w:rsidRPr="00000000" w14:paraId="00000078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Collège de l'Abbaye de Saint-Maurice, Switzerland</w:t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LANGUAGE SKILLS</w:t>
      </w:r>
      <w:r w:rsidDel="00000000" w:rsidR="00000000" w:rsidRPr="00000000">
        <w:rPr>
          <w:rtl w:val="0"/>
        </w:rPr>
      </w:r>
    </w:p>
    <w:tbl>
      <w:tblPr>
        <w:tblStyle w:val="Table12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4.0" w:type="dxa"/>
        <w:jc w:val="left"/>
        <w:tblInd w:w="14.399999999999999" w:type="pct"/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French (mother tongue), English (fluent), German (basic knowledge)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HOBBIES / INTERESTS</w:t>
      </w:r>
      <w:r w:rsidDel="00000000" w:rsidR="00000000" w:rsidRPr="00000000">
        <w:rPr>
          <w:rtl w:val="0"/>
        </w:rPr>
      </w:r>
    </w:p>
    <w:tbl>
      <w:tblPr>
        <w:tblStyle w:val="Table14"/>
        <w:tblW w:w="10774.0" w:type="dxa"/>
        <w:jc w:val="left"/>
        <w:tblInd w:w="0.0" w:type="pct"/>
        <w:tblLayout w:type="fixed"/>
        <w:tblLook w:val="0600"/>
      </w:tblPr>
      <w:tblGrid>
        <w:gridCol w:w="1700.7874015748032"/>
        <w:gridCol w:w="9073.212598425196"/>
        <w:tblGridChange w:id="0">
          <w:tblGrid>
            <w:gridCol w:w="1700.7874015748032"/>
            <w:gridCol w:w="9073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74.0" w:type="dxa"/>
        <w:jc w:val="left"/>
        <w:tblInd w:w="14.399999999999999" w:type="pct"/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Mountain hiking, running, music (jazz and more), reading, blogging, traveling, going to the museum/theater/opera, meditation, science/math, technology, astronomy, futurology, life extension/longevity, philosophy, Getting Things Done (GTD)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- 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