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6 Deliverable</w:t>
      </w:r>
    </w:p>
    <w:p>
      <w:r>
        <w:t>Form URL:</w:t>
      </w:r>
    </w:p>
    <w:p>
      <w:r>
        <w:t>http://webdevgroupcu.org/pega8325/forms/form-exercise1(one).html</w:t>
      </w:r>
    </w:p>
    <w:p>
      <w:pPr>
        <w:pStyle w:val="Heading2"/>
      </w:pPr>
      <w:r>
        <w:t>Reflection</w:t>
      </w:r>
    </w:p>
    <w:p>
      <w:r>
        <w:t>Adding fieldsets, legends, labels, focus highlighting, and required-field styling improved the accessibility and usability of the form. Labels allow users to click text to activate controls, while fieldsets and legends help screen readers understand related groups of inputs.</w:t>
      </w:r>
    </w:p>
    <w:p>
      <w:r>
        <w:t>The focus highlighting makes keyboard navigation much easier, and the required-field styling provides a clear visual cue without relying only on text. Together these techniques improve accessibility for users with visual, motor, and cognitive disabilities while making the form easier for everyone to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