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DIAGNÓSTICO DAS ESCUTAS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das prerrogativas do Programa Nacional Aldir Blanc (PNAB) foram as escutas à sociedade civil. Em Pernambuco, houve vários momentos em que a Secretaria de Cultura de Pernambuco (SECULT-PE) teve a oportunidade de escutar e entender os anseios dos fazedores de cultura do estado. Dentre eles, destacam-se: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Escutas da Lei Paulo Gustavo – LPG 2023;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Ouvir Para Mudar Pernambuco 2023;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Conferência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Estadual de Cultura (CEC) 2024.</w:t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partes seguintes do diagnóstico, abordaremos as quantidades de propostas, interesses e questionamentos que foram acolhidos e estruturados pela SECULT-PE em cada um dos momentos destacados acima. Por último, finalizaremos com as quantidades gerais agregando todas as escutas.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Escutas da Lei Paulo Gustavo – LPG 2023</w:t>
      </w:r>
    </w:p>
    <w:p w:rsidR="00000000" w:rsidDel="00000000" w:rsidP="00000000" w:rsidRDefault="00000000" w:rsidRPr="00000000" w14:paraId="0000000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escutas realizadas para a Lei Paulo Gustavo tiveram como objetivo promover discussões e consultas à sociedade civil e aos fazedores da cultura sobre os parâmetros de regulamentos, editais, chamamentos públicos, prêmios ou quaisquer outras formas de seleção pública relativos à Lei. Foram contempladas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seguintes linguagens artístico-culturais: Artesanato; Música; Fotografia; Artes Visuais; Audiovisual; Literatura; Dança; Design e Moda; Gastronomia; Teatro; Cultura Popular e Circo.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Audiovisual foram realizadas duas escutas separadas, uma focada no tema de Equipamentos do segmento e outra para Audiovisual Geral.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fim,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foi realizada uma escuta direcionada 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segmento de Cultura Periférica.</w:t>
      </w:r>
    </w:p>
    <w:p w:rsidR="00000000" w:rsidDel="00000000" w:rsidP="00000000" w:rsidRDefault="00000000" w:rsidRPr="00000000" w14:paraId="0000000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Obtivemos um total de 691 contribuições, divididas em 452 proposições e 239 perguntas feitas pelos fazedores de cultura quando a Lei Paulo Gustavo. Esse quantitativo é possível observar no gráfico abaixo.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28284" cy="3534695"/>
            <wp:effectExtent b="0" l="0" r="0" t="0"/>
            <wp:docPr descr="Gráfico, Gráfico de barras&#10;&#10;Descrição gerada automaticamente" id="1689796598" name="image8.png"/>
            <a:graphic>
              <a:graphicData uri="http://schemas.openxmlformats.org/drawingml/2006/picture">
                <pic:pic>
                  <pic:nvPicPr>
                    <pic:cNvPr descr="Gráfico, Gráfico de barras&#10;&#10;Descrição gerada automaticamente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284" cy="353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melhor sistematização das escutas da LPG, as perguntas e proposições feitas pelos participantes foram organizadas em temas. Posteriormente, esses temas foram encaixados em macrocategorias, a fim de compreender as demandas deles e auxiliar na formulação dos editais.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categorias estabelecidas dividem-se em: </w:t>
      </w:r>
    </w:p>
    <w:tbl>
      <w:tblPr>
        <w:tblStyle w:val="Table1"/>
        <w:tblW w:w="8926.0" w:type="dxa"/>
        <w:jc w:val="left"/>
        <w:tblLayout w:type="fixed"/>
        <w:tblLook w:val="0400"/>
      </w:tblPr>
      <w:tblGrid>
        <w:gridCol w:w="1540"/>
        <w:gridCol w:w="7386"/>
        <w:tblGridChange w:id="0">
          <w:tblGrid>
            <w:gridCol w:w="1540"/>
            <w:gridCol w:w="73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Macrocategoria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Descrição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Substantivas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intervenções sobre edital, museus e aquisições de bens e serviços.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Participação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aborda sobre inscrições, documentação, impedimentos, premiação, legislação, participação de menores e mapa cultural.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Operacionais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informações sobre as escutas de forma geral.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Gerenciamento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questões referentes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à cronograma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, simplificação, parecerista, divulgação de resultado, conselho, demandas municipais, treinamento, informações.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políticas afirmativas, cultura periférica, povos originários, auxílios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Financeiro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divisão orçamentária, prestação de contas, transparência/fiscalização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Operacionais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informações sobre as escutas de forma geral.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Gerenciamento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questões referentes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à cronograma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, simplificação, parecerista, divulgação de resultado, conselho, demandas municipais, treinamento, informações.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políticas afirmativas, cultura periférica, povos originários, auxílios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Financeiro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expõe sobre divisão orçamentária, prestação de contas, transparência/fiscalização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seguir, apresentamos o gráfico com as divisões de cada macrocategoria e seus quantitativos.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3721100"/>
            <wp:effectExtent b="0" l="0" r="0" t="0"/>
            <wp:docPr descr="Gráfico&#10;&#10;Descrição gerada automaticamente" id="1689796600" name="image7.png"/>
            <a:graphic>
              <a:graphicData uri="http://schemas.openxmlformats.org/drawingml/2006/picture">
                <pic:pic>
                  <pic:nvPicPr>
                    <pic:cNvPr descr="Gráfico&#10;&#10;Descrição gerada automaticamente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Ouvir Para Mudar Pernambuco 2023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Ouvir para Mudar foi uma iniciativa de escuta popular realizada pelo governo estadual para estabelecer os objetivos e as metas a serem seguidas dentro dos próximos quatro anos. Essa consulta pública contou com ambos os formatos, online e presencial, e versou sobre vários segmentos estratégicos.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Captamos todas as propostas relacionadas a cultura com a busca de palavras específicas referentes aos seguintes grupos: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Cultura: consulta mais geral com os termos cultura, arte, secult e fundarpe;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Equipamentos: lista dos tipos de equipamentos culturais;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Linguagens: lista das linguagens artístico-culturais.</w:t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geral, o governo do estado captou um total de 2948 contribuições distintas, sendo 1011 propostas e 1937 propostas de seminário. Dentre elas, identificamos 147 propostas que mencionam o setor cultural.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gráficos abaixo mostram: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quantitativo de propostas;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Propostas de seminário para o setor cultural;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quantitativo de propostas pelos grupos compostos pelas consultas das palavras supracitadas.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3796" cy="3066642"/>
            <wp:effectExtent b="0" l="0" r="0" t="0"/>
            <wp:docPr descr="Gráfico, Gráfico de barras&#10;&#10;Descrição gerada automaticamente" id="1689796599" name="image2.png"/>
            <a:graphic>
              <a:graphicData uri="http://schemas.openxmlformats.org/drawingml/2006/picture">
                <pic:pic>
                  <pic:nvPicPr>
                    <pic:cNvPr descr="Gráfico, Gráfico de barras&#10;&#10;Descrição gerada automa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796" cy="306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Propostas e Seminários possuem quantidade de contribuições equivalentes com 75 propostas e 72 ideias de seminário. Por outro lado, observamos 111 menções às palavras cultura, arte, secult e fundarpe, sendo 53 propostas e 58 ideias de seminário. Para os grupos de equipamentos (27) e linguagens (28), as propostas ocuparam a maior parte das contribuições.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nuvem de palavras abaixo mostra, de maneira simplificada, o conteúdo dessas propostas.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83928" cy="3081081"/>
            <wp:effectExtent b="0" l="0" r="0" t="0"/>
            <wp:docPr descr="Uma imagem contendo Texto&#10;&#10;Descrição gerada automaticamente" id="1689796602" name="image4.png"/>
            <a:graphic>
              <a:graphicData uri="http://schemas.openxmlformats.org/drawingml/2006/picture">
                <pic:pic>
                  <pic:nvPicPr>
                    <pic:cNvPr descr="Uma imagem contendo Texto&#10;&#10;Descrição gerada automaticamente" id="0" name="image4.png"/>
                    <pic:cNvPicPr preferRelativeResize="0"/>
                  </pic:nvPicPr>
                  <pic:blipFill>
                    <a:blip r:embed="rId10"/>
                    <a:srcRect b="7195" l="14433" r="14892" t="8315"/>
                    <a:stretch>
                      <a:fillRect/>
                    </a:stretch>
                  </pic:blipFill>
                  <pic:spPr>
                    <a:xfrm>
                      <a:off x="0" y="0"/>
                      <a:ext cx="3383928" cy="3081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palavra mais evidente é educação revelando essa intersecção interessante entre cultura e arte, educação e formação. Relacionada a ela, podemos ver a forte presença do termo escola mostrando uma demanda de levar a cultura para essa instituição. Interessante observar também a relação com os termos quadra e turismo, representando os esportes e o consumo de cultura através de atividades turísticas. As palavras criar e criação mostram uma demanda da classe por realizar e expor suas artes em espaços apropriados dentro dos seus municípios e comunidades.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Conferência Estadual de Cultura (CEC)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5ª Conferência Estadual de Cultura de Pernambuco ocorreu nos dias 24, 25 e 26 de novembro de 2023, em Gravatá, Agreste Pernambucano. Construída coletivamente por meio de encontros, escutas e participações que mobilizaram 353 trabalhadores e fazedores da cultura, sociedade civil, agentes culturais e gestores públicos de 80 municípios do estado de Pernambuco, que realizaram anteriormente suas Conferências Municipais, visando o debate sobre a política cultural do estado. As propostas da CEC foram subdivididas entre os objetivos expostos na tabela abaixo.</w:t>
      </w:r>
    </w:p>
    <w:tbl>
      <w:tblPr>
        <w:tblStyle w:val="Table2"/>
        <w:tblW w:w="11057.0" w:type="dxa"/>
        <w:jc w:val="left"/>
        <w:tblInd w:w="-1281.0" w:type="dxa"/>
        <w:tblLayout w:type="fixed"/>
        <w:tblLook w:val="0400"/>
      </w:tblPr>
      <w:tblGrid>
        <w:gridCol w:w="1276"/>
        <w:gridCol w:w="9781"/>
        <w:tblGridChange w:id="0">
          <w:tblGrid>
            <w:gridCol w:w="1276"/>
            <w:gridCol w:w="978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OBJ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FOMENTO, PRODUÇÃO E DIFUSÃO DE OBRAS DE CARÁTER ARTÍSTICO E CULTURAL, INCLUINDO A REMUNERAÇÃO DE DIREITOS AUTORAIS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REALIZAÇÃO DE PROJETOS, TAIS COMO EXPOSIÇÕES, FESTIVAIS, FESTAS POPULARES, FEIRAS E ESPETÁCULOS, NO PAÍS E NO EXTERIOR, INCLUSIVE A COBERTURA DE DESPESAS COM TRANSPORTE E SEGURO DE OBJETOS DE VALOR CULTURAL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CONCESSÃO DE PRÊMIOS MEDIANTE SELEÇÕES PÚBLICAS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INSTALAÇÃO E MANUTENÇÃO DE CURSOS PARA FORMAR, ESPECIALIZAR E PROFISSIONALIZAR AGENTES CULTURAIS PÚBLICOS E PRIVADOS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REALIZAÇÃO DE LEVANTAMENTOS, DE ESTUDOS, DE PESQUISAS E DE CURADORIAS NAS DIVERSAS ÁREAS DA CULTURA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REALIZAÇÃO DE INVENTÁRIOS E CONCESSÃO DE INCENTIVOS PARA AS MANIFESTAÇÕES CULTURAIS BRASILEIRAS QUE ESTEJAM EM RISCO DE EXTINÇÃO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CONCESSÃO DE BOLSAS DE ESTUDO, DE PESQUISA, DE CRIAÇÃO, DE TRABALHO E DE RESIDÊNCIA ARTÍSTICA, NO PAÍS OU NO EXTERIOR, A ARTISTAS, A PRODUTORES, A AUTORES, A GESTORES CULTURAIS, A PESQUISADORES E A TÉCNICOS BRASILEIROS OU ESTRANGEIROS RESIDENTES NO PAÍS OU VINCULADOS À CULTURA BRASILEIRA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AQUISIÇÃO DE BENS CULTURAIS E OBRAS DE ARTE PARA DISTRIBUIÇÃO PÚBLICA E OUTRAS FORMAS DE EXPRESSÃO ARTÍSTICA E DE INGRESSOS PARA EVENTOS ARTÍSTICOS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AQUISIÇÃO, PRESERVAÇÃO, ORGANIZAÇÃO, DIGITALIZAÇÃO E OUTRAS FORMAS DE PROMOÇÃO E DE DIFUSÃO DO PATRIMÔNIO CULTURAL, INCLUSIVE ACERVOS, ARQUIVOS, COLEÇÕES E AÇÕES DE EDUCAÇÃO PATRIMONIAL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CONSTRUÇÃO, FORMAÇÃO, ORGANIZAÇÃO, MANUTENÇÃO E AMPLIAÇÃO DE MUSEUS, DE BIBLIOTECAS, DE CENTROS CULTURAIS, DE CINEMATECAS, DE TEATROS, DE TERRITÓRIOS ARQUEOLÓGICOS E DE PAISAGENS CULTURAIS, ALÉM DE OUTROS EQUIPAMENTOS CULTURAIS E OBRAS ARTÍSTICAS EM ESPAÇO PÚBLICO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ELABORAÇÃO DE PLANOS ANUAIS E PLURIANUAIS DE INSTITUIÇÕES E GRUPOS CULTURAIS, INCLUINDO A DIGITALIZAÇÃO DE ACERVOS, DE ARQUIVOS E DE COLEÇÕES, BEM COMO A PRODUÇÃO DE CONTEÚDOS DIGITAIS, DE JOGOS ELETRÔNICOS E DE VIDEO-ARTE, E O FOMENTO À CULTURA DIGITAL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AQUISIÇÃO DE IMÓVEIS TOMBADOS COM A ESTRITA FINALIDADE DE INSTALAÇÃO DE EQUIPAMENTOS CULTURAIS DE ACESSO PÚBLICO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MANUTENÇÃO DE GRUPOS, DE COMPANHIAS, DE ORQUESTRAS E DE CORPOS ARTÍSTICOS ESTÁVEIS, INCLUSIVE PROCESSOS DE PRODUÇÃO E PESQUISA CONTINUADA DE LINGUAGENS ARTÍSTICAS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PROTEÇÃO E PRESERVAÇÃO DO PATRIMÔNIO CULTURAL IMATERIAL, TAMBÉM OS BENS REGISTRADOS E SALVAGUARDADOS E AS DEMAIS EXPRESSÕES E MODOS DE VIDA DE POVOS E COMUNIDADES TRADICIONAIS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REALIZAÇÃO DE INTERC MBIO CULTURAL, NACIONAL OU INTERNACIONAL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AÇÕES, PROJETOS, POLÍTICAS E PROGRAMAS PÚBLICOS DE CULTURA PREVISTOS NOS PLANOS DE CULTURA DOS ESTADOS, DO DISTRITO FEDERAL E DOS MUNICÍPIOS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SERVIÇO EDUCATIVO DE MUSEUS, DE CENTROS CULTURAIS, DE TEATROS, DE CINEMAS E DE BIBLIOTECAS, ATÉ MESMO FORMAÇÃO DE PÚBLICO NA EDUCAÇÃO BÁSICA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OBJETIVO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APOIO A PROJETOS CULTURAIS CONSIDERADOS RELEVANTES EM SUA DIMENSÃO CULTURAL E COM PREDOMINANTE INTERESSE PÚBLICO, CONFORME CRITÉRIOS DE AVALIAÇÃO ESTABELECIDOS PELAS AUTORIDADES COMPETENTES DOS ESTADOS, DOS MUNICÍPIOS E DO DISTRITO FEDERAL</w:t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categorizadas 186 propostas oriundas das escutas realizadas na conferência. Essas propostas foram alocadas dentre os 18 objetivos expostos acima e obtivemos a seguinte distribuição.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3850005"/>
            <wp:effectExtent b="0" l="0" r="0" t="0"/>
            <wp:docPr descr="Gráfico, Gráfico de dispersão&#10;&#10;Descrição gerada automaticamente" id="1689796601" name="image5.png"/>
            <a:graphic>
              <a:graphicData uri="http://schemas.openxmlformats.org/drawingml/2006/picture">
                <pic:pic>
                  <pic:nvPicPr>
                    <pic:cNvPr descr="Gráfico, Gráfico de dispersão&#10;&#10;Descrição gerada automaticament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Observa-se que o Objetivo 4, referente ao Fomento, Produção e Difusão foi o que obteve mais contribuições com 27 propostas.  Por sua vez, o Objetivo 16 ocupou a segunda posição e o Objetivo 2 na terceira posição com 22 e 23 recomendações vindas da sociedade civil, respectivamente.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análoga, as discussões estavam alinhadas com os seguintes eixos: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Eixo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Institucionalização, Marcos Legais e Sistema Nacional de Cultura;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Eixo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Democratização do Acesso à Cultura e Participação Social;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Eixo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Identidade, Patrimônio e Memória;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Eixo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Diversidade Cultural e Transversalidade de Gênero, Raça e Acessibilidade na Política Cultural;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Eixo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Economia Criativa, Trabalho, Renda e Sustentabilidade;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Eixo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Direito às Artes e às Linguagens Digitais.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eixos e as propostas se distribuíram da seguinte maneira: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4746625"/>
            <wp:effectExtent b="0" l="0" r="0" t="0"/>
            <wp:docPr descr="Gráfico, Gráfico de barras&#10;&#10;Descrição gerada automaticamente" id="1689796604" name="image1.png"/>
            <a:graphic>
              <a:graphicData uri="http://schemas.openxmlformats.org/drawingml/2006/picture">
                <pic:pic>
                  <pic:nvPicPr>
                    <pic:cNvPr descr="Gráfico, Gráfico de barras&#10;&#10;Descrição gerada automaticament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Eixo III – Identidade, Patrimônio e Memória – obteve destaque com 46 propostas voltadas a ele. O Eixo I também contou com mais de 40 contribuições, agrupando 22,04% delas. A distribuição segue com o Eixo VI (30), Eixo II (29), Eixo IV (22) e, por último, o Eixo V (18).</w:t>
      </w:r>
    </w:p>
    <w:p w:rsidR="00000000" w:rsidDel="00000000" w:rsidP="00000000" w:rsidRDefault="00000000" w:rsidRPr="00000000" w14:paraId="0000007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Eixo foi categorizado dentro de cada Objetivo e o mapa composicional abaixo mostra como cada Eixo compõe cada Objetivo. Quanto maior a área de cada quadrado, maior a contribuição do Eixo para a categoria. Podemos, rapidamente, identificar que o Objetivo 4 (aquele com mais contribuições) está composto majoritariamente por questões relativas ao Eixo VI, seguido de propostas relativas do Eixo I e II e assim por diante.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3964305"/>
            <wp:effectExtent b="0" l="0" r="0" t="0"/>
            <wp:docPr descr="Gráfico, Gráfico de mapa de árvore&#10;&#10;Descrição gerada automaticamente" id="1689796603" name="image6.png"/>
            <a:graphic>
              <a:graphicData uri="http://schemas.openxmlformats.org/drawingml/2006/picture">
                <pic:pic>
                  <pic:nvPicPr>
                    <pic:cNvPr descr="Gráfico, Gráfico de mapa de árvore&#10;&#10;Descrição gerada automaticament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breve diagnóstico mostra que o governo de PE, por diversos meios, escutou questionamentos, propostas e anseios da sociedade civil. Além dessas iniciativas descritas acima, a secretaria conduziu uma série de escutas voltadas para entender o que a população espera do Programa Nacional Aldir Blanc. Com isso, espera-se que a gestão se aproxime cada vez mais da ponta, os fazedores de cultura, para otimizar e englobar cada vez mais a distribuição de recursos públicos para a cultura do estado.</w:t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8490.0" w:type="dxa"/>
      <w:jc w:val="center"/>
      <w:tblLayout w:type="fixed"/>
      <w:tblLook w:val="0600"/>
    </w:tblPr>
    <w:tblGrid>
      <w:gridCol w:w="5610"/>
      <w:gridCol w:w="1815"/>
      <w:gridCol w:w="1065"/>
      <w:tblGridChange w:id="0">
        <w:tblGrid>
          <w:gridCol w:w="5610"/>
          <w:gridCol w:w="1815"/>
          <w:gridCol w:w="106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1004671</wp:posOffset>
          </wp:positionH>
          <wp:positionV relativeFrom="paragraph">
            <wp:posOffset>-563574</wp:posOffset>
          </wp:positionV>
          <wp:extent cx="3424555" cy="672465"/>
          <wp:effectExtent b="0" l="0" r="0" t="0"/>
          <wp:wrapSquare wrapText="bothSides" distB="0" distT="0" distL="114300" distR="114300"/>
          <wp:docPr id="168979660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17454" l="0" r="0" t="27513"/>
                  <a:stretch>
                    <a:fillRect/>
                  </a:stretch>
                </pic:blipFill>
                <pic:spPr>
                  <a:xfrm>
                    <a:off x="0" y="0"/>
                    <a:ext cx="3424555" cy="672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025D2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025D2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025D2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025D2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025D2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025D2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025D2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025D2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025D2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025D2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025D2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025D2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025D2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025D2C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025D2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025D2C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025D2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025D2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025D2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25D2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25D2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25D2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025D2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025D2C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025D2C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025D2C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025D2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25D2C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025D2C"/>
    <w:rPr>
      <w:b w:val="1"/>
      <w:bCs w:val="1"/>
      <w:smallCaps w:val="1"/>
      <w:color w:val="0f4761" w:themeColor="accent1" w:themeShade="0000BF"/>
      <w:spacing w:val="5"/>
    </w:rPr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1796A"/>
  </w:style>
  <w:style w:type="paragraph" w:styleId="Rodap">
    <w:name w:val="footer"/>
    <w:basedOn w:val="Normal"/>
    <w:link w:val="Rodap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1796A"/>
  </w:style>
  <w:style w:type="table" w:styleId="Tabelacomgrade">
    <w:name w:val="Table Grid"/>
    <w:basedOn w:val="Tabelanormal"/>
    <w:uiPriority w:val="59"/>
    <w:rsid w:val="0011796A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RYgAd68kOb8YR0uCw2fE29xGrA==">CgMxLjA4AHIhMW5rNjZ6SWVvOTBicmVwQ1pER0ROZkVDZk5xUld5WVF3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2024-03-26T16:55:00Z</dcterms:created>
  <dc:creator>Caio Brandão</dc:creator>
</cp:coreProperties>
</file>