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Table 3: Performance of the tested models to classify cases where the etiological agent was confirmed as "COVID-19" or "Other confirmed agents"</w:t>
      </w:r>
    </w:p>
    <w:tbl>
      <w:tblPr>
        <w:tblStyle w:val="Table1"/>
        <w:tblW w:w="5910.0" w:type="dxa"/>
        <w:jc w:val="left"/>
        <w:tblLayout w:type="fixed"/>
        <w:tblLook w:val="0600"/>
      </w:tblPr>
      <w:tblGrid>
        <w:gridCol w:w="1965"/>
        <w:gridCol w:w="780"/>
        <w:gridCol w:w="945"/>
        <w:gridCol w:w="1005"/>
        <w:gridCol w:w="630"/>
        <w:gridCol w:w="585"/>
        <w:tblGridChange w:id="0">
          <w:tblGrid>
            <w:gridCol w:w="1965"/>
            <w:gridCol w:w="780"/>
            <w:gridCol w:w="945"/>
            <w:gridCol w:w="1005"/>
            <w:gridCol w:w="630"/>
            <w:gridCol w:w="5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Sensitivity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Specificity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PPV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NPV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97·42%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99·58%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78·70%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97·59%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95·61%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Linear Discriminant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94·39%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98·75%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56·68%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95·17%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83·96%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Quadratic Discriminant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75·20%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74·42%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81·95%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97·27%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27·04%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Classification Trees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99·27%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80·32%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97·76%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92·71%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Bagging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97·19%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99·27%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79·24%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97·64%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92·62%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97·36%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99·69%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77·26%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97·43%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96·61%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K-nearest Neighbors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95·13%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99·48%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57·58%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95·30%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92·73%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96·61%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99·33%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73·10%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96·96%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92·68%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Lasso 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96·54%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99·31%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72·56%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96·90%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92·41%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RBF SVM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96·87%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77·62%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97·45%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90·91%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Linear SVM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96·37%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99·69%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67·69%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96·39%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96·15%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Polynomial SVM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99·69%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67·51%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96·37%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96·14%</w:t>
            </w:r>
          </w:p>
        </w:tc>
      </w:tr>
    </w:tbl>
    <w:p w:rsidR="00000000" w:rsidDel="00000000" w:rsidP="00000000" w:rsidRDefault="00000000" w:rsidRPr="00000000" w14:paraId="00000050">
      <w:pPr>
        <w:spacing w:after="120" w:lineRule="auto"/>
        <w:jc w:val="both"/>
        <w:rPr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 RBF: Radial Basis Function; SVM: Support Vector Machine; </w:t>
      </w:r>
      <w:r w:rsidDel="00000000" w:rsidR="00000000" w:rsidRPr="00000000">
        <w:rPr>
          <w:sz w:val="12"/>
          <w:szCs w:val="12"/>
          <w:rtl w:val="0"/>
        </w:rPr>
        <w:t xml:space="preserve">PPV: positive predictive value; NPV: negative predictive value.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