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9E11DC" w14:textId="77777777" w:rsidR="001970D6" w:rsidRDefault="00000000">
      <w:pPr>
        <w:jc w:val="center"/>
      </w:pPr>
      <w:r>
        <w:rPr>
          <w:b/>
          <w:bCs/>
        </w:rPr>
        <w:t>FACULTAD LATINOAMERICANA DE CIENCIAS SOCIALES</w:t>
      </w:r>
    </w:p>
    <w:p w14:paraId="431FFC37" w14:textId="77777777" w:rsidR="001970D6" w:rsidRDefault="00000000">
      <w:pPr>
        <w:jc w:val="center"/>
      </w:pPr>
      <w:r>
        <w:rPr>
          <w:b/>
          <w:bCs/>
        </w:rPr>
        <w:t>FLACSO ECUADOR</w:t>
      </w:r>
    </w:p>
    <w:p w14:paraId="3D1B94E9" w14:textId="77777777" w:rsidR="001970D6" w:rsidRDefault="001970D6">
      <w:pPr>
        <w:pBdr>
          <w:bottom w:val="single" w:sz="6" w:space="1" w:color="2E75B6"/>
        </w:pBdr>
      </w:pPr>
    </w:p>
    <w:p w14:paraId="05A2CD49" w14:textId="77777777" w:rsidR="00D95A88" w:rsidRDefault="00D95A88">
      <w:pPr>
        <w:spacing w:after="160"/>
      </w:pPr>
    </w:p>
    <w:p w14:paraId="1F5C96B8" w14:textId="04A5F914" w:rsidR="001970D6" w:rsidRDefault="00D95A88" w:rsidP="00D95A88">
      <w:pPr>
        <w:spacing w:before="200" w:after="100"/>
      </w:pPr>
      <w:r w:rsidRPr="00D95A88">
        <w:t>En el marco de la investigación</w:t>
      </w:r>
      <w:r w:rsidR="00000000" w:rsidRPr="00D95A88">
        <w:t xml:space="preserve"> </w:t>
      </w:r>
      <w:r w:rsidRPr="00D95A88">
        <w:t>“</w:t>
      </w:r>
      <w:r w:rsidR="00000000" w:rsidRPr="00D95A88">
        <w:t>Desigualdad de ingresos, patrimonio y movilidad económica en Ecuador: una aproximación desde los registros tributarios del SR</w:t>
      </w:r>
      <w:r w:rsidRPr="00D95A88">
        <w:t xml:space="preserve">I”, queremos realizar dos ampliaciones: (1) </w:t>
      </w:r>
      <w:r w:rsidRPr="00D95A88">
        <w:t>Cruce con el Registro Civil para la incorporación de controles sociodemográficos</w:t>
      </w:r>
      <w:r>
        <w:t xml:space="preserve"> y (2) </w:t>
      </w:r>
      <w:r w:rsidRPr="00D95A88">
        <w:t>Identificación de unidades familiares para el análisis de movilidad económica del hogar</w:t>
      </w:r>
      <w:r>
        <w:t>.</w:t>
      </w:r>
    </w:p>
    <w:p w14:paraId="3E0EC2F9" w14:textId="293DF880" w:rsidR="001970D6" w:rsidRDefault="00D95A88">
      <w:pPr>
        <w:spacing w:after="160"/>
      </w:pPr>
      <w:r>
        <w:t xml:space="preserve">Para poder implementarlas, nos sería de gran utilidad </w:t>
      </w:r>
      <w:r w:rsidR="00000000">
        <w:t>la designación de un/a investigador/a o técnico/a del SRI que se encargue del procesamiento de dos extensiones analíticas cuya ejecución requiere el acceso directo a los registros de la institución. A continuación se describen el alcance y las tareas concretas que cada extensión involucra.</w:t>
      </w:r>
    </w:p>
    <w:p w14:paraId="575A91CA" w14:textId="77777777" w:rsidR="001970D6" w:rsidRDefault="00000000">
      <w:pPr>
        <w:spacing w:before="200" w:after="100"/>
      </w:pPr>
      <w:r>
        <w:rPr>
          <w:b/>
          <w:bCs/>
        </w:rPr>
        <w:t>1.  Cruce con el Registro Civil para la incorporación de controles sociodemográficos</w:t>
      </w:r>
    </w:p>
    <w:p w14:paraId="4897C939" w14:textId="77777777" w:rsidR="001970D6" w:rsidRDefault="00000000">
      <w:pPr>
        <w:spacing w:after="140"/>
      </w:pPr>
      <w:r>
        <w:t>Esta extensión consiste en el enlace de los registros tributarios (F102 y F107) con la base de datos del Registro Civil, Identificación y Cedulación, con el objeto de añadir a cada declarante las siguientes variables: (i) edad al momento de cada declaración; (ii) sexo; (iii) etnia, conforme a la autoidentificación registrada en la cédula de ciudadanía; y (iv) nivel de instrucción más alto alcanzado. La incorporación de estos controles permitirá desagregar los indicadores de concentración del ingreso y de movilidad económica por grupos de población históricamente subrepresentados en la medición tributaria, generando evidencia directamente pertinente para políticas de equidad.</w:t>
      </w:r>
    </w:p>
    <w:p w14:paraId="020F7D8E" w14:textId="77777777" w:rsidR="001970D6" w:rsidRDefault="00000000">
      <w:pPr>
        <w:spacing w:after="80"/>
      </w:pPr>
      <w:r>
        <w:rPr>
          <w:b/>
          <w:bCs/>
        </w:rPr>
        <w:t>El procesamiento a cargo del investigador del SRI comprendería las siguientes tareas:</w:t>
      </w:r>
    </w:p>
    <w:p w14:paraId="27506F01" w14:textId="77777777" w:rsidR="001970D6" w:rsidRDefault="00000000">
      <w:pPr>
        <w:pStyle w:val="Prrafodelista"/>
        <w:numPr>
          <w:ilvl w:val="0"/>
          <w:numId w:val="2"/>
        </w:numPr>
        <w:spacing w:after="80"/>
      </w:pPr>
      <w:r>
        <w:t>Realizar el cruce entre los formularios F102 y F107 y la base del Registro Civil mediante el identificador único de cada declarante, incorporando las cuatro variables sociodemográficas al panel tributario para cada año del período 2010-2024.</w:t>
      </w:r>
    </w:p>
    <w:p w14:paraId="53BF389B" w14:textId="77777777" w:rsidR="001970D6" w:rsidRDefault="00000000">
      <w:pPr>
        <w:pStyle w:val="Prrafodelista"/>
        <w:numPr>
          <w:ilvl w:val="0"/>
          <w:numId w:val="2"/>
        </w:numPr>
        <w:spacing w:after="80"/>
      </w:pPr>
      <w:r>
        <w:t>Calcular, sobre la muestra enlazada, los indicadores de concentración del ingreso (coeficiente de Gini, índice de Palma, top income shares al 10 %, 1 %, 0,1 % y 0,01 %) y los indicadores de movilidad económica (matrices de transición decílica, índice de Shorrocks, coeficiente rank-rank) desagregados por sexo, grupo de edad, etnia y nivel educativo, reportando series anuales para todo el período.</w:t>
      </w:r>
    </w:p>
    <w:p w14:paraId="69EB6879" w14:textId="77777777" w:rsidR="001970D6" w:rsidRDefault="00000000">
      <w:pPr>
        <w:pStyle w:val="Prrafodelista"/>
        <w:numPr>
          <w:ilvl w:val="0"/>
          <w:numId w:val="2"/>
        </w:numPr>
        <w:spacing w:after="80"/>
      </w:pPr>
      <w:r>
        <w:t>Estimar regresiones que midan el impacto de los ciclos económicos sobre la movilidad económica incorporando las variables sociodemográficas como controles. Para cada par de años (t0, t1), se estimaría el coeficiente de la regresión rank-rank y se examinaría su sensibilidad a las fases del ciclo (expansión, contracción, recuperación), controlando por sexo, edad, etnia y nivel de instrucción, con el fin de identificar qué grupos son más vulnerables a la pérdida de posición relativa en períodos de recesión y cuáles se benefician de manera desproporcionada en las fases de crecimiento.</w:t>
      </w:r>
    </w:p>
    <w:p w14:paraId="0713E5D1" w14:textId="77777777" w:rsidR="001970D6" w:rsidRDefault="00000000">
      <w:pPr>
        <w:spacing w:before="240" w:after="100"/>
      </w:pPr>
      <w:r>
        <w:rPr>
          <w:b/>
          <w:bCs/>
        </w:rPr>
        <w:t>2.  Identificación de unidades familiares para el análisis de movilidad económica del hogar</w:t>
      </w:r>
    </w:p>
    <w:p w14:paraId="21644012" w14:textId="77777777" w:rsidR="001970D6" w:rsidRDefault="00000000">
      <w:pPr>
        <w:spacing w:after="140"/>
      </w:pPr>
      <w:r>
        <w:t xml:space="preserve">Esta extensión consiste en la reconstrucción de vínculos familiares a partir de los registros del Registro Civil —específicamente las relaciones de parentesco (cónyuge, hijos, padres) que figuran en las actas de estado civil— con el fin de identificar hogares fiscales y seguir su trayectoria económica a lo largo del período 2010-2024. El análisis </w:t>
      </w:r>
      <w:r>
        <w:lastRenderedPageBreak/>
        <w:t xml:space="preserve">permitirá transitar desde la medición de la movilidad económica </w:t>
      </w:r>
      <w:r>
        <w:rPr>
          <w:i/>
          <w:iCs/>
        </w:rPr>
        <w:t>individual</w:t>
      </w:r>
      <w:r>
        <w:t xml:space="preserve"> hacia la medición de la movilidad </w:t>
      </w:r>
      <w:r>
        <w:rPr>
          <w:i/>
          <w:iCs/>
        </w:rPr>
        <w:t>familiar</w:t>
      </w:r>
      <w:r>
        <w:t>, un avance metodológico relevante porque la unidad de bienestar económico es el hogar y no el individuo aislado.</w:t>
      </w:r>
    </w:p>
    <w:p w14:paraId="1DFAAE69" w14:textId="77777777" w:rsidR="001970D6" w:rsidRDefault="00000000">
      <w:pPr>
        <w:spacing w:after="80"/>
      </w:pPr>
      <w:r>
        <w:rPr>
          <w:b/>
          <w:bCs/>
        </w:rPr>
        <w:t>El procesamiento a cargo del investigador del SRI comprendería las siguientes tareas:</w:t>
      </w:r>
    </w:p>
    <w:p w14:paraId="3501AAA4" w14:textId="77777777" w:rsidR="001970D6" w:rsidRDefault="00000000">
      <w:pPr>
        <w:pStyle w:val="Prrafodelista"/>
        <w:numPr>
          <w:ilvl w:val="0"/>
          <w:numId w:val="2"/>
        </w:numPr>
        <w:spacing w:after="80"/>
      </w:pPr>
      <w:r>
        <w:t>Construir un identificador único de hogar fiscal asignando a cada conjunto de declarantes vinculados por parentesco un código común, con un algoritmo que maneje los casos complejos: cambios de estado civil, hijos mayores de edad que pasan a declarar de forma independiente y declarantes que integran más de un núcleo familiar a lo largo del período. El ingreso del hogar se definiría como la suma de los ingresos de todos los miembros declarantes del núcleo en cada año.</w:t>
      </w:r>
    </w:p>
    <w:p w14:paraId="1BFC2DC5" w14:textId="77777777" w:rsidR="001970D6" w:rsidRDefault="00000000">
      <w:pPr>
        <w:pStyle w:val="Prrafodelista"/>
        <w:numPr>
          <w:ilvl w:val="0"/>
          <w:numId w:val="2"/>
        </w:numPr>
        <w:spacing w:after="80"/>
      </w:pPr>
      <w:r>
        <w:t>Construir, para cada par de años (t0, t1) del período 2010-2024, un panel balanceado de hogares fiscales que enlace el ingreso agregado del hogar en t0 con el correspondiente en t1, e incluya tablas de attrition que documenten los hogares observados en t0, en t1 y en ambos momentos, con las causas de pérdida (disolución del hogar, fallecimiento del declarante principal, u otros).</w:t>
      </w:r>
    </w:p>
    <w:p w14:paraId="3474B064" w14:textId="77777777" w:rsidR="001970D6" w:rsidRDefault="00000000">
      <w:pPr>
        <w:pStyle w:val="Prrafodelista"/>
        <w:numPr>
          <w:ilvl w:val="0"/>
          <w:numId w:val="2"/>
        </w:numPr>
        <w:spacing w:after="80"/>
      </w:pPr>
      <w:r>
        <w:t>Replicar, tomando el hogar como unidad de análisis, los mismos cálculos descritos en la extensión anterior: indicadores de concentración y movilidad desagregados por las características sociodemográficas del hogar (definidas a partir del declarante principal o de la composición del núcleo), y regresiones rank-rank que examinen el impacto de los ciclos económicos sobre la movilidad del hogar controlando por dichas características. Los resultados se contrastarán con los obtenidos en el panel individual para cuantificar el valor añadido del enfoque familiar.</w:t>
      </w:r>
    </w:p>
    <w:p w14:paraId="7B9FAD4A" w14:textId="77777777" w:rsidR="001970D6" w:rsidRDefault="001970D6"/>
    <w:p w14:paraId="2596AF20" w14:textId="5323A6F1" w:rsidR="001970D6" w:rsidRDefault="000B7FDE">
      <w:r>
        <w:t xml:space="preserve">En reconocimiento del esfuerzo y aporte intelectual que esto implica, estaríamos gustosos de incluir a las personas involucradas del SRI como coautores de nuestra investigación.  </w:t>
      </w:r>
    </w:p>
    <w:p w14:paraId="20C9164D" w14:textId="77777777" w:rsidR="001970D6" w:rsidRDefault="001970D6"/>
    <w:p w14:paraId="5D6939E0" w14:textId="77777777" w:rsidR="001970D6" w:rsidRDefault="001970D6"/>
    <w:p w14:paraId="19AB7D92" w14:textId="0E4F0733" w:rsidR="001970D6" w:rsidRDefault="001970D6">
      <w:pPr>
        <w:jc w:val="center"/>
      </w:pPr>
    </w:p>
    <w:sectPr w:rsidR="001970D6">
      <w:pgSz w:w="11906" w:h="16838"/>
      <w:pgMar w:top="1440" w:right="1440" w:bottom="144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1814C9"/>
    <w:multiLevelType w:val="hybridMultilevel"/>
    <w:tmpl w:val="20326E50"/>
    <w:lvl w:ilvl="0" w:tplc="540244A2">
      <w:start w:val="1"/>
      <w:numFmt w:val="bullet"/>
      <w:lvlText w:val="•"/>
      <w:lvlJc w:val="left"/>
      <w:pPr>
        <w:ind w:left="720" w:hanging="360"/>
      </w:pPr>
    </w:lvl>
    <w:lvl w:ilvl="1" w:tplc="6012F50C">
      <w:numFmt w:val="decimal"/>
      <w:lvlText w:val=""/>
      <w:lvlJc w:val="left"/>
    </w:lvl>
    <w:lvl w:ilvl="2" w:tplc="80F8484E">
      <w:numFmt w:val="decimal"/>
      <w:lvlText w:val=""/>
      <w:lvlJc w:val="left"/>
    </w:lvl>
    <w:lvl w:ilvl="3" w:tplc="2D9C402C">
      <w:numFmt w:val="decimal"/>
      <w:lvlText w:val=""/>
      <w:lvlJc w:val="left"/>
    </w:lvl>
    <w:lvl w:ilvl="4" w:tplc="31366F7A">
      <w:numFmt w:val="decimal"/>
      <w:lvlText w:val=""/>
      <w:lvlJc w:val="left"/>
    </w:lvl>
    <w:lvl w:ilvl="5" w:tplc="0B700FC8">
      <w:numFmt w:val="decimal"/>
      <w:lvlText w:val=""/>
      <w:lvlJc w:val="left"/>
    </w:lvl>
    <w:lvl w:ilvl="6" w:tplc="E2568EDA">
      <w:numFmt w:val="decimal"/>
      <w:lvlText w:val=""/>
      <w:lvlJc w:val="left"/>
    </w:lvl>
    <w:lvl w:ilvl="7" w:tplc="CBD64A38">
      <w:numFmt w:val="decimal"/>
      <w:lvlText w:val=""/>
      <w:lvlJc w:val="left"/>
    </w:lvl>
    <w:lvl w:ilvl="8" w:tplc="97701E9A">
      <w:numFmt w:val="decimal"/>
      <w:lvlText w:val=""/>
      <w:lvlJc w:val="left"/>
    </w:lvl>
  </w:abstractNum>
  <w:abstractNum w:abstractNumId="1" w15:restartNumberingAfterBreak="0">
    <w:nsid w:val="6A5C1652"/>
    <w:multiLevelType w:val="hybridMultilevel"/>
    <w:tmpl w:val="0E925D96"/>
    <w:lvl w:ilvl="0" w:tplc="9EEE935A">
      <w:start w:val="1"/>
      <w:numFmt w:val="bullet"/>
      <w:lvlText w:val="●"/>
      <w:lvlJc w:val="left"/>
      <w:pPr>
        <w:ind w:left="720" w:hanging="360"/>
      </w:pPr>
    </w:lvl>
    <w:lvl w:ilvl="1" w:tplc="481E0DF0">
      <w:start w:val="1"/>
      <w:numFmt w:val="bullet"/>
      <w:lvlText w:val="○"/>
      <w:lvlJc w:val="left"/>
      <w:pPr>
        <w:ind w:left="1440" w:hanging="360"/>
      </w:pPr>
    </w:lvl>
    <w:lvl w:ilvl="2" w:tplc="ECDC59AA">
      <w:start w:val="1"/>
      <w:numFmt w:val="bullet"/>
      <w:lvlText w:val="■"/>
      <w:lvlJc w:val="left"/>
      <w:pPr>
        <w:ind w:left="2160" w:hanging="360"/>
      </w:pPr>
    </w:lvl>
    <w:lvl w:ilvl="3" w:tplc="67C46340">
      <w:start w:val="1"/>
      <w:numFmt w:val="bullet"/>
      <w:lvlText w:val="●"/>
      <w:lvlJc w:val="left"/>
      <w:pPr>
        <w:ind w:left="2880" w:hanging="360"/>
      </w:pPr>
    </w:lvl>
    <w:lvl w:ilvl="4" w:tplc="00AC2E78">
      <w:start w:val="1"/>
      <w:numFmt w:val="bullet"/>
      <w:lvlText w:val="○"/>
      <w:lvlJc w:val="left"/>
      <w:pPr>
        <w:ind w:left="3600" w:hanging="360"/>
      </w:pPr>
    </w:lvl>
    <w:lvl w:ilvl="5" w:tplc="0114B3DE">
      <w:start w:val="1"/>
      <w:numFmt w:val="bullet"/>
      <w:lvlText w:val="■"/>
      <w:lvlJc w:val="left"/>
      <w:pPr>
        <w:ind w:left="4320" w:hanging="360"/>
      </w:pPr>
    </w:lvl>
    <w:lvl w:ilvl="6" w:tplc="DA78D356">
      <w:start w:val="1"/>
      <w:numFmt w:val="bullet"/>
      <w:lvlText w:val="●"/>
      <w:lvlJc w:val="left"/>
      <w:pPr>
        <w:ind w:left="5040" w:hanging="360"/>
      </w:pPr>
    </w:lvl>
    <w:lvl w:ilvl="7" w:tplc="3EE67080">
      <w:start w:val="1"/>
      <w:numFmt w:val="bullet"/>
      <w:lvlText w:val="●"/>
      <w:lvlJc w:val="left"/>
      <w:pPr>
        <w:ind w:left="5760" w:hanging="360"/>
      </w:pPr>
    </w:lvl>
    <w:lvl w:ilvl="8" w:tplc="55807D52">
      <w:start w:val="1"/>
      <w:numFmt w:val="bullet"/>
      <w:lvlText w:val="●"/>
      <w:lvlJc w:val="left"/>
      <w:pPr>
        <w:ind w:left="6480" w:hanging="360"/>
      </w:pPr>
    </w:lvl>
  </w:abstractNum>
  <w:num w:numId="1" w16cid:durableId="1909262146">
    <w:abstractNumId w:val="1"/>
    <w:lvlOverride w:ilvl="0">
      <w:startOverride w:val="1"/>
    </w:lvlOverride>
  </w:num>
  <w:num w:numId="2" w16cid:durableId="1271548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D6"/>
    <w:rsid w:val="000B7FDE"/>
    <w:rsid w:val="001970D6"/>
    <w:rsid w:val="00831360"/>
    <w:rsid w:val="00D95A88"/>
    <w:rsid w:val="00FF0DC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0B504564"/>
  <w15:docId w15:val="{24CFF03B-6A5C-E54A-91E6-B155DA1C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804</Words>
  <Characters>4424</Characters>
  <Application>Microsoft Office Word</Application>
  <DocSecurity>0</DocSecurity>
  <Lines>36</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(Estudiante) Santiago Andres Valdivieso Puertas</cp:lastModifiedBy>
  <cp:revision>3</cp:revision>
  <dcterms:created xsi:type="dcterms:W3CDTF">2026-05-15T23:32:00Z</dcterms:created>
  <dcterms:modified xsi:type="dcterms:W3CDTF">2026-05-15T23:33:00Z</dcterms:modified>
</cp:coreProperties>
</file>