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6FEB"/>
          <w:sz w:val="52"/>
          <w:szCs w:val="52"/>
        </w:rPr>
        <w:t xml:space="preserve">ObserveCo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Go-to-Market &amp; Brand Roadmap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7606A"/>
          <w:sz w:val="22"/>
          <w:szCs w:val="22"/>
        </w:rPr>
        <w:t xml:space="preserve">Winning a wedge in the AI agent observability market</w:t>
      </w:r>
    </w:p>
    <w:p>
      <w:pPr>
        <w:pBdr>
          <w:bottom w:val="single" w:color="1F6FEB" w:sz="12" w:space="6"/>
        </w:pBdr>
        <w:spacing w:after="24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1F6FEB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The Strategic Premise (Read This First)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starting assumption — that AI observability isn’t an area many care about — is wrong, and correcting it changes the entire strategy. Agent observability is one of the hottest infrastructure categories in AI today. The LLM observability market is roughly $2.69B in 2026 and is projected to reach $9.26B by 2030 at a ~36% CAGR. Around 73% of enterprises require AI agent monitoring in production, yet ~63% cite a lack of adequate tooling as a major barrier. Demand is not the problem.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real problem is the opposite: the category is deafeningly loud and dominated by funded incumbents — MLflow, LangSmith, Langfuse, Arize/Phoenix, Helicone, TrueFoundry, Confident AI, AgentOps, Latitude, Datadog, New Relic. Most search real estate is owned by vendor-written “Top 10” listicles where each vendor crowns itself #1.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 the job is not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awareness of the category. It is to win a sharp wedge inside an existing, surging demand pool — as a local-first, open-source underdog with no ad budget.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Phase 0 — Fix the Foundation (Weeks 1–3)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You cannot market your way out of weak positioning. ObserveCo’s edge is real but unspoken: local-first, MIT-licensed, macOS-native, privacy-preserving, and auto-detect-and-fix rather than a passive dashboard — exactly the things incumbents can’t claim. Langfuse is open source but self-hosting it means running 5+ services (ClickHouse, PostgreSQL, Redis). Most of the field is SaaS-only or cloud-tethered. Helicone went into maintenance mode after its 2026 acquisition, leaving a gap for a lightweight, no-dependency tool.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6FEB"/>
          <w:sz w:val="23"/>
          <w:szCs w:val="23"/>
        </w:rPr>
        <w:t xml:space="preserve">The wedge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“Agent observability that runs entirely on your machine. No SaaS, no data leaving your laptop, MIT-licensed, working in 30 seconds.”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enemy you name is shipping your agent’s traces to someone else’s cloud. Privacy-and-ownership is a wedge the funded SaaS players structurally cannot copy.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6FEB"/>
          <w:sz w:val="23"/>
          <w:szCs w:val="23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Kill the agentscope CLI name — it collides with Alibaba’s active PyPI package and quietly strangles discoverability and the pip-install story.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Write a one-page positioning doc: wedge, enemy, ICP, and the single sentence. Every post, README, and reply traces back to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Pick a narrow beachhead ICP: AI engineers building agents on Mac who are privacy- or compliance-constrained, plus solo builders who won’t pay a SaaS to watch their own agents.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Phase 1 — Earn the First 1,000 True Believers (Weeks 2–8)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a dev tool, distribution is the product surface. The asset that spreads is GitHub, not a brand account.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6FEB"/>
          <w:sz w:val="23"/>
          <w:szCs w:val="23"/>
        </w:rPr>
        <w:t xml:space="preserve">Make the repo the hero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killer README with a 15-second GIF of the auto-detect-and-fix moment, one-command install, and a sharp “why this exists” section does more than any campaign. The viral object in dev tooling is the “holy shit, it just found my agent’s silent failure” demo — record that, because the visceral before/after is what gets reposted.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6FEB"/>
          <w:sz w:val="23"/>
          <w:szCs w:val="23"/>
        </w:rPr>
        <w:t xml:space="preserve">Run the founder-voice, build-in-public play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Don’t post announcements; post the narrative. The threads that travel are contrarian and specific — e.g. “We send our AI agents’ entire reasoning traces to third-party SaaS clouds and call it observability. Here’s why that’s insane, and what local-first looks like instead.” Product as proof, not subject.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6FEB"/>
          <w:sz w:val="23"/>
          <w:szCs w:val="23"/>
        </w:rPr>
        <w:t xml:space="preserve">Launch surfaces, in order of leverage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Show HN: “Show HN: ObserveCo — local-first, open-source observability for AI agents.”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r/LocalLLaMA and r/LLMOps — the local-first angle is catnip there.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Product Hunt as a secondary surface.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Before any launch, line up 15–20 people to engage in the first 30 minutes. Early velocity decides whether anything travels — the least glamorous, most determinative lever.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Phase 2 — Capture the Demand That Already Exists (Weeks 4–16, ongoing)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is where the category’s demand actually lives, and most founders skip it. People search “best AI agent observability,” “LangSmith alternative,” “self-hosted LLM observability,” “observability without sending data to cloud.” Today they find competitor listicles. Intercept them.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Publish honest comparison and alternative content — “ObserveCo vs LangSmith,” “open-source LangSmith alternatives,” “local-first agent observability.” Your wedge (local, free, MIT) is genuinely different, so you can do this with more credibility than vendors claiming marginal superiority.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Write the technical deep-dives only you can write: the reconciler architecture grounded in Kubernetes controllers and Erlang/OTP, the source-liveness problem, the observer-effect problem. Engineers trust and share posts that teach them something real.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Get listed. Every “Top N observability tools” article is a distribution channel — reach out to be included. Being the only local-first, MIT option on those lists is a compounding referral.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Phase 3 — Community &amp; Ecosystem Flywheel (Months 3–6)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Open source lives or dies on contributors and integrations. The agent-framework landscape moves fast — LangGraph, OpenAI Agents SDK, DSPy, Pydantic AI, CrewAI — and each first-class integration is both a feature and a co-marketing moment with that community.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Lean into OpenTelemetry compatibility loudly — it’s a stated buying criterion and the open-standard crowd self-selects toward tools that respect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Stand up a Discord, ship a public roadmap, and turn every GitHub issue into a relationship.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Stars, contributors, and “I switched from X to ObserveCo” testimonials are the social proof that does your selling.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Phase 4 — Amplify &amp; Scale (Months 6+)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Launch a recurring “agent reliability” content series or small newsletter that owns the local-first / data-ownership point of view — not just your product.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Pursue selective podcast and newsletter appearances across the AI-engineering circuit.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Give conference and meetup talks on the architecture — these convert disproportionately well for infra tools.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Only here, if ever, consider paid — and even then, retarget only people who already touched the repo.</w:t>
      </w:r>
    </w:p>
    <w:p>
      <w:pPr>
        <w:pStyle w:val="Heading2"/>
        <w:pBdr>
          <w:bottom w:val="single" w:color="1F6FE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The Through-Line</w:t>
      </w:r>
    </w:p>
    <w:p>
      <w:pPr>
        <w:pBdr>
          <w:top w:val="single" w:color="1F6FEB" w:sz="2" w:space="8"/>
          <w:left w:val="single" w:color="1F6FEB" w:sz="18" w:space="12"/>
          <w:bottom w:val="single" w:color="1F6FEB" w:sz="2" w:space="8"/>
          <w:right w:val="single" w:color="1F6FEB" w:sz="2" w:space="8"/>
        </w:pBdr>
        <w:shd w:fill="EAF2FB" w:color="auto" w:val="clear"/>
        <w:spacing w:after="160" w:before="60" w:line="300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Don’t try to make people care about observability — they already do, desperately. Plant your flag on the one hill the funded players can’t take (local-first, open, yours), then ride the wave that’s already breaking.</w:t>
      </w:r>
    </w:p>
    <w:p>
      <w:pPr>
        <w:pStyle w:val="Heading2"/>
        <w:pBdr>
          <w:bottom w:val="single" w:color="1F6FE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Immediate Next Actions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Lock the positioning one-liner and pressure-test it against each major competitor.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Resolve the CLI naming collision before launch assets are produced.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Draft the launch thread and Show HN post in founder voice.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Record the auto-detect-and-fix demo GIF for the README.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ObserveCo — Go-to-Market Roadmap   |   Page </w:t>
    </w:r>
    <w:r>
      <w:rPr>
        <w:rFonts w:ascii="Arial" w:cs="Arial" w:eastAsia="Arial" w:hAnsi="Arial"/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2026-06-27T04:28:00.345Z</dcterms:created>
  <dcterms:modified xsi:type="dcterms:W3CDTF">2026-06-27T04:28:00.346Z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