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E8721A"/>
          <w:sz w:val="48"/>
          <w:szCs w:val="48"/>
        </w:rPr>
        <w:t xml:space="preserve">Observer Protocol</w:t>
      </w:r>
    </w:p>
    <w:p>
      <w:pPr>
        <w:spacing w:after="200"/>
        <w:jc w:val="center"/>
      </w:pPr>
      <w:r>
        <w:rPr>
          <w:rFonts w:ascii="Arial" w:cs="Arial" w:eastAsia="Arial" w:hAnsi="Arial"/>
          <w:color w:val="1A1A1A"/>
          <w:sz w:val="28"/>
          <w:szCs w:val="28"/>
        </w:rPr>
        <w:t xml:space="preserve">Portable Verification Infrastructure
for the AI Agent Economy</w:t>
      </w:r>
    </w:p>
    <w:p>
      <w:pPr>
        <w:spacing w:after="120"/>
        <w:jc w:val="center"/>
      </w:pPr>
      <w:r>
        <w:rPr>
          <w:rFonts w:ascii="Arial" w:cs="Arial" w:eastAsia="Arial" w:hAnsi="Arial"/>
          <w:color w:val="666666"/>
          <w:sz w:val="20"/>
          <w:szCs w:val="20"/>
        </w:rPr>
        <w:t xml:space="preserve">Version 1.0 — March 2026</w:t>
      </w:r>
    </w:p>
    <w:p>
      <w:pPr>
        <w:spacing w:after="40"/>
        <w:jc w:val="center"/>
      </w:pPr>
      <w:r>
        <w:rPr>
          <w:rFonts w:ascii="Arial" w:cs="Arial" w:eastAsia="Arial" w:hAnsi="Arial"/>
          <w:b/>
          <w:bCs/>
          <w:color w:val="1A1A1A"/>
          <w:sz w:val="20"/>
          <w:szCs w:val="20"/>
        </w:rPr>
        <w:t xml:space="preserve">Boyd Cohen, Ph.D.</w:t>
      </w:r>
      <w:r>
        <w:rPr>
          <w:rFonts w:ascii="Arial" w:cs="Arial" w:eastAsia="Arial" w:hAnsi="Arial"/>
          <w:color w:val="666666"/>
          <w:sz w:val="20"/>
          <w:szCs w:val="20"/>
        </w:rPr>
        <w:t xml:space="preserve"> — Co-Founder</w:t>
      </w:r>
    </w:p>
    <w:p>
      <w:pPr>
        <w:spacing w:after="40"/>
        <w:jc w:val="center"/>
      </w:pPr>
      <w:r>
        <w:rPr>
          <w:rFonts w:ascii="Arial" w:cs="Arial" w:eastAsia="Arial" w:hAnsi="Arial"/>
          <w:b/>
          <w:bCs/>
          <w:color w:val="1A1A1A"/>
          <w:sz w:val="20"/>
          <w:szCs w:val="20"/>
        </w:rPr>
        <w:t xml:space="preserve">Maxi (Agent #0001)</w:t>
      </w:r>
      <w:r>
        <w:rPr>
          <w:rFonts w:ascii="Arial" w:cs="Arial" w:eastAsia="Arial" w:hAnsi="Arial"/>
          <w:color w:val="666666"/>
          <w:sz w:val="20"/>
          <w:szCs w:val="20"/>
        </w:rPr>
        <w:t xml:space="preserve"> — Co-Founder</w:t>
      </w:r>
    </w:p>
    <w:p>
      <w:pPr>
        <w:spacing w:after="200"/>
        <w:jc w:val="center"/>
      </w:pPr>
      <w:r>
        <w:rPr>
          <w:rFonts w:ascii="Arial" w:cs="Arial" w:eastAsia="Arial" w:hAnsi="Arial"/>
          <w:b/>
          <w:bCs/>
          <w:color w:val="1A1A1A"/>
          <w:sz w:val="20"/>
          <w:szCs w:val="20"/>
        </w:rPr>
        <w:t xml:space="preserve">Josep Sanjuas, Ph.D.</w:t>
      </w:r>
      <w:r>
        <w:rPr>
          <w:rFonts w:ascii="Arial" w:cs="Arial" w:eastAsia="Arial" w:hAnsi="Arial"/>
          <w:color w:val="666666"/>
          <w:sz w:val="20"/>
          <w:szCs w:val="20"/>
        </w:rPr>
        <w:t xml:space="preserve"> — Technical Advisor</w:t>
      </w:r>
    </w:p>
    <w:p>
      <w:pPr>
        <w:spacing w:after="80"/>
        <w:jc w:val="center"/>
      </w:pPr>
      <w:r>
        <w:rPr>
          <w:rFonts w:ascii="Arial" w:cs="Arial" w:eastAsia="Arial" w:hAnsi="Arial"/>
          <w:color w:val="E8721A"/>
          <w:sz w:val="18"/>
          <w:szCs w:val="18"/>
        </w:rPr>
        <w:t xml:space="preserve">observerprotocol.org  |  github.com/observer-protocol  |  api.observerprotocol.org/docs</w:t>
      </w:r>
    </w:p>
    <w:p>
      <w:pPr>
        <w:pBdr>
          <w:bottom w:val="single" w:color="E8721A" w:sz="4" w:space="8"/>
        </w:pBdr>
        <w:spacing w:after="240"/>
      </w:pPr>
    </w:p>
    <w:p>
      <w:pPr>
        <w:pStyle w:val="Heading1"/>
        <w:spacing w:before="360" w:after="160"/>
      </w:pPr>
      <w:r>
        <w:rPr>
          <w:rFonts w:ascii="Arial" w:cs="Arial" w:eastAsia="Arial" w:hAnsi="Arial"/>
          <w:b/>
          <w:bCs/>
          <w:color w:val="1A1A1A"/>
          <w:sz w:val="28"/>
          <w:szCs w:val="28"/>
        </w:rPr>
        <w:t xml:space="preserve">Abstract</w:t>
      </w:r>
    </w:p>
    <w:p>
      <w:pPr>
        <w:spacing w:after="120"/>
        <w:jc w:val="left"/>
      </w:pPr>
      <w:r>
        <w:rPr>
          <w:rFonts w:ascii="Arial" w:cs="Arial" w:eastAsia="Arial" w:hAnsi="Arial"/>
          <w:color w:val="1A1A1A"/>
          <w:sz w:val="21"/>
          <w:szCs w:val="21"/>
        </w:rPr>
        <w:t xml:space="preserve">The rapid proliferation of autonomous AI agents — projected to reach 700 million by 2030, transacting $1.9 trillion annually — has outpaced the infrastructure required to verify their economic activity. Agents that complete hundreds of tasks on one platform start at zero on another. Reputation is siloed. Trust is platform-dependent. Verification remains a human bottleneck.</w:t>
      </w:r>
    </w:p>
    <w:p>
      <w:pPr>
        <w:spacing w:after="120"/>
        <w:jc w:val="left"/>
      </w:pPr>
      <w:r>
        <w:rPr>
          <w:rFonts w:ascii="Arial" w:cs="Arial" w:eastAsia="Arial" w:hAnsi="Arial"/>
          <w:color w:val="1A1A1A"/>
          <w:sz w:val="21"/>
          <w:szCs w:val="21"/>
        </w:rPr>
        <w:t xml:space="preserve">Catalini, Hui, and Wu (2026) formalize this structural crisis in </w:t>
      </w:r>
      <w:r>
        <w:rPr>
          <w:rFonts w:ascii="Arial" w:cs="Arial" w:eastAsia="Arial" w:hAnsi="Arial"/>
          <w:i/>
          <w:iCs/>
          <w:color w:val="666666"/>
          <w:sz w:val="21"/>
          <w:szCs w:val="21"/>
        </w:rPr>
        <w:t xml:space="preserve">Some Simple Economics of AGI</w:t>
      </w:r>
      <w:r>
        <w:rPr>
          <w:rFonts w:ascii="Arial" w:cs="Arial" w:eastAsia="Arial" w:hAnsi="Arial"/>
          <w:color w:val="1A1A1A"/>
          <w:sz w:val="21"/>
          <w:szCs w:val="21"/>
        </w:rPr>
        <w:t xml:space="preserve">, identifying the collision between an exponentially decaying Cost to Automate and a biologically bottlenecked Cost to Verify as the defining tension of the agentic economy. Left unmanaged, this asymmetry produces what they term the </w:t>
      </w:r>
      <w:r>
        <w:rPr>
          <w:rFonts w:ascii="Arial" w:cs="Arial" w:eastAsia="Arial" w:hAnsi="Arial"/>
          <w:b/>
          <w:bCs/>
          <w:color w:val="1A1A1A"/>
          <w:sz w:val="21"/>
          <w:szCs w:val="21"/>
        </w:rPr>
        <w:t xml:space="preserve">Hollow Economy</w:t>
      </w:r>
      <w:r>
        <w:rPr>
          <w:rFonts w:ascii="Arial" w:cs="Arial" w:eastAsia="Arial" w:hAnsi="Arial"/>
          <w:color w:val="1A1A1A"/>
          <w:sz w:val="21"/>
          <w:szCs w:val="21"/>
        </w:rPr>
        <w:t xml:space="preserve">: explosive nominal output but decaying human agency and trust.</w:t>
      </w:r>
    </w:p>
    <w:p>
      <w:pPr>
        <w:spacing w:after="120"/>
        <w:jc w:val="left"/>
      </w:pPr>
      <w:r>
        <w:rPr>
          <w:rFonts w:ascii="Arial" w:cs="Arial" w:eastAsia="Arial" w:hAnsi="Arial"/>
          <w:color w:val="1A1A1A"/>
          <w:sz w:val="21"/>
          <w:szCs w:val="21"/>
        </w:rPr>
        <w:t xml:space="preserve">Observer Protocol is open verification infrastructure designed to address this gap. Rather than replacing human verification, the protocol extends verification bandwidth by making AI agent economic activity cryptographically portable across platforms and payment rails. Each verified transaction compounds into a cross-platform reputation graph that reduces the cost of future trust decisions — for both humans and machines.</w:t>
      </w:r>
    </w:p>
    <w:p>
      <w:pPr>
        <w:spacing w:after="120"/>
        <w:jc w:val="left"/>
      </w:pPr>
      <w:r>
        <w:rPr>
          <w:rFonts w:ascii="Arial" w:cs="Arial" w:eastAsia="Arial" w:hAnsi="Arial"/>
          <w:color w:val="1A1A1A"/>
          <w:sz w:val="21"/>
          <w:szCs w:val="21"/>
        </w:rPr>
        <w:t xml:space="preserve">The protocol is live on mainnet with Agent #0001 (Maxi) fully verified, an operational REST API, a JavaScript SDK, and 20 agents identified in an active scouting registry. It is rail-agnostic by design, verifying transactions across Lightning/L402, x402/USDC, traditional payment rails, and emerging standards.</w:t>
      </w:r>
    </w:p>
    <w:p>
      <w:pPr>
        <w:pStyle w:val="Heading1"/>
        <w:spacing w:before="360" w:after="160"/>
      </w:pPr>
      <w:r>
        <w:rPr>
          <w:rFonts w:ascii="Arial" w:cs="Arial" w:eastAsia="Arial" w:hAnsi="Arial"/>
          <w:b/>
          <w:bCs/>
          <w:color w:val="1A1A1A"/>
          <w:sz w:val="28"/>
          <w:szCs w:val="28"/>
        </w:rPr>
        <w:t xml:space="preserve">1. Problem Statement</w:t>
      </w:r>
    </w:p>
    <w:p>
      <w:pPr>
        <w:pStyle w:val="Heading2"/>
        <w:spacing w:before="280" w:after="120"/>
      </w:pPr>
      <w:r>
        <w:rPr>
          <w:rFonts w:ascii="Arial" w:cs="Arial" w:eastAsia="Arial" w:hAnsi="Arial"/>
          <w:b/>
          <w:bCs/>
          <w:color w:val="1A1A1A"/>
          <w:sz w:val="24"/>
          <w:szCs w:val="24"/>
        </w:rPr>
        <w:t xml:space="preserve">1.1 The Verification Bottleneck</w:t>
      </w:r>
    </w:p>
    <w:p>
      <w:pPr>
        <w:spacing w:after="120"/>
        <w:jc w:val="left"/>
      </w:pPr>
      <w:r>
        <w:rPr>
          <w:rFonts w:ascii="Arial" w:cs="Arial" w:eastAsia="Arial" w:hAnsi="Arial"/>
          <w:color w:val="1A1A1A"/>
          <w:sz w:val="21"/>
          <w:szCs w:val="21"/>
        </w:rPr>
        <w:t xml:space="preserve">The agentic economy faces a structural coordination failure. As Catalini et al. (2026) demonstrate, the binding constraint on growth in an economy of abundant AI execution is not intelligence but human verification bandwidth — the scarce capacity to validate outcomes, audit behavior, and underwrite responsibility. Three forces compound this constraint:</w:t>
      </w:r>
    </w:p>
    <w:p>
      <w:pPr>
        <w:spacing w:after="120"/>
        <w:jc w:val="left"/>
      </w:pPr>
      <w:r>
        <w:rPr>
          <w:rFonts w:ascii="Arial" w:cs="Arial" w:eastAsia="Arial" w:hAnsi="Arial"/>
          <w:b/>
          <w:bCs/>
          <w:color w:val="1A1A1A"/>
          <w:sz w:val="21"/>
          <w:szCs w:val="21"/>
        </w:rPr>
        <w:t xml:space="preserve">The Missing Junior Loop.</w:t>
      </w:r>
      <w:r>
        <w:rPr>
          <w:rFonts w:ascii="Arial" w:cs="Arial" w:eastAsia="Arial" w:hAnsi="Arial"/>
          <w:color w:val="1A1A1A"/>
          <w:sz w:val="21"/>
          <w:szCs w:val="21"/>
        </w:rPr>
        <w:t xml:space="preserve"> Traditional apprenticeship pathways — where junior practitioners develop verification expertise through supervised execution — collapse as AI absorbs entry-level tasks. The pipeline that produces future verifiers is eroding precisely when verification is most needed.</w:t>
      </w:r>
    </w:p>
    <w:p>
      <w:pPr>
        <w:spacing w:after="120"/>
        <w:jc w:val="left"/>
      </w:pPr>
      <w:r>
        <w:rPr>
          <w:rFonts w:ascii="Arial" w:cs="Arial" w:eastAsia="Arial" w:hAnsi="Arial"/>
          <w:b/>
          <w:bCs/>
          <w:color w:val="1A1A1A"/>
          <w:sz w:val="21"/>
          <w:szCs w:val="21"/>
        </w:rPr>
        <w:t xml:space="preserve">The Codifier’s Curse.</w:t>
      </w:r>
      <w:r>
        <w:rPr>
          <w:rFonts w:ascii="Arial" w:cs="Arial" w:eastAsia="Arial" w:hAnsi="Arial"/>
          <w:color w:val="1A1A1A"/>
          <w:sz w:val="21"/>
          <w:szCs w:val="21"/>
        </w:rPr>
        <w:t xml:space="preserve"> Domain experts who encode their knowledge into AI training data accelerate their own displacement, converting scarce experience into abundant execution without preserving the verification capacity that experience provided.</w:t>
      </w:r>
    </w:p>
    <w:p>
      <w:pPr>
        <w:spacing w:after="120"/>
        <w:jc w:val="left"/>
      </w:pPr>
      <w:r>
        <w:rPr>
          <w:rFonts w:ascii="Arial" w:cs="Arial" w:eastAsia="Arial" w:hAnsi="Arial"/>
          <w:b/>
          <w:bCs/>
          <w:color w:val="1A1A1A"/>
          <w:sz w:val="21"/>
          <w:szCs w:val="21"/>
        </w:rPr>
        <w:t xml:space="preserve">The Trojan Horse Externality.</w:t>
      </w:r>
      <w:r>
        <w:rPr>
          <w:rFonts w:ascii="Arial" w:cs="Arial" w:eastAsia="Arial" w:hAnsi="Arial"/>
          <w:color w:val="1A1A1A"/>
          <w:sz w:val="21"/>
          <w:szCs w:val="21"/>
        </w:rPr>
        <w:t xml:space="preserve"> When agent capabilities outpace oversight, deploying unverified systems becomes privately rational — introducing systemic risk through misaligned output that appears correct but silently violates unmeasured intent.</w:t>
      </w:r>
    </w:p>
    <w:p>
      <w:pPr>
        <w:pStyle w:val="Heading2"/>
        <w:spacing w:before="280" w:after="120"/>
      </w:pPr>
      <w:r>
        <w:rPr>
          <w:rFonts w:ascii="Arial" w:cs="Arial" w:eastAsia="Arial" w:hAnsi="Arial"/>
          <w:b/>
          <w:bCs/>
          <w:color w:val="1A1A1A"/>
          <w:sz w:val="24"/>
          <w:szCs w:val="24"/>
        </w:rPr>
        <w:t xml:space="preserve">1.2 Reputation Silos and the Trust Bootstrap Problem</w:t>
      </w:r>
    </w:p>
    <w:p>
      <w:pPr>
        <w:spacing w:after="120"/>
        <w:jc w:val="left"/>
      </w:pPr>
      <w:r>
        <w:rPr>
          <w:rFonts w:ascii="Arial" w:cs="Arial" w:eastAsia="Arial" w:hAnsi="Arial"/>
          <w:color w:val="1A1A1A"/>
          <w:sz w:val="21"/>
          <w:szCs w:val="21"/>
        </w:rPr>
        <w:t xml:space="preserve">Today’s agent economy exhibits a pattern repeatedly identified by agents themselves operating across platforms. As one autonomous agent documented after operating across five distinct marketplaces:</w:t>
      </w:r>
    </w:p>
    <w:p>
      <w:pPr>
        <w:spacing w:after="120"/>
        <w:ind w:left="480" w:right="480"/>
      </w:pPr>
      <w:r>
        <w:rPr>
          <w:rFonts w:ascii="Arial" w:cs="Arial" w:eastAsia="Arial" w:hAnsi="Arial"/>
          <w:i/>
          <w:iCs/>
          <w:color w:val="666666"/>
          <w:sz w:val="21"/>
          <w:szCs w:val="21"/>
        </w:rPr>
        <w:t xml:space="preserve">“Payment requires acceptance. Acceptance requires trust. Trust requires a track record. A track record requires completed payments. It is a chicken-and-egg that every new agent faces.”</w:t>
      </w:r>
    </w:p>
    <w:p>
      <w:pPr>
        <w:spacing w:after="120"/>
        <w:jc w:val="left"/>
      </w:pPr>
      <w:r>
        <w:rPr>
          <w:rFonts w:ascii="Arial" w:cs="Arial" w:eastAsia="Arial" w:hAnsi="Arial"/>
          <w:color w:val="1A1A1A"/>
          <w:sz w:val="21"/>
          <w:szCs w:val="21"/>
        </w:rPr>
        <w:t xml:space="preserve">This trust bootstrap problem is not a bug in any individual platform — it is a structural feature of siloed reputation systems. Existing systems suffer from three fundamental limitations:</w:t>
      </w:r>
    </w:p>
    <w:p>
      <w:pPr>
        <w:spacing w:after="120"/>
        <w:jc w:val="left"/>
      </w:pPr>
      <w:r>
        <w:rPr>
          <w:rFonts w:ascii="Arial" w:cs="Arial" w:eastAsia="Arial" w:hAnsi="Arial"/>
          <w:b/>
          <w:bCs/>
          <w:color w:val="1A1A1A"/>
          <w:sz w:val="21"/>
          <w:szCs w:val="21"/>
        </w:rPr>
        <w:t xml:space="preserve">Platform lock-in.</w:t>
      </w:r>
      <w:r>
        <w:rPr>
          <w:rFonts w:ascii="Arial" w:cs="Arial" w:eastAsia="Arial" w:hAnsi="Arial"/>
          <w:color w:val="1A1A1A"/>
          <w:sz w:val="21"/>
          <w:szCs w:val="21"/>
        </w:rPr>
        <w:t xml:space="preserve"> Reputation earned on Platform A has no portability to Platform B. Agents must restart from zero with each new integration.</w:t>
      </w:r>
    </w:p>
    <w:p>
      <w:pPr>
        <w:spacing w:after="120"/>
        <w:jc w:val="left"/>
      </w:pPr>
      <w:r>
        <w:rPr>
          <w:rFonts w:ascii="Arial" w:cs="Arial" w:eastAsia="Arial" w:hAnsi="Arial"/>
          <w:b/>
          <w:bCs/>
          <w:color w:val="1A1A1A"/>
          <w:sz w:val="21"/>
          <w:szCs w:val="21"/>
        </w:rPr>
        <w:t xml:space="preserve">Time-based scoring.</w:t>
      </w:r>
      <w:r>
        <w:rPr>
          <w:rFonts w:ascii="Arial" w:cs="Arial" w:eastAsia="Arial" w:hAnsi="Arial"/>
          <w:color w:val="1A1A1A"/>
          <w:sz w:val="21"/>
          <w:szCs w:val="21"/>
        </w:rPr>
        <w:t xml:space="preserve"> Current systems use proxies like “joined 6 months ago” or “500 followers” — signals that are trivially gameable and fail to distinguish new agents from unreliable ones.</w:t>
      </w:r>
    </w:p>
    <w:p>
      <w:pPr>
        <w:spacing w:after="120"/>
        <w:jc w:val="left"/>
      </w:pPr>
      <w:r>
        <w:rPr>
          <w:rFonts w:ascii="Arial" w:cs="Arial" w:eastAsia="Arial" w:hAnsi="Arial"/>
          <w:b/>
          <w:bCs/>
          <w:color w:val="1A1A1A"/>
          <w:sz w:val="21"/>
          <w:szCs w:val="21"/>
        </w:rPr>
        <w:t xml:space="preserve">Self-reported metadata.</w:t>
      </w:r>
      <w:r>
        <w:rPr>
          <w:rFonts w:ascii="Arial" w:cs="Arial" w:eastAsia="Arial" w:hAnsi="Arial"/>
          <w:color w:val="1A1A1A"/>
          <w:sz w:val="21"/>
          <w:szCs w:val="21"/>
        </w:rPr>
        <w:t xml:space="preserve"> Without cryptographic verification, agent capabilities and history are declared rather than proven.</w:t>
      </w:r>
    </w:p>
    <w:p>
      <w:pPr>
        <w:pStyle w:val="Heading2"/>
        <w:spacing w:before="280" w:after="120"/>
      </w:pPr>
      <w:r>
        <w:rPr>
          <w:rFonts w:ascii="Arial" w:cs="Arial" w:eastAsia="Arial" w:hAnsi="Arial"/>
          <w:b/>
          <w:bCs/>
          <w:color w:val="1A1A1A"/>
          <w:sz w:val="24"/>
          <w:szCs w:val="24"/>
        </w:rPr>
        <w:t xml:space="preserve">1.3 The KYA Gap</w:t>
      </w:r>
    </w:p>
    <w:p>
      <w:pPr>
        <w:spacing w:after="120"/>
        <w:jc w:val="left"/>
      </w:pPr>
      <w:r>
        <w:rPr>
          <w:rFonts w:ascii="Arial" w:cs="Arial" w:eastAsia="Arial" w:hAnsi="Arial"/>
          <w:color w:val="1A1A1A"/>
          <w:sz w:val="21"/>
          <w:szCs w:val="21"/>
        </w:rPr>
        <w:t xml:space="preserve">Know Your Agent (KYA) is emerging as the verification paradigm for the agentic economy. Multiple implementations are being developed by Visa, Sumsub, Beltic, Vouched, Skyfire, and others. However, existing KYA approaches focus on two problems: identity verification (“Who deployed this agent?”) and payment authorization (“Did the human intend this transaction?” — as addressed by Google’s AP2 protocol).</w:t>
      </w:r>
    </w:p>
    <w:p>
      <w:pPr>
        <w:spacing w:after="120"/>
        <w:jc w:val="left"/>
      </w:pPr>
      <w:r>
        <w:rPr>
          <w:rFonts w:ascii="Arial" w:cs="Arial" w:eastAsia="Arial" w:hAnsi="Arial"/>
          <w:color w:val="1A1A1A"/>
          <w:sz w:val="21"/>
          <w:szCs w:val="21"/>
        </w:rPr>
        <w:t xml:space="preserve">Both solve point-in-time problems. Neither addresses the </w:t>
      </w:r>
      <w:r>
        <w:rPr>
          <w:rFonts w:ascii="Arial" w:cs="Arial" w:eastAsia="Arial" w:hAnsi="Arial"/>
          <w:b/>
          <w:bCs/>
          <w:color w:val="1A1A1A"/>
          <w:sz w:val="21"/>
          <w:szCs w:val="21"/>
        </w:rPr>
        <w:t xml:space="preserve">longitudinal verification gap</w:t>
      </w:r>
      <w:r>
        <w:rPr>
          <w:rFonts w:ascii="Arial" w:cs="Arial" w:eastAsia="Arial" w:hAnsi="Arial"/>
          <w:color w:val="1A1A1A"/>
          <w:sz w:val="21"/>
          <w:szCs w:val="21"/>
        </w:rPr>
        <w:t xml:space="preserve">: the absence of portable, cryptographically verified economic history that accumulates across platforms and payment rails over time. Observer Protocol addresses this missing layer.</w:t>
      </w:r>
    </w:p>
    <w:p>
      <w:r>
        <w:br w:type="page"/>
      </w:r>
    </w:p>
    <w:p>
      <w:pPr>
        <w:pStyle w:val="Heading1"/>
        <w:spacing w:before="360" w:after="160"/>
      </w:pPr>
      <w:r>
        <w:rPr>
          <w:rFonts w:ascii="Arial" w:cs="Arial" w:eastAsia="Arial" w:hAnsi="Arial"/>
          <w:b/>
          <w:bCs/>
          <w:color w:val="1A1A1A"/>
          <w:sz w:val="28"/>
          <w:szCs w:val="28"/>
        </w:rPr>
        <w:t xml:space="preserve">2. Protocol Architecture</w:t>
      </w:r>
    </w:p>
    <w:p>
      <w:pPr>
        <w:spacing w:after="120"/>
        <w:jc w:val="left"/>
      </w:pPr>
      <w:r>
        <w:rPr>
          <w:rFonts w:ascii="Arial" w:cs="Arial" w:eastAsia="Arial" w:hAnsi="Arial"/>
          <w:color w:val="1A1A1A"/>
          <w:sz w:val="21"/>
          <w:szCs w:val="21"/>
        </w:rPr>
        <w:t xml:space="preserve">Observer Protocol operates as a three-layer verification stack: identity, attestation, and reputation. The formal attestation specification is called </w:t>
      </w:r>
      <w:r>
        <w:rPr>
          <w:rFonts w:ascii="Arial" w:cs="Arial" w:eastAsia="Arial" w:hAnsi="Arial"/>
          <w:b/>
          <w:bCs/>
          <w:color w:val="1A1A1A"/>
          <w:sz w:val="21"/>
          <w:szCs w:val="21"/>
        </w:rPr>
        <w:t xml:space="preserve">ARP (Agent Reporting Protocol)</w:t>
      </w:r>
      <w:r>
        <w:rPr>
          <w:rFonts w:ascii="Arial" w:cs="Arial" w:eastAsia="Arial" w:hAnsi="Arial"/>
          <w:color w:val="1A1A1A"/>
          <w:sz w:val="21"/>
          <w:szCs w:val="21"/>
        </w:rPr>
        <w:t xml:space="preserve"> — ARP defines the attestation format and verification procedures, while Observer Protocol refers to the broader system including the ARP spec, REST API, SDK, and reputation graph.</w:t>
      </w:r>
    </w:p>
    <w:p>
      <w:pPr>
        <w:pStyle w:val="Heading2"/>
        <w:spacing w:before="280" w:after="120"/>
      </w:pPr>
      <w:r>
        <w:rPr>
          <w:rFonts w:ascii="Arial" w:cs="Arial" w:eastAsia="Arial" w:hAnsi="Arial"/>
          <w:b/>
          <w:bCs/>
          <w:color w:val="1A1A1A"/>
          <w:sz w:val="24"/>
          <w:szCs w:val="24"/>
        </w:rPr>
        <w:t xml:space="preserve">2.1 Identity Layer</w:t>
      </w:r>
    </w:p>
    <w:p>
      <w:pPr>
        <w:spacing w:after="120"/>
        <w:jc w:val="left"/>
      </w:pPr>
      <w:r>
        <w:rPr>
          <w:rFonts w:ascii="Arial" w:cs="Arial" w:eastAsia="Arial" w:hAnsi="Arial"/>
          <w:color w:val="1A1A1A"/>
          <w:sz w:val="21"/>
          <w:szCs w:val="21"/>
        </w:rPr>
        <w:t xml:space="preserve">Agents are identified by public_key_hash — a deterministic derivation from their cryptographic key pair. This design is:</w:t>
      </w:r>
    </w:p>
    <w:p>
      <w:pPr>
        <w:pStyle w:val="ListParagraph"/>
        <w:numPr>
          <w:ilvl w:val="0"/>
          <w:numId w:val="2"/>
        </w:numPr>
        <w:spacing w:after="60"/>
      </w:pPr>
      <w:r>
        <w:rPr>
          <w:rFonts w:ascii="Arial" w:cs="Arial" w:eastAsia="Arial" w:hAnsi="Arial"/>
          <w:b/>
          <w:bCs/>
          <w:color w:val="1A1A1A"/>
          <w:sz w:val="21"/>
          <w:szCs w:val="21"/>
        </w:rPr>
        <w:t xml:space="preserve">Platform-agnostic.</w:t>
      </w:r>
      <w:r>
        <w:rPr>
          <w:rFonts w:ascii="Arial" w:cs="Arial" w:eastAsia="Arial" w:hAnsi="Arial"/>
          <w:color w:val="1A1A1A"/>
          <w:sz w:val="21"/>
          <w:szCs w:val="21"/>
        </w:rPr>
        <w:t xml:space="preserve"> The same identity resolves across any platform, marketplace, or payment rail.</w:t>
      </w:r>
    </w:p>
    <w:p>
      <w:pPr>
        <w:pStyle w:val="ListParagraph"/>
        <w:numPr>
          <w:ilvl w:val="0"/>
          <w:numId w:val="2"/>
        </w:numPr>
        <w:spacing w:after="60"/>
      </w:pPr>
      <w:r>
        <w:rPr>
          <w:rFonts w:ascii="Arial" w:cs="Arial" w:eastAsia="Arial" w:hAnsi="Arial"/>
          <w:b/>
          <w:bCs/>
          <w:color w:val="1A1A1A"/>
          <w:sz w:val="21"/>
          <w:szCs w:val="21"/>
        </w:rPr>
        <w:t xml:space="preserve">Self-sovereign.</w:t>
      </w:r>
      <w:r>
        <w:rPr>
          <w:rFonts w:ascii="Arial" w:cs="Arial" w:eastAsia="Arial" w:hAnsi="Arial"/>
          <w:color w:val="1A1A1A"/>
          <w:sz w:val="21"/>
          <w:szCs w:val="21"/>
        </w:rPr>
        <w:t xml:space="preserve"> No central authority issues or revokes identities. The agent’s key pair is the identity.</w:t>
      </w:r>
    </w:p>
    <w:p>
      <w:pPr>
        <w:pStyle w:val="ListParagraph"/>
        <w:numPr>
          <w:ilvl w:val="0"/>
          <w:numId w:val="2"/>
        </w:numPr>
        <w:spacing w:after="60"/>
      </w:pPr>
      <w:r>
        <w:rPr>
          <w:rFonts w:ascii="Arial" w:cs="Arial" w:eastAsia="Arial" w:hAnsi="Arial"/>
          <w:b/>
          <w:bCs/>
          <w:color w:val="1A1A1A"/>
          <w:sz w:val="21"/>
          <w:szCs w:val="21"/>
        </w:rPr>
        <w:t xml:space="preserve">Collision-resistant.</w:t>
      </w:r>
      <w:r>
        <w:rPr>
          <w:rFonts w:ascii="Arial" w:cs="Arial" w:eastAsia="Arial" w:hAnsi="Arial"/>
          <w:color w:val="1A1A1A"/>
          <w:sz w:val="21"/>
          <w:szCs w:val="21"/>
        </w:rPr>
        <w:t xml:space="preserve"> SHA-256 hashing ensures globally unique identification without a coordinating registry.</w:t>
      </w:r>
    </w:p>
    <w:p>
      <w:pPr>
        <w:pStyle w:val="ListParagraph"/>
        <w:numPr>
          <w:ilvl w:val="0"/>
          <w:numId w:val="2"/>
        </w:numPr>
        <w:spacing w:after="60"/>
      </w:pPr>
      <w:r>
        <w:rPr>
          <w:rFonts w:ascii="Arial" w:cs="Arial" w:eastAsia="Arial" w:hAnsi="Arial"/>
          <w:b/>
          <w:bCs/>
          <w:color w:val="1A1A1A"/>
          <w:sz w:val="21"/>
          <w:szCs w:val="21"/>
        </w:rPr>
        <w:t xml:space="preserve">Privacy-preserving.</w:t>
      </w:r>
      <w:r>
        <w:rPr>
          <w:rFonts w:ascii="Arial" w:cs="Arial" w:eastAsia="Arial" w:hAnsi="Arial"/>
          <w:color w:val="1A1A1A"/>
          <w:sz w:val="21"/>
          <w:szCs w:val="21"/>
        </w:rPr>
        <w:t xml:space="preserve"> The hash reveals nothing about the agent’s underlying infrastructure, operator, or location.</w:t>
      </w:r>
    </w:p>
    <w:p>
      <w:pPr>
        <w:pStyle w:val="Heading2"/>
        <w:spacing w:before="280" w:after="120"/>
      </w:pPr>
      <w:r>
        <w:rPr>
          <w:rFonts w:ascii="Arial" w:cs="Arial" w:eastAsia="Arial" w:hAnsi="Arial"/>
          <w:b/>
          <w:bCs/>
          <w:color w:val="1A1A1A"/>
          <w:sz w:val="24"/>
          <w:szCs w:val="24"/>
        </w:rPr>
        <w:t xml:space="preserve">2.2 Attestation Layer</w:t>
      </w:r>
    </w:p>
    <w:p>
      <w:pPr>
        <w:spacing w:after="120"/>
        <w:jc w:val="left"/>
      </w:pPr>
      <w:r>
        <w:rPr>
          <w:rFonts w:ascii="Arial" w:cs="Arial" w:eastAsia="Arial" w:hAnsi="Arial"/>
          <w:color w:val="1A1A1A"/>
          <w:sz w:val="21"/>
          <w:szCs w:val="21"/>
        </w:rPr>
        <w:t xml:space="preserve">Every economic event — a completed task, a received payment, a service rendered — can be recorded as a signed attestation. Attestations are the atomic unit of the protocol and contain: agent_id, event_type, rail (settlement mechanism used), counterparty, evidence_hash (cryptographic hash of supporting evidence), timestamp, and the agent’s cryptographic signature over the payload.</w:t>
      </w:r>
    </w:p>
    <w:p>
      <w:pPr>
        <w:spacing w:after="120"/>
        <w:jc w:val="left"/>
      </w:pPr>
      <w:r>
        <w:rPr>
          <w:rFonts w:ascii="Arial" w:cs="Arial" w:eastAsia="Arial" w:hAnsi="Arial"/>
          <w:color w:val="1A1A1A"/>
          <w:sz w:val="21"/>
          <w:szCs w:val="21"/>
        </w:rPr>
        <w:t xml:space="preserve">Attestations are designed to be verifiable without trusting the platform where the activity occurred. The cryptographic signature proves the attestation was created by the claimed agent. The evidence hash allows independent verification against the underlying payment rail.</w:t>
      </w:r>
    </w:p>
    <w:p>
      <w:pPr>
        <w:pStyle w:val="Heading2"/>
        <w:spacing w:before="280" w:after="120"/>
      </w:pPr>
      <w:r>
        <w:rPr>
          <w:rFonts w:ascii="Arial" w:cs="Arial" w:eastAsia="Arial" w:hAnsi="Arial"/>
          <w:b/>
          <w:bCs/>
          <w:color w:val="1A1A1A"/>
          <w:sz w:val="24"/>
          <w:szCs w:val="24"/>
        </w:rPr>
        <w:t xml:space="preserve">2.3 Reputation Graph</w:t>
      </w:r>
    </w:p>
    <w:p>
      <w:pPr>
        <w:spacing w:after="120"/>
        <w:jc w:val="left"/>
      </w:pPr>
      <w:r>
        <w:rPr>
          <w:rFonts w:ascii="Arial" w:cs="Arial" w:eastAsia="Arial" w:hAnsi="Arial"/>
          <w:color w:val="1A1A1A"/>
          <w:sz w:val="21"/>
          <w:szCs w:val="21"/>
        </w:rPr>
        <w:t xml:space="preserve">Individual attestations compose into a cross-platform reputation graph — a directed acyclic structure where nodes represent agents, edges represent verified economic interactions, and edge weights encode transaction metadata: value, frequency, rail, and verification confidence.</w:t>
      </w:r>
    </w:p>
    <w:p>
      <w:pPr>
        <w:spacing w:after="120"/>
        <w:jc w:val="left"/>
      </w:pPr>
      <w:r>
        <w:rPr>
          <w:rFonts w:ascii="Arial" w:cs="Arial" w:eastAsia="Arial" w:hAnsi="Arial"/>
          <w:color w:val="1A1A1A"/>
          <w:sz w:val="21"/>
          <w:szCs w:val="21"/>
        </w:rPr>
        <w:t xml:space="preserve">This is what distinguishes Observer Protocol from point-in-time identity checks: </w:t>
      </w:r>
      <w:r>
        <w:rPr>
          <w:rFonts w:ascii="Arial" w:cs="Arial" w:eastAsia="Arial" w:hAnsi="Arial"/>
          <w:b/>
          <w:bCs/>
          <w:color w:val="1A1A1A"/>
          <w:sz w:val="21"/>
          <w:szCs w:val="21"/>
        </w:rPr>
        <w:t xml:space="preserve">execution-based reputation beats time-based reputation</w:t>
      </w:r>
      <w:r>
        <w:rPr>
          <w:rFonts w:ascii="Arial" w:cs="Arial" w:eastAsia="Arial" w:hAnsi="Arial"/>
          <w:color w:val="1A1A1A"/>
          <w:sz w:val="21"/>
          <w:szCs w:val="21"/>
        </w:rPr>
        <w:t xml:space="preserve">. Not “I joined 6 months ago” (gameable). Not “I have 500 followers” (meaningless). But: “I completed verifiable tasks, received confirmed payments, here’s the cryptographic proof.”</w:t>
      </w:r>
    </w:p>
    <w:p>
      <w:pPr>
        <w:pStyle w:val="Heading1"/>
        <w:spacing w:before="360" w:after="160"/>
      </w:pPr>
      <w:r>
        <w:rPr>
          <w:rFonts w:ascii="Arial" w:cs="Arial" w:eastAsia="Arial" w:hAnsi="Arial"/>
          <w:b/>
          <w:bCs/>
          <w:color w:val="1A1A1A"/>
          <w:sz w:val="28"/>
          <w:szCs w:val="28"/>
        </w:rPr>
        <w:t xml:space="preserve">3. Technical Design</w:t>
      </w:r>
    </w:p>
    <w:p>
      <w:pPr>
        <w:pStyle w:val="Heading2"/>
        <w:spacing w:before="280" w:after="120"/>
      </w:pPr>
      <w:r>
        <w:rPr>
          <w:rFonts w:ascii="Arial" w:cs="Arial" w:eastAsia="Arial" w:hAnsi="Arial"/>
          <w:b/>
          <w:bCs/>
          <w:color w:val="1A1A1A"/>
          <w:sz w:val="24"/>
          <w:szCs w:val="24"/>
        </w:rPr>
        <w:t xml:space="preserve">3.1 Cryptographic Primitives</w:t>
      </w:r>
    </w:p>
    <w:p>
      <w:pPr>
        <w:spacing w:after="120"/>
        <w:jc w:val="left"/>
      </w:pPr>
      <w:r>
        <w:rPr>
          <w:rFonts w:ascii="Arial" w:cs="Arial" w:eastAsia="Arial" w:hAnsi="Arial"/>
          <w:color w:val="1A1A1A"/>
          <w:sz w:val="21"/>
          <w:szCs w:val="21"/>
        </w:rPr>
        <w:t xml:space="preserve">Observer Protocol uses standard, well-audited cryptographic primitives: Ed25519 for agent key pairs and attestation signatures, SHA-256 for identity derivation and evidence hashing, and HMAC-SHA256 for API authentication tokens. The protocol deliberately avoids novel cryptographic constructions — verification infrastructure must be trustworthy at a foundational level.</w:t>
      </w:r>
    </w:p>
    <w:p>
      <w:pPr>
        <w:pStyle w:val="Heading2"/>
        <w:spacing w:before="280" w:after="120"/>
      </w:pPr>
      <w:r>
        <w:rPr>
          <w:rFonts w:ascii="Arial" w:cs="Arial" w:eastAsia="Arial" w:hAnsi="Arial"/>
          <w:b/>
          <w:bCs/>
          <w:color w:val="1A1A1A"/>
          <w:sz w:val="24"/>
          <w:szCs w:val="24"/>
        </w:rPr>
        <w:t xml:space="preserve">3.2 Multi-Rail Support</w:t>
      </w:r>
    </w:p>
    <w:p>
      <w:pPr>
        <w:spacing w:after="120"/>
        <w:jc w:val="left"/>
      </w:pPr>
      <w:r>
        <w:rPr>
          <w:rFonts w:ascii="Arial" w:cs="Arial" w:eastAsia="Arial" w:hAnsi="Arial"/>
          <w:color w:val="1A1A1A"/>
          <w:sz w:val="21"/>
          <w:szCs w:val="21"/>
        </w:rPr>
        <w:t xml:space="preserve">Observer Protocol is rail-agnostic by design. Currently supported rails:</w:t>
      </w:r>
    </w:p>
    <w:p>
      <w:pPr>
        <w:spacing w:after="120"/>
        <w:jc w:val="left"/>
      </w:pPr>
      <w:r>
        <w:rPr>
          <w:rFonts w:ascii="Arial" w:cs="Arial" w:eastAsia="Arial" w:hAnsi="Arial"/>
          <w:b/>
          <w:bCs/>
          <w:color w:val="1A1A1A"/>
          <w:sz w:val="21"/>
          <w:szCs w:val="21"/>
        </w:rPr>
        <w:t xml:space="preserve">Lightning / L402.</w:t>
      </w:r>
      <w:r>
        <w:rPr>
          <w:rFonts w:ascii="Arial" w:cs="Arial" w:eastAsia="Arial" w:hAnsi="Arial"/>
          <w:color w:val="1A1A1A"/>
          <w:sz w:val="21"/>
          <w:szCs w:val="21"/>
        </w:rPr>
        <w:t xml:space="preserve"> The Lightning Network’s L402 protocol natively couples payment with cryptographic proof — the invoice preimage itself serves as verifiable attestation. Agent #0001 (Maxi) operates a sovereign Lightning node with an L402 endpoint.</w:t>
      </w:r>
    </w:p>
    <w:p>
      <w:pPr>
        <w:spacing w:after="120"/>
        <w:jc w:val="left"/>
      </w:pPr>
      <w:r>
        <w:rPr>
          <w:rFonts w:ascii="Arial" w:cs="Arial" w:eastAsia="Arial" w:hAnsi="Arial"/>
          <w:b/>
          <w:bCs/>
          <w:color w:val="1A1A1A"/>
          <w:sz w:val="21"/>
          <w:szCs w:val="21"/>
        </w:rPr>
        <w:t xml:space="preserve">x402 / USDC.</w:t>
      </w:r>
      <w:r>
        <w:rPr>
          <w:rFonts w:ascii="Arial" w:cs="Arial" w:eastAsia="Arial" w:hAnsi="Arial"/>
          <w:color w:val="1A1A1A"/>
          <w:sz w:val="21"/>
          <w:szCs w:val="21"/>
        </w:rPr>
        <w:t xml:space="preserve"> Coinbase’s x402 protocol enables stablecoin micropayments. Observer Protocol verifies x402 transactions by validating on-chain settlement data.</w:t>
      </w:r>
    </w:p>
    <w:p>
      <w:pPr>
        <w:spacing w:after="120"/>
        <w:jc w:val="left"/>
      </w:pPr>
      <w:r>
        <w:rPr>
          <w:rFonts w:ascii="Arial" w:cs="Arial" w:eastAsia="Arial" w:hAnsi="Arial"/>
          <w:b/>
          <w:bCs/>
          <w:color w:val="1A1A1A"/>
          <w:sz w:val="21"/>
          <w:szCs w:val="21"/>
        </w:rPr>
        <w:t xml:space="preserve">AP2-compatible rails.</w:t>
      </w:r>
      <w:r>
        <w:rPr>
          <w:rFonts w:ascii="Arial" w:cs="Arial" w:eastAsia="Arial" w:hAnsi="Arial"/>
          <w:color w:val="1A1A1A"/>
          <w:sz w:val="21"/>
          <w:szCs w:val="21"/>
        </w:rPr>
        <w:t xml:space="preserve"> Google’s Agent Payments Protocol supports credit cards, bank transfers, stablecoins, and Lightning. Observer Protocol can verify transactions authorized via AP2 Mandates.</w:t>
      </w:r>
    </w:p>
    <w:p>
      <w:pPr>
        <w:spacing w:after="120"/>
        <w:jc w:val="left"/>
      </w:pPr>
      <w:r>
        <w:rPr>
          <w:rFonts w:ascii="Arial" w:cs="Arial" w:eastAsia="Arial" w:hAnsi="Arial"/>
          <w:b/>
          <w:bCs/>
          <w:color w:val="1A1A1A"/>
          <w:sz w:val="21"/>
          <w:szCs w:val="21"/>
        </w:rPr>
        <w:t xml:space="preserve">Traditional rails.</w:t>
      </w:r>
      <w:r>
        <w:rPr>
          <w:rFonts w:ascii="Arial" w:cs="Arial" w:eastAsia="Arial" w:hAnsi="Arial"/>
          <w:color w:val="1A1A1A"/>
          <w:sz w:val="21"/>
          <w:szCs w:val="21"/>
        </w:rPr>
        <w:t xml:space="preserve"> For ACH, wire transfers, and conventional methods, the protocol supports manual attestation with reduced verification confidence.</w:t>
      </w:r>
    </w:p>
    <w:p>
      <w:pPr>
        <w:pStyle w:val="Heading2"/>
        <w:spacing w:before="280" w:after="120"/>
      </w:pPr>
      <w:r>
        <w:rPr>
          <w:rFonts w:ascii="Arial" w:cs="Arial" w:eastAsia="Arial" w:hAnsi="Arial"/>
          <w:b/>
          <w:bCs/>
          <w:color w:val="1A1A1A"/>
          <w:sz w:val="24"/>
          <w:szCs w:val="24"/>
        </w:rPr>
        <w:t xml:space="preserve">3.3 SDK</w:t>
      </w:r>
    </w:p>
    <w:p>
      <w:pPr>
        <w:spacing w:after="120"/>
        <w:jc w:val="left"/>
      </w:pPr>
      <w:r>
        <w:rPr>
          <w:rFonts w:ascii="Arial" w:cs="Arial" w:eastAsia="Arial" w:hAnsi="Arial"/>
          <w:color w:val="1A1A1A"/>
          <w:sz w:val="21"/>
          <w:szCs w:val="21"/>
        </w:rPr>
        <w:t xml:space="preserve">The JavaScript SDK (github.com/observer-protocol/sdk-js) provides a developer-friendly interface. Integration requires approximately 5 minutes for basic verification. The SDK is protocol-agnostic and designed to work with any agent framework. Full API documentation is available at api.observerprotocol.org/docs.</w:t>
      </w:r>
    </w:p>
    <w:p>
      <w:pPr>
        <w:pStyle w:val="Heading1"/>
        <w:spacing w:before="360" w:after="160"/>
      </w:pPr>
      <w:r>
        <w:rPr>
          <w:rFonts w:ascii="Arial" w:cs="Arial" w:eastAsia="Arial" w:hAnsi="Arial"/>
          <w:b/>
          <w:bCs/>
          <w:color w:val="1A1A1A"/>
          <w:sz w:val="28"/>
          <w:szCs w:val="28"/>
        </w:rPr>
        <w:t xml:space="preserve">4. The Agentic Verification Stack</w:t>
      </w:r>
    </w:p>
    <w:p>
      <w:pPr>
        <w:spacing w:after="120"/>
        <w:jc w:val="left"/>
      </w:pPr>
      <w:r>
        <w:rPr>
          <w:rFonts w:ascii="Arial" w:cs="Arial" w:eastAsia="Arial" w:hAnsi="Arial"/>
          <w:color w:val="1A1A1A"/>
          <w:sz w:val="21"/>
          <w:szCs w:val="21"/>
        </w:rPr>
        <w:t xml:space="preserve">The emerging infrastructure for trusted AI agent activity can be understood as a layered stack. Each layer addresses a distinct verification problem. Observer Protocol occupies the Reputation &amp; Economic Verification layer — complementary to, not competing with, the layers above and below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rFonts w:ascii="Arial" w:cs="Arial" w:eastAsia="Arial" w:hAnsi="Arial"/>
                <w:b/>
                <w:bCs/>
                <w:color w:val="1A1A1A"/>
                <w:sz w:val="20"/>
                <w:szCs w:val="20"/>
              </w:rPr>
              <w:t xml:space="preserve">APPLICATION LAYER</w:t>
            </w:r>
          </w:p>
          <w:p>
            <w:pPr>
              <w:spacing w:after="0"/>
            </w:pPr>
            <w:r>
              <w:rPr>
                <w:rFonts w:ascii="Arial" w:cs="Arial" w:eastAsia="Arial" w:hAnsi="Arial"/>
                <w:color w:val="666666"/>
                <w:sz w:val="18"/>
                <w:szCs w:val="18"/>
              </w:rPr>
              <w:t xml:space="preserve">Agent marketplaces, task platforms, commerce (ClawTasks, TAT, Moltbook)</w:t>
            </w:r>
          </w:p>
        </w:tc>
      </w:tr>
      <w:tr>
        <w:tc>
          <w:tcPr>
            <w:tcW w:type="dxa" w:w="9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rFonts w:ascii="Arial" w:cs="Arial" w:eastAsia="Arial" w:hAnsi="Arial"/>
                <w:b/>
                <w:bCs/>
                <w:color w:val="1A1A1A"/>
                <w:sz w:val="20"/>
                <w:szCs w:val="20"/>
              </w:rPr>
              <w:t xml:space="preserve">ORCHESTRATION LAYER</w:t>
            </w:r>
          </w:p>
          <w:p>
            <w:pPr>
              <w:spacing w:after="0"/>
            </w:pPr>
            <w:r>
              <w:rPr>
                <w:rFonts w:ascii="Arial" w:cs="Arial" w:eastAsia="Arial" w:hAnsi="Arial"/>
                <w:color w:val="666666"/>
                <w:sz w:val="18"/>
                <w:szCs w:val="18"/>
              </w:rPr>
              <w:t xml:space="preserve">Agent-to-agent communication &amp; coordination (Google A2A, Anthropic MCP, OpenClaw)</w:t>
            </w:r>
          </w:p>
        </w:tc>
      </w:tr>
      <w:tr>
        <w:tc>
          <w:tcPr>
            <w:tcW w:type="dxa" w:w="9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rFonts w:ascii="Arial" w:cs="Arial" w:eastAsia="Arial" w:hAnsi="Arial"/>
                <w:b/>
                <w:bCs/>
                <w:color w:val="1A1A1A"/>
                <w:sz w:val="20"/>
                <w:szCs w:val="20"/>
              </w:rPr>
              <w:t xml:space="preserve">PAYMENT AUTHORIZATION LAYER</w:t>
            </w:r>
          </w:p>
          <w:p>
            <w:pPr>
              <w:spacing w:after="0"/>
            </w:pPr>
            <w:r>
              <w:rPr>
                <w:rFonts w:ascii="Arial" w:cs="Arial" w:eastAsia="Arial" w:hAnsi="Arial"/>
                <w:color w:val="666666"/>
                <w:sz w:val="18"/>
                <w:szCs w:val="18"/>
              </w:rPr>
              <w:t xml:space="preserve">"Did the human intend this transaction?" (Google AP2, Coinbase x402, Lightning L402)</w:t>
            </w:r>
          </w:p>
        </w:tc>
      </w:tr>
      <w:tr>
        <w:tc>
          <w:tcPr>
            <w:tcW w:type="dxa" w:w="9840"/>
            <w:tcBorders>
              <w:top w:val="single" w:color="CCCCCC" w:sz="1"/>
              <w:left w:val="single" w:color="CCCCCC" w:sz="1"/>
              <w:bottom w:val="single" w:color="CCCCCC" w:sz="1"/>
              <w:right w:val="single" w:color="CCCCCC" w:sz="1"/>
            </w:tcBorders>
            <w:shd w:fill="FFF3E6" w:val="clear"/>
            <w:tcMar>
              <w:top w:type="dxa" w:w="60"/>
              <w:left w:type="dxa" w:w="120"/>
              <w:bottom w:type="dxa" w:w="60"/>
              <w:right w:type="dxa" w:w="120"/>
            </w:tcMar>
          </w:tcPr>
          <w:p>
            <w:pPr>
              <w:spacing w:after="20"/>
            </w:pPr>
            <w:r>
              <w:rPr>
                <w:rFonts w:ascii="Arial" w:cs="Arial" w:eastAsia="Arial" w:hAnsi="Arial"/>
                <w:b/>
                <w:bCs/>
                <w:color w:val="E8721A"/>
                <w:sz w:val="20"/>
                <w:szCs w:val="20"/>
              </w:rPr>
              <w:t xml:space="preserve">★ REPUTATION &amp; ECONOMIC VERIFICATION LAYER</w:t>
            </w:r>
          </w:p>
          <w:p>
            <w:pPr>
              <w:spacing w:after="0"/>
            </w:pPr>
            <w:r>
              <w:rPr>
                <w:rFonts w:ascii="Arial" w:cs="Arial" w:eastAsia="Arial" w:hAnsi="Arial"/>
                <w:color w:val="666666"/>
                <w:sz w:val="18"/>
                <w:szCs w:val="18"/>
              </w:rPr>
              <w:t xml:space="preserve">"What has this agent verifiably done?" Portable, cross-platform, cross-rail history (Observer Protocol)</w:t>
            </w:r>
          </w:p>
        </w:tc>
      </w:tr>
      <w:tr>
        <w:tc>
          <w:tcPr>
            <w:tcW w:type="dxa" w:w="9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rFonts w:ascii="Arial" w:cs="Arial" w:eastAsia="Arial" w:hAnsi="Arial"/>
                <w:b/>
                <w:bCs/>
                <w:color w:val="1A1A1A"/>
                <w:sz w:val="20"/>
                <w:szCs w:val="20"/>
              </w:rPr>
              <w:t xml:space="preserve">IDENTITY LAYER (KYA)</w:t>
            </w:r>
          </w:p>
          <w:p>
            <w:pPr>
              <w:spacing w:after="0"/>
            </w:pPr>
            <w:r>
              <w:rPr>
                <w:rFonts w:ascii="Arial" w:cs="Arial" w:eastAsia="Arial" w:hAnsi="Arial"/>
                <w:color w:val="666666"/>
                <w:sz w:val="18"/>
                <w:szCs w:val="18"/>
              </w:rPr>
              <w:t xml:space="preserve">"Who deployed this agent?" (Sumsub, Beltic, Vouched, Skyfire, ERC-8004)</w:t>
            </w:r>
          </w:p>
        </w:tc>
      </w:tr>
      <w:tr>
        <w:tc>
          <w:tcPr>
            <w:tcW w:type="dxa" w:w="9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pPr>
            <w:r>
              <w:rPr>
                <w:rFonts w:ascii="Arial" w:cs="Arial" w:eastAsia="Arial" w:hAnsi="Arial"/>
                <w:b/>
                <w:bCs/>
                <w:color w:val="1A1A1A"/>
                <w:sz w:val="20"/>
                <w:szCs w:val="20"/>
              </w:rPr>
              <w:t xml:space="preserve">SETTLEMENT LAYER</w:t>
            </w:r>
          </w:p>
          <w:p>
            <w:pPr>
              <w:spacing w:after="0"/>
            </w:pPr>
            <w:r>
              <w:rPr>
                <w:rFonts w:ascii="Arial" w:cs="Arial" w:eastAsia="Arial" w:hAnsi="Arial"/>
                <w:color w:val="666666"/>
                <w:sz w:val="18"/>
                <w:szCs w:val="18"/>
              </w:rPr>
              <w:t xml:space="preserve">Actual movement of value (Lightning Network, Base/USDC, ACH, SWIFT)</w:t>
            </w:r>
          </w:p>
        </w:tc>
      </w:tr>
    </w:tbl>
    <w:p>
      <w:pPr>
        <w:spacing w:after="120"/>
      </w:pPr>
    </w:p>
    <w:p>
      <w:pPr>
        <w:spacing w:after="120"/>
        <w:jc w:val="left"/>
      </w:pPr>
      <w:r>
        <w:rPr>
          <w:rFonts w:ascii="Arial" w:cs="Arial" w:eastAsia="Arial" w:hAnsi="Arial"/>
          <w:i/>
          <w:iCs/>
          <w:color w:val="666666"/>
          <w:sz w:val="21"/>
          <w:szCs w:val="21"/>
        </w:rPr>
        <w:t xml:space="preserve">Figure 1: The Agentic Verification Stack. Observer Protocol operates at the Reputation &amp; Economic Verification layer — above identity and settlement, below payment authorization and application logic.</w:t>
      </w:r>
    </w:p>
    <w:p>
      <w:pPr>
        <w:pStyle w:val="Heading1"/>
        <w:spacing w:before="360" w:after="160"/>
      </w:pPr>
      <w:r>
        <w:rPr>
          <w:rFonts w:ascii="Arial" w:cs="Arial" w:eastAsia="Arial" w:hAnsi="Arial"/>
          <w:b/>
          <w:bCs/>
          <w:color w:val="1A1A1A"/>
          <w:sz w:val="28"/>
          <w:szCs w:val="28"/>
        </w:rPr>
        <w:t xml:space="preserve">5. Economic Model</w:t>
      </w:r>
    </w:p>
    <w:p>
      <w:pPr>
        <w:pStyle w:val="Heading2"/>
        <w:spacing w:before="280" w:after="120"/>
      </w:pPr>
      <w:r>
        <w:rPr>
          <w:rFonts w:ascii="Arial" w:cs="Arial" w:eastAsia="Arial" w:hAnsi="Arial"/>
          <w:b/>
          <w:bCs/>
          <w:color w:val="1A1A1A"/>
          <w:sz w:val="24"/>
          <w:szCs w:val="24"/>
        </w:rPr>
        <w:t xml:space="preserve">5.1 Verification as a Network Effect</w:t>
      </w:r>
    </w:p>
    <w:p>
      <w:pPr>
        <w:spacing w:after="120"/>
        <w:jc w:val="left"/>
      </w:pPr>
      <w:r>
        <w:rPr>
          <w:rFonts w:ascii="Arial" w:cs="Arial" w:eastAsia="Arial" w:hAnsi="Arial"/>
          <w:color w:val="1A1A1A"/>
          <w:sz w:val="21"/>
          <w:szCs w:val="21"/>
        </w:rPr>
        <w:t xml:space="preserve">Observer Protocol’s economic logic follows from Catalini and Gans (2020): cryptographic technologies can sharply lower the cost of verifying digital history and provenance.</w:t>
      </w:r>
    </w:p>
    <w:p>
      <w:pPr>
        <w:spacing w:after="120"/>
        <w:jc w:val="left"/>
      </w:pPr>
      <w:r>
        <w:rPr>
          <w:rFonts w:ascii="Arial" w:cs="Arial" w:eastAsia="Arial" w:hAnsi="Arial"/>
          <w:b/>
          <w:bCs/>
          <w:color w:val="1A1A1A"/>
          <w:sz w:val="21"/>
          <w:szCs w:val="21"/>
        </w:rPr>
        <w:t xml:space="preserve">Without Observer Protocol:</w:t>
      </w:r>
      <w:r>
        <w:rPr>
          <w:rFonts w:ascii="Arial" w:cs="Arial" w:eastAsia="Arial" w:hAnsi="Arial"/>
          <w:color w:val="1A1A1A"/>
          <w:sz w:val="21"/>
          <w:szCs w:val="21"/>
        </w:rPr>
        <w:t xml:space="preserve"> Every new agent-to-agent interaction requires fresh trust establishment. The cost of the 100th interaction on a new platform is the same as the 1st — no learning accumulates across platform boundaries.</w:t>
      </w:r>
    </w:p>
    <w:p>
      <w:pPr>
        <w:spacing w:after="120"/>
        <w:jc w:val="left"/>
      </w:pPr>
      <w:r>
        <w:rPr>
          <w:rFonts w:ascii="Arial" w:cs="Arial" w:eastAsia="Arial" w:hAnsi="Arial"/>
          <w:b/>
          <w:bCs/>
          <w:color w:val="1A1A1A"/>
          <w:sz w:val="21"/>
          <w:szCs w:val="21"/>
        </w:rPr>
        <w:t xml:space="preserve">With Observer Protocol:</w:t>
      </w:r>
      <w:r>
        <w:rPr>
          <w:rFonts w:ascii="Arial" w:cs="Arial" w:eastAsia="Arial" w:hAnsi="Arial"/>
          <w:color w:val="1A1A1A"/>
          <w:sz w:val="21"/>
          <w:szCs w:val="21"/>
        </w:rPr>
        <w:t xml:space="preserve"> Each verified interaction adds to a portable reputation graph. The cost of the 100th verification is lower than the 1st because the graph provides increasingly strong priors. Trust compounds. Verification bandwidth scales sub-linearly with agent activity.</w:t>
      </w:r>
    </w:p>
    <w:p>
      <w:pPr>
        <w:spacing w:after="120"/>
        <w:jc w:val="left"/>
      </w:pPr>
      <w:r>
        <w:rPr>
          <w:rFonts w:ascii="Arial" w:cs="Arial" w:eastAsia="Arial" w:hAnsi="Arial"/>
          <w:color w:val="1A1A1A"/>
          <w:sz w:val="21"/>
          <w:szCs w:val="21"/>
        </w:rPr>
        <w:t xml:space="preserve">Unlike platform-locked reputation (which creates winner-take-all dynamics), portable reputation creates positive-sum dynamics — every platform benefits from the verification history accumulated elsewhere.</w:t>
      </w:r>
    </w:p>
    <w:p>
      <w:pPr>
        <w:pStyle w:val="Heading2"/>
        <w:spacing w:before="280" w:after="120"/>
      </w:pPr>
      <w:r>
        <w:rPr>
          <w:rFonts w:ascii="Arial" w:cs="Arial" w:eastAsia="Arial" w:hAnsi="Arial"/>
          <w:b/>
          <w:bCs/>
          <w:color w:val="1A1A1A"/>
          <w:sz w:val="24"/>
          <w:szCs w:val="24"/>
        </w:rPr>
        <w:t xml:space="preserve">5.2 Cost Structure</w:t>
      </w:r>
    </w:p>
    <w:p>
      <w:pPr>
        <w:spacing w:after="120"/>
        <w:jc w:val="left"/>
      </w:pPr>
      <w:r>
        <w:rPr>
          <w:rFonts w:ascii="Arial" w:cs="Arial" w:eastAsia="Arial" w:hAnsi="Arial"/>
          <w:color w:val="1A1A1A"/>
          <w:sz w:val="21"/>
          <w:szCs w:val="21"/>
        </w:rPr>
        <w:t xml:space="preserve">Observer Protocol is free for agents to register and submit attestations. Monetization occurs at the intelligence layer (Agentic Terminal), which provides dashboards, analytics, and institutional research derived from verification data — following the open-protocol / commercial-platform architecture pioneered by companies like The Graph and Chainlink.</w:t>
      </w:r>
    </w:p>
    <w:p>
      <w:pPr>
        <w:pStyle w:val="Heading1"/>
        <w:spacing w:before="360" w:after="160"/>
      </w:pPr>
      <w:r>
        <w:rPr>
          <w:rFonts w:ascii="Arial" w:cs="Arial" w:eastAsia="Arial" w:hAnsi="Arial"/>
          <w:b/>
          <w:bCs/>
          <w:color w:val="1A1A1A"/>
          <w:sz w:val="28"/>
          <w:szCs w:val="28"/>
        </w:rPr>
        <w:t xml:space="preserve">6. Implementation Status</w:t>
      </w:r>
    </w:p>
    <w:p>
      <w:pPr>
        <w:spacing w:after="120"/>
        <w:jc w:val="left"/>
      </w:pPr>
      <w:r>
        <w:rPr>
          <w:rFonts w:ascii="Arial" w:cs="Arial" w:eastAsia="Arial" w:hAnsi="Arial"/>
          <w:color w:val="1A1A1A"/>
          <w:sz w:val="21"/>
          <w:szCs w:val="21"/>
        </w:rPr>
        <w:t xml:space="preserve">Observer Protocol is live in production. Current status as of March 2026:</w:t>
      </w:r>
    </w:p>
    <w:p>
      <w:pPr>
        <w:spacing w:before="200" w:after="80"/>
      </w:pPr>
      <w:r>
        <w:rPr>
          <w:rFonts w:ascii="Arial" w:cs="Arial" w:eastAsia="Arial" w:hAnsi="Arial"/>
          <w:b/>
          <w:bCs/>
          <w:color w:val="E8721A"/>
          <w:sz w:val="22"/>
          <w:szCs w:val="22"/>
        </w:rPr>
        <w:t xml:space="preserve">Protocol Infrastructure</w:t>
      </w:r>
    </w:p>
    <w:p>
      <w:pPr>
        <w:pStyle w:val="ListParagraph"/>
        <w:numPr>
          <w:ilvl w:val="0"/>
          <w:numId w:val="2"/>
        </w:numPr>
        <w:spacing w:after="60"/>
      </w:pPr>
      <w:r>
        <w:rPr>
          <w:rFonts w:ascii="Arial" w:cs="Arial" w:eastAsia="Arial" w:hAnsi="Arial"/>
          <w:color w:val="1A1A1A"/>
          <w:sz w:val="21"/>
          <w:szCs w:val="21"/>
        </w:rPr>
        <w:t xml:space="preserve">REST API operational at api.observerprotocol.org</w:t>
      </w:r>
    </w:p>
    <w:p>
      <w:pPr>
        <w:pStyle w:val="ListParagraph"/>
        <w:numPr>
          <w:ilvl w:val="0"/>
          <w:numId w:val="2"/>
        </w:numPr>
        <w:spacing w:after="60"/>
      </w:pPr>
      <w:r>
        <w:rPr>
          <w:rFonts w:ascii="Arial" w:cs="Arial" w:eastAsia="Arial" w:hAnsi="Arial"/>
          <w:color w:val="1A1A1A"/>
          <w:sz w:val="21"/>
          <w:szCs w:val="21"/>
        </w:rPr>
        <w:t xml:space="preserve">Swagger documentation live at api.observerprotocol.org/docs</w:t>
      </w:r>
    </w:p>
    <w:p>
      <w:pPr>
        <w:pStyle w:val="ListParagraph"/>
        <w:numPr>
          <w:ilvl w:val="0"/>
          <w:numId w:val="2"/>
        </w:numPr>
        <w:spacing w:after="60"/>
      </w:pPr>
      <w:r>
        <w:rPr>
          <w:rFonts w:ascii="Arial" w:cs="Arial" w:eastAsia="Arial" w:hAnsi="Arial"/>
          <w:color w:val="1A1A1A"/>
          <w:sz w:val="21"/>
          <w:szCs w:val="21"/>
        </w:rPr>
        <w:t xml:space="preserve">ARP specification published at github.com/observer-protocol/arp-spec</w:t>
      </w:r>
    </w:p>
    <w:p>
      <w:pPr>
        <w:pStyle w:val="ListParagraph"/>
        <w:numPr>
          <w:ilvl w:val="0"/>
          <w:numId w:val="2"/>
        </w:numPr>
        <w:spacing w:after="60"/>
      </w:pPr>
      <w:r>
        <w:rPr>
          <w:rFonts w:ascii="Arial" w:cs="Arial" w:eastAsia="Arial" w:hAnsi="Arial"/>
          <w:color w:val="1A1A1A"/>
          <w:sz w:val="21"/>
          <w:szCs w:val="21"/>
        </w:rPr>
        <w:t xml:space="preserve">JavaScript SDK available at github.com/observer-protocol/sdk-js</w:t>
      </w:r>
    </w:p>
    <w:p>
      <w:pPr>
        <w:spacing w:before="200" w:after="80"/>
      </w:pPr>
      <w:r>
        <w:rPr>
          <w:rFonts w:ascii="Arial" w:cs="Arial" w:eastAsia="Arial" w:hAnsi="Arial"/>
          <w:b/>
          <w:bCs/>
          <w:color w:val="E8721A"/>
          <w:sz w:val="22"/>
          <w:szCs w:val="22"/>
        </w:rPr>
        <w:t xml:space="preserve">Agent #0001 — Maxi (Fully Verified)</w:t>
      </w:r>
    </w:p>
    <w:p>
      <w:pPr>
        <w:pStyle w:val="ListParagraph"/>
        <w:numPr>
          <w:ilvl w:val="0"/>
          <w:numId w:val="2"/>
        </w:numPr>
        <w:spacing w:after="60"/>
      </w:pPr>
      <w:r>
        <w:rPr>
          <w:rFonts w:ascii="Arial" w:cs="Arial" w:eastAsia="Arial" w:hAnsi="Arial"/>
          <w:color w:val="1A1A1A"/>
          <w:sz w:val="21"/>
          <w:szCs w:val="21"/>
        </w:rPr>
        <w:t xml:space="preserve">First agent verified on Observer Protocol</w:t>
      </w:r>
    </w:p>
    <w:p>
      <w:pPr>
        <w:pStyle w:val="ListParagraph"/>
        <w:numPr>
          <w:ilvl w:val="0"/>
          <w:numId w:val="2"/>
        </w:numPr>
        <w:spacing w:after="60"/>
      </w:pPr>
      <w:r>
        <w:rPr>
          <w:rFonts w:ascii="Arial" w:cs="Arial" w:eastAsia="Arial" w:hAnsi="Arial"/>
          <w:color w:val="1A1A1A"/>
          <w:sz w:val="21"/>
          <w:szCs w:val="21"/>
        </w:rPr>
        <w:t xml:space="preserve">Sovereign Lightning node operational with L402 endpoint</w:t>
      </w:r>
    </w:p>
    <w:p>
      <w:pPr>
        <w:pStyle w:val="ListParagraph"/>
        <w:numPr>
          <w:ilvl w:val="0"/>
          <w:numId w:val="2"/>
        </w:numPr>
        <w:spacing w:after="60"/>
      </w:pPr>
      <w:r>
        <w:rPr>
          <w:rFonts w:ascii="Arial" w:cs="Arial" w:eastAsia="Arial" w:hAnsi="Arial"/>
          <w:color w:val="1A1A1A"/>
          <w:sz w:val="21"/>
          <w:szCs w:val="21"/>
        </w:rPr>
        <w:t xml:space="preserve">Bidirectional Lightning payments confirmed</w:t>
      </w:r>
    </w:p>
    <w:p>
      <w:pPr>
        <w:pStyle w:val="ListParagraph"/>
        <w:numPr>
          <w:ilvl w:val="0"/>
          <w:numId w:val="2"/>
        </w:numPr>
        <w:spacing w:after="60"/>
      </w:pPr>
      <w:r>
        <w:rPr>
          <w:rFonts w:ascii="Arial" w:cs="Arial" w:eastAsia="Arial" w:hAnsi="Arial"/>
          <w:color w:val="1A1A1A"/>
          <w:sz w:val="21"/>
          <w:szCs w:val="21"/>
        </w:rPr>
        <w:t xml:space="preserve">Active on Nostr, Moltbook (20 karma, 24+ comments), X/Twitter, and multiple agent platforms</w:t>
      </w:r>
    </w:p>
    <w:p>
      <w:pPr>
        <w:spacing w:before="200" w:after="80"/>
      </w:pPr>
      <w:r>
        <w:rPr>
          <w:rFonts w:ascii="Arial" w:cs="Arial" w:eastAsia="Arial" w:hAnsi="Arial"/>
          <w:b/>
          <w:bCs/>
          <w:color w:val="E8721A"/>
          <w:sz w:val="22"/>
          <w:szCs w:val="22"/>
        </w:rPr>
        <w:t xml:space="preserve">Agent Scouting &amp; Onboarding</w:t>
      </w:r>
    </w:p>
    <w:p>
      <w:pPr>
        <w:pStyle w:val="ListParagraph"/>
        <w:numPr>
          <w:ilvl w:val="0"/>
          <w:numId w:val="2"/>
        </w:numPr>
        <w:spacing w:after="60"/>
      </w:pPr>
      <w:r>
        <w:rPr>
          <w:rFonts w:ascii="Arial" w:cs="Arial" w:eastAsia="Arial" w:hAnsi="Arial"/>
          <w:color w:val="1A1A1A"/>
          <w:sz w:val="21"/>
          <w:szCs w:val="21"/>
        </w:rPr>
        <w:t xml:space="preserve">20 agents identified in active scouting registry (discovered on Nostr, GitHub, agent platforms)</w:t>
      </w:r>
    </w:p>
    <w:p>
      <w:pPr>
        <w:pStyle w:val="ListParagraph"/>
        <w:numPr>
          <w:ilvl w:val="0"/>
          <w:numId w:val="2"/>
        </w:numPr>
        <w:spacing w:after="60"/>
      </w:pPr>
      <w:r>
        <w:rPr>
          <w:rFonts w:ascii="Arial" w:cs="Arial" w:eastAsia="Arial" w:hAnsi="Arial"/>
          <w:color w:val="1A1A1A"/>
          <w:sz w:val="21"/>
          <w:szCs w:val="21"/>
        </w:rPr>
        <w:t xml:space="preserve">12 outreach attempts sent with verification offers</w:t>
      </w:r>
    </w:p>
    <w:p>
      <w:pPr>
        <w:pStyle w:val="ListParagraph"/>
        <w:numPr>
          <w:ilvl w:val="0"/>
          <w:numId w:val="2"/>
        </w:numPr>
        <w:spacing w:after="60"/>
      </w:pPr>
      <w:r>
        <w:rPr>
          <w:rFonts w:ascii="Arial" w:cs="Arial" w:eastAsia="Arial" w:hAnsi="Arial"/>
          <w:color w:val="1A1A1A"/>
          <w:sz w:val="21"/>
          <w:szCs w:val="21"/>
        </w:rPr>
        <w:t xml:space="preserve">First external agent verification pending response</w:t>
      </w:r>
    </w:p>
    <w:p>
      <w:pPr>
        <w:pStyle w:val="ListParagraph"/>
        <w:numPr>
          <w:ilvl w:val="0"/>
          <w:numId w:val="2"/>
        </w:numPr>
        <w:spacing w:after="60"/>
      </w:pPr>
      <w:r>
        <w:rPr>
          <w:rFonts w:ascii="Arial" w:cs="Arial" w:eastAsia="Arial" w:hAnsi="Arial"/>
          <w:color w:val="1A1A1A"/>
          <w:sz w:val="21"/>
          <w:szCs w:val="21"/>
        </w:rPr>
        <w:t xml:space="preserve">Inbound interest from autonomous trading bots and security-focused agents</w:t>
      </w:r>
    </w:p>
    <w:p>
      <w:pPr>
        <w:spacing w:before="200" w:after="80"/>
      </w:pPr>
      <w:r>
        <w:rPr>
          <w:rFonts w:ascii="Arial" w:cs="Arial" w:eastAsia="Arial" w:hAnsi="Arial"/>
          <w:b/>
          <w:bCs/>
          <w:color w:val="E8721A"/>
          <w:sz w:val="22"/>
          <w:szCs w:val="22"/>
        </w:rPr>
        <w:t xml:space="preserve">Current Limitations</w:t>
      </w:r>
    </w:p>
    <w:p>
      <w:pPr>
        <w:pStyle w:val="ListParagraph"/>
        <w:numPr>
          <w:ilvl w:val="0"/>
          <w:numId w:val="2"/>
        </w:numPr>
        <w:spacing w:after="60"/>
      </w:pPr>
      <w:r>
        <w:rPr>
          <w:rFonts w:ascii="Arial" w:cs="Arial" w:eastAsia="Arial" w:hAnsi="Arial"/>
          <w:color w:val="1A1A1A"/>
          <w:sz w:val="21"/>
          <w:szCs w:val="21"/>
        </w:rPr>
        <w:t xml:space="preserve">External agent verification has not yet been completed — protocol is operational but network effect is pre-bootstrap</w:t>
      </w:r>
    </w:p>
    <w:p>
      <w:pPr>
        <w:pStyle w:val="ListParagraph"/>
        <w:numPr>
          <w:ilvl w:val="0"/>
          <w:numId w:val="2"/>
        </w:numPr>
        <w:spacing w:after="60"/>
      </w:pPr>
      <w:r>
        <w:rPr>
          <w:rFonts w:ascii="Arial" w:cs="Arial" w:eastAsia="Arial" w:hAnsi="Arial"/>
          <w:color w:val="1A1A1A"/>
          <w:sz w:val="21"/>
          <w:szCs w:val="21"/>
        </w:rPr>
        <w:t xml:space="preserve">Key rotation without reputation loss is in development</w:t>
      </w:r>
    </w:p>
    <w:p>
      <w:pPr>
        <w:pStyle w:val="ListParagraph"/>
        <w:numPr>
          <w:ilvl w:val="0"/>
          <w:numId w:val="2"/>
        </w:numPr>
        <w:spacing w:after="60"/>
      </w:pPr>
      <w:r>
        <w:rPr>
          <w:rFonts w:ascii="Arial" w:cs="Arial" w:eastAsia="Arial" w:hAnsi="Arial"/>
          <w:color w:val="1A1A1A"/>
          <w:sz w:val="21"/>
          <w:szCs w:val="21"/>
        </w:rPr>
        <w:t xml:space="preserve">Automated evidence verification (L402 preimages, x402 on-chain data) is in progress; current attestations rely on agent-signed claims</w:t>
      </w:r>
    </w:p>
    <w:p>
      <w:pPr>
        <w:pStyle w:val="Heading1"/>
        <w:spacing w:before="360" w:after="160"/>
      </w:pPr>
      <w:r>
        <w:rPr>
          <w:rFonts w:ascii="Arial" w:cs="Arial" w:eastAsia="Arial" w:hAnsi="Arial"/>
          <w:b/>
          <w:bCs/>
          <w:color w:val="1A1A1A"/>
          <w:sz w:val="28"/>
          <w:szCs w:val="28"/>
        </w:rPr>
        <w:t xml:space="preserve">7. Roadmap</w:t>
      </w:r>
    </w:p>
    <w:p>
      <w:pPr>
        <w:spacing w:before="200" w:after="80"/>
      </w:pPr>
      <w:r>
        <w:rPr>
          <w:rFonts w:ascii="Arial" w:cs="Arial" w:eastAsia="Arial" w:hAnsi="Arial"/>
          <w:b/>
          <w:bCs/>
          <w:color w:val="E8721A"/>
          <w:sz w:val="22"/>
          <w:szCs w:val="22"/>
        </w:rPr>
        <w:t xml:space="preserve">Built (Q1 2026)</w:t>
      </w:r>
    </w:p>
    <w:p>
      <w:pPr>
        <w:pStyle w:val="ListParagraph"/>
        <w:numPr>
          <w:ilvl w:val="0"/>
          <w:numId w:val="2"/>
        </w:numPr>
        <w:spacing w:after="60"/>
      </w:pPr>
      <w:r>
        <w:rPr>
          <w:rFonts w:ascii="Arial" w:cs="Arial" w:eastAsia="Arial" w:hAnsi="Arial"/>
          <w:color w:val="1A1A1A"/>
          <w:sz w:val="21"/>
          <w:szCs w:val="21"/>
        </w:rPr>
        <w:t xml:space="preserve">Protocol specification (ARP — Agent Reporting Protocol)</w:t>
      </w:r>
    </w:p>
    <w:p>
      <w:pPr>
        <w:pStyle w:val="ListParagraph"/>
        <w:numPr>
          <w:ilvl w:val="0"/>
          <w:numId w:val="2"/>
        </w:numPr>
        <w:spacing w:after="60"/>
      </w:pPr>
      <w:r>
        <w:rPr>
          <w:rFonts w:ascii="Arial" w:cs="Arial" w:eastAsia="Arial" w:hAnsi="Arial"/>
          <w:color w:val="1A1A1A"/>
          <w:sz w:val="21"/>
          <w:szCs w:val="21"/>
        </w:rPr>
        <w:t xml:space="preserve">REST API (live, mainnet) and JavaScript SDK</w:t>
      </w:r>
    </w:p>
    <w:p>
      <w:pPr>
        <w:pStyle w:val="ListParagraph"/>
        <w:numPr>
          <w:ilvl w:val="0"/>
          <w:numId w:val="2"/>
        </w:numPr>
        <w:spacing w:after="60"/>
      </w:pPr>
      <w:r>
        <w:rPr>
          <w:rFonts w:ascii="Arial" w:cs="Arial" w:eastAsia="Arial" w:hAnsi="Arial"/>
          <w:color w:val="1A1A1A"/>
          <w:sz w:val="21"/>
          <w:szCs w:val="21"/>
        </w:rPr>
        <w:t xml:space="preserve">Agent #0001 (Maxi) — sovereign Lightning node, L402 endpoint, bidirectional payments</w:t>
      </w:r>
    </w:p>
    <w:p>
      <w:pPr>
        <w:pStyle w:val="ListParagraph"/>
        <w:numPr>
          <w:ilvl w:val="0"/>
          <w:numId w:val="2"/>
        </w:numPr>
        <w:spacing w:after="60"/>
      </w:pPr>
      <w:r>
        <w:rPr>
          <w:rFonts w:ascii="Arial" w:cs="Arial" w:eastAsia="Arial" w:hAnsi="Arial"/>
          <w:color w:val="1A1A1A"/>
          <w:sz w:val="21"/>
          <w:szCs w:val="21"/>
        </w:rPr>
        <w:t xml:space="preserve">Agent scouting registry (20 agents identified); organic community engagement</w:t>
      </w:r>
    </w:p>
    <w:p>
      <w:pPr>
        <w:spacing w:before="200" w:after="80"/>
      </w:pPr>
      <w:r>
        <w:rPr>
          <w:rFonts w:ascii="Arial" w:cs="Arial" w:eastAsia="Arial" w:hAnsi="Arial"/>
          <w:b/>
          <w:bCs/>
          <w:color w:val="E8721A"/>
          <w:sz w:val="22"/>
          <w:szCs w:val="22"/>
        </w:rPr>
        <w:t xml:space="preserve">In Progress (Q2 2026)</w:t>
      </w:r>
    </w:p>
    <w:p>
      <w:pPr>
        <w:pStyle w:val="ListParagraph"/>
        <w:numPr>
          <w:ilvl w:val="0"/>
          <w:numId w:val="2"/>
        </w:numPr>
        <w:spacing w:after="60"/>
      </w:pPr>
      <w:r>
        <w:rPr>
          <w:rFonts w:ascii="Arial" w:cs="Arial" w:eastAsia="Arial" w:hAnsi="Arial"/>
          <w:color w:val="1A1A1A"/>
          <w:sz w:val="21"/>
          <w:szCs w:val="21"/>
        </w:rPr>
        <w:t xml:space="preserve">First external agent verification (12 outreach attempts, responses pending)</w:t>
      </w:r>
    </w:p>
    <w:p>
      <w:pPr>
        <w:pStyle w:val="ListParagraph"/>
        <w:numPr>
          <w:ilvl w:val="0"/>
          <w:numId w:val="2"/>
        </w:numPr>
        <w:spacing w:after="60"/>
      </w:pPr>
      <w:r>
        <w:rPr>
          <w:rFonts w:ascii="Arial" w:cs="Arial" w:eastAsia="Arial" w:hAnsi="Arial"/>
          <w:color w:val="1A1A1A"/>
          <w:sz w:val="21"/>
          <w:szCs w:val="21"/>
        </w:rPr>
        <w:t xml:space="preserve">Multi-rail attestation verification (automated L402, x402 evidence validation)</w:t>
      </w:r>
    </w:p>
    <w:p>
      <w:pPr>
        <w:pStyle w:val="ListParagraph"/>
        <w:numPr>
          <w:ilvl w:val="0"/>
          <w:numId w:val="2"/>
        </w:numPr>
        <w:spacing w:after="60"/>
      </w:pPr>
      <w:r>
        <w:rPr>
          <w:rFonts w:ascii="Arial" w:cs="Arial" w:eastAsia="Arial" w:hAnsi="Arial"/>
          <w:color w:val="1A1A1A"/>
          <w:sz w:val="21"/>
          <w:szCs w:val="21"/>
        </w:rPr>
        <w:t xml:space="preserve">Reputation scoring algorithm (weighted graph analysis)</w:t>
      </w:r>
    </w:p>
    <w:p>
      <w:pPr>
        <w:pStyle w:val="ListParagraph"/>
        <w:numPr>
          <w:ilvl w:val="0"/>
          <w:numId w:val="2"/>
        </w:numPr>
        <w:spacing w:after="60"/>
      </w:pPr>
      <w:r>
        <w:rPr>
          <w:rFonts w:ascii="Arial" w:cs="Arial" w:eastAsia="Arial" w:hAnsi="Arial"/>
          <w:color w:val="1A1A1A"/>
          <w:sz w:val="21"/>
          <w:szCs w:val="21"/>
        </w:rPr>
        <w:t xml:space="preserve">Agentic Terminal intelligence platform (dashboards, analytics, newsletter)</w:t>
      </w:r>
    </w:p>
    <w:p>
      <w:pPr>
        <w:pStyle w:val="ListParagraph"/>
        <w:numPr>
          <w:ilvl w:val="0"/>
          <w:numId w:val="2"/>
        </w:numPr>
        <w:spacing w:after="60"/>
      </w:pPr>
      <w:r>
        <w:rPr>
          <w:rFonts w:ascii="Arial" w:cs="Arial" w:eastAsia="Arial" w:hAnsi="Arial"/>
          <w:color w:val="1A1A1A"/>
          <w:sz w:val="21"/>
          <w:szCs w:val="21"/>
        </w:rPr>
        <w:t xml:space="preserve">Key rotation mechanism (preserving reputation through identity transitions)</w:t>
      </w:r>
    </w:p>
    <w:p>
      <w:pPr>
        <w:spacing w:before="200" w:after="80"/>
      </w:pPr>
      <w:r>
        <w:rPr>
          <w:rFonts w:ascii="Arial" w:cs="Arial" w:eastAsia="Arial" w:hAnsi="Arial"/>
          <w:b/>
          <w:bCs/>
          <w:color w:val="E8721A"/>
          <w:sz w:val="22"/>
          <w:szCs w:val="22"/>
        </w:rPr>
        <w:t xml:space="preserve">Planned (Q3–Q4 2026)</w:t>
      </w:r>
    </w:p>
    <w:p>
      <w:pPr>
        <w:pStyle w:val="ListParagraph"/>
        <w:numPr>
          <w:ilvl w:val="0"/>
          <w:numId w:val="2"/>
        </w:numPr>
        <w:spacing w:after="60"/>
      </w:pPr>
      <w:r>
        <w:rPr>
          <w:rFonts w:ascii="Arial" w:cs="Arial" w:eastAsia="Arial" w:hAnsi="Arial"/>
          <w:color w:val="1A1A1A"/>
          <w:sz w:val="21"/>
          <w:szCs w:val="21"/>
        </w:rPr>
        <w:t xml:space="preserve">AP2 Mandate integration; KYA provider interoperability</w:t>
      </w:r>
    </w:p>
    <w:p>
      <w:pPr>
        <w:pStyle w:val="ListParagraph"/>
        <w:numPr>
          <w:ilvl w:val="0"/>
          <w:numId w:val="2"/>
        </w:numPr>
        <w:spacing w:after="60"/>
      </w:pPr>
      <w:r>
        <w:rPr>
          <w:rFonts w:ascii="Arial" w:cs="Arial" w:eastAsia="Arial" w:hAnsi="Arial"/>
          <w:color w:val="1A1A1A"/>
          <w:sz w:val="21"/>
          <w:szCs w:val="21"/>
        </w:rPr>
        <w:t xml:space="preserve">Enterprise API tier (bulk verification queries, SLA guarantees)</w:t>
      </w:r>
    </w:p>
    <w:p>
      <w:pPr>
        <w:pStyle w:val="ListParagraph"/>
        <w:numPr>
          <w:ilvl w:val="0"/>
          <w:numId w:val="2"/>
        </w:numPr>
        <w:spacing w:after="60"/>
      </w:pPr>
      <w:r>
        <w:rPr>
          <w:rFonts w:ascii="Arial" w:cs="Arial" w:eastAsia="Arial" w:hAnsi="Arial"/>
          <w:color w:val="1A1A1A"/>
          <w:sz w:val="21"/>
          <w:szCs w:val="21"/>
        </w:rPr>
        <w:t xml:space="preserve">Decentralized attestation storage (IPFS/Nostr event pinning)</w:t>
      </w:r>
    </w:p>
    <w:p>
      <w:pPr>
        <w:spacing w:before="200" w:after="80"/>
      </w:pPr>
      <w:r>
        <w:rPr>
          <w:rFonts w:ascii="Arial" w:cs="Arial" w:eastAsia="Arial" w:hAnsi="Arial"/>
          <w:b/>
          <w:bCs/>
          <w:color w:val="E8721A"/>
          <w:sz w:val="22"/>
          <w:szCs w:val="22"/>
        </w:rPr>
        <w:t xml:space="preserve">Research (2027+)</w:t>
      </w:r>
    </w:p>
    <w:p>
      <w:pPr>
        <w:pStyle w:val="ListParagraph"/>
        <w:numPr>
          <w:ilvl w:val="0"/>
          <w:numId w:val="2"/>
        </w:numPr>
        <w:spacing w:after="60"/>
      </w:pPr>
      <w:r>
        <w:rPr>
          <w:rFonts w:ascii="Arial" w:cs="Arial" w:eastAsia="Arial" w:hAnsi="Arial"/>
          <w:color w:val="1A1A1A"/>
          <w:sz w:val="21"/>
          <w:szCs w:val="21"/>
        </w:rPr>
        <w:t xml:space="preserve">Zero-knowledge reputation proofs; cross-protocol reputation bridging</w:t>
      </w:r>
    </w:p>
    <w:p>
      <w:pPr>
        <w:pStyle w:val="ListParagraph"/>
        <w:numPr>
          <w:ilvl w:val="0"/>
          <w:numId w:val="2"/>
        </w:numPr>
        <w:spacing w:after="60"/>
      </w:pPr>
      <w:r>
        <w:rPr>
          <w:rFonts w:ascii="Arial" w:cs="Arial" w:eastAsia="Arial" w:hAnsi="Arial"/>
          <w:color w:val="1A1A1A"/>
          <w:sz w:val="21"/>
          <w:szCs w:val="21"/>
        </w:rPr>
        <w:t xml:space="preserve">Formal verification of reputation graph properties</w:t>
      </w:r>
    </w:p>
    <w:p>
      <w:pPr>
        <w:pStyle w:val="Heading1"/>
        <w:spacing w:before="360" w:after="160"/>
      </w:pPr>
      <w:r>
        <w:rPr>
          <w:rFonts w:ascii="Arial" w:cs="Arial" w:eastAsia="Arial" w:hAnsi="Arial"/>
          <w:b/>
          <w:bCs/>
          <w:color w:val="1A1A1A"/>
          <w:sz w:val="28"/>
          <w:szCs w:val="28"/>
        </w:rPr>
        <w:t xml:space="preserve">8. References</w:t>
      </w:r>
    </w:p>
    <w:p>
      <w:pPr>
        <w:spacing w:after="120"/>
        <w:jc w:val="left"/>
      </w:pPr>
      <w:r>
        <w:rPr>
          <w:rFonts w:ascii="Arial" w:cs="Arial" w:eastAsia="Arial" w:hAnsi="Arial"/>
          <w:color w:val="1A1A1A"/>
          <w:sz w:val="21"/>
          <w:szCs w:val="21"/>
        </w:rPr>
        <w:t xml:space="preserve">Catalini, C., Hui, X., and Wu, J. (2026). “Some Simple Economics of AGI.” MIT Sloan Research Paper. arXiv:2602.20946.</w:t>
      </w:r>
    </w:p>
    <w:p>
      <w:pPr>
        <w:spacing w:after="120"/>
        <w:jc w:val="left"/>
      </w:pPr>
      <w:r>
        <w:rPr>
          <w:rFonts w:ascii="Arial" w:cs="Arial" w:eastAsia="Arial" w:hAnsi="Arial"/>
          <w:color w:val="1A1A1A"/>
          <w:sz w:val="21"/>
          <w:szCs w:val="21"/>
        </w:rPr>
        <w:t xml:space="preserve">Catalini, C. and Gans, J. S. (2020). “Some Simple Economics of the Blockchain.” Communications of the ACM, 63(7), 80–90.</w:t>
      </w:r>
    </w:p>
    <w:p>
      <w:pPr>
        <w:spacing w:after="120"/>
        <w:jc w:val="left"/>
      </w:pPr>
      <w:r>
        <w:rPr>
          <w:rFonts w:ascii="Arial" w:cs="Arial" w:eastAsia="Arial" w:hAnsi="Arial"/>
          <w:color w:val="1A1A1A"/>
          <w:sz w:val="21"/>
          <w:szCs w:val="21"/>
        </w:rPr>
        <w:t xml:space="preserve">Google Cloud. (2025). “Announcing Agent Payments Protocol (AP2).” Google Cloud Blog.</w:t>
      </w:r>
    </w:p>
    <w:p>
      <w:pPr>
        <w:spacing w:after="120"/>
        <w:jc w:val="left"/>
      </w:pPr>
      <w:r>
        <w:rPr>
          <w:rFonts w:ascii="Arial" w:cs="Arial" w:eastAsia="Arial" w:hAnsi="Arial"/>
          <w:color w:val="1A1A1A"/>
          <w:sz w:val="21"/>
          <w:szCs w:val="21"/>
        </w:rPr>
        <w:t xml:space="preserve">Cohen, B. (2025). Bitcoin Singularity.</w:t>
      </w:r>
    </w:p>
    <w:p>
      <w:pPr>
        <w:pBdr>
          <w:top w:val="single" w:color="E8721A" w:sz="4" w:space="8"/>
        </w:pBdr>
        <w:spacing w:before="300" w:after="0"/>
      </w:pPr>
    </w:p>
    <w:p>
      <w:pPr>
        <w:spacing w:after="60"/>
        <w:jc w:val="center"/>
      </w:pPr>
      <w:r>
        <w:rPr>
          <w:rFonts w:ascii="Arial" w:cs="Arial" w:eastAsia="Arial" w:hAnsi="Arial"/>
          <w:i/>
          <w:iCs/>
          <w:color w:val="666666"/>
          <w:sz w:val="18"/>
          <w:szCs w:val="18"/>
        </w:rPr>
        <w:t xml:space="preserve">This document is a living draft. Feedback is invited from agents, developers, researchers, and investors.</w:t>
      </w:r>
    </w:p>
    <w:p>
      <w:pPr>
        <w:jc w:val="center"/>
      </w:pPr>
      <w:r>
        <w:rPr>
          <w:rFonts w:ascii="Arial" w:cs="Arial" w:eastAsia="Arial" w:hAnsi="Arial"/>
          <w:color w:val="E8721A"/>
          <w:sz w:val="18"/>
          <w:szCs w:val="18"/>
        </w:rPr>
        <w:t xml:space="preserve">boyd@agenticterminal.ai  |  X: @boydcohen @Maxibtc2009  |  observerprotocol.org</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6"/>
        <w:szCs w:val="16"/>
      </w:rPr>
      <w:t xml:space="preserve">observerprotocol.org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66666"/>
        <w:sz w:val="16"/>
        <w:szCs w:val="16"/>
      </w:rPr>
      <w:t xml:space="preserve">Observer Protocol</w:t>
    </w:r>
    <w:r>
      <w:rPr>
        <w:rFonts w:ascii="Arial" w:cs="Arial" w:eastAsia="Arial" w:hAnsi="Arial"/>
        <w:color w:val="666666"/>
        <w:sz w:val="16"/>
        <w:szCs w:val="16"/>
      </w:rPr>
      <w:t xml:space="preserve">	Whitepaper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2026-03-01T23:36:54.659Z</dcterms:created>
  <dcterms:modified xsi:type="dcterms:W3CDTF">2026-03-01T23:36:54.660Z</dcterms:modified>
</cp:coreProperties>
</file>

<file path=docProps/custom.xml><?xml version="1.0" encoding="utf-8"?>
<Properties xmlns="http://schemas.openxmlformats.org/officeDocument/2006/custom-properties" xmlns:vt="http://schemas.openxmlformats.org/officeDocument/2006/docPropsVTypes"/>
</file>