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E48" w:rsidRDefault="00C9059F">
      <w:pPr>
        <w:rPr>
          <w:sz w:val="24"/>
          <w:szCs w:val="24"/>
        </w:rPr>
      </w:pPr>
      <w:r>
        <w:rPr>
          <w:rFonts w:hint="eastAsia"/>
        </w:rPr>
        <w:t xml:space="preserve">                 </w:t>
      </w:r>
      <w:r w:rsidRPr="00C9059F">
        <w:rPr>
          <w:rFonts w:hint="eastAsia"/>
          <w:sz w:val="24"/>
          <w:szCs w:val="24"/>
        </w:rPr>
        <w:t xml:space="preserve"> </w:t>
      </w:r>
      <w:r>
        <w:rPr>
          <w:rFonts w:hint="eastAsia"/>
          <w:sz w:val="24"/>
          <w:szCs w:val="24"/>
        </w:rPr>
        <w:t xml:space="preserve">  </w:t>
      </w:r>
      <w:r w:rsidRPr="00C9059F">
        <w:rPr>
          <w:rFonts w:hint="eastAsia"/>
          <w:sz w:val="24"/>
          <w:szCs w:val="24"/>
        </w:rPr>
        <w:t>宏观数据</w:t>
      </w:r>
    </w:p>
    <w:p w:rsidR="001E1657" w:rsidRDefault="001E1657">
      <w:pPr>
        <w:rPr>
          <w:sz w:val="24"/>
          <w:szCs w:val="24"/>
        </w:rPr>
      </w:pPr>
    </w:p>
    <w:p w:rsidR="001E1657" w:rsidRPr="001E1657" w:rsidRDefault="001E1657" w:rsidP="001E1657">
      <w:pPr>
        <w:rPr>
          <w:sz w:val="24"/>
          <w:szCs w:val="24"/>
        </w:rPr>
      </w:pPr>
      <w:r w:rsidRPr="001E1657">
        <w:rPr>
          <w:rFonts w:hint="eastAsia"/>
          <w:sz w:val="24"/>
          <w:szCs w:val="24"/>
        </w:rPr>
        <w:t>国债到期收益率</w:t>
      </w:r>
      <w:r w:rsidRPr="001E1657">
        <w:rPr>
          <w:rFonts w:hint="eastAsia"/>
          <w:sz w:val="24"/>
          <w:szCs w:val="24"/>
        </w:rPr>
        <w:t xml:space="preserve"> </w:t>
      </w:r>
    </w:p>
    <w:p w:rsidR="001E1657" w:rsidRPr="001E1657" w:rsidRDefault="001E1657" w:rsidP="001E1657">
      <w:pPr>
        <w:rPr>
          <w:sz w:val="24"/>
          <w:szCs w:val="24"/>
        </w:rPr>
      </w:pPr>
      <w:r w:rsidRPr="001E1657">
        <w:rPr>
          <w:rFonts w:hint="eastAsia"/>
          <w:sz w:val="24"/>
          <w:szCs w:val="24"/>
        </w:rPr>
        <w:t>货币供应量（Ｍ１以及Ｍ２）</w:t>
      </w:r>
      <w:r w:rsidRPr="001E1657">
        <w:rPr>
          <w:rFonts w:hint="eastAsia"/>
          <w:sz w:val="24"/>
          <w:szCs w:val="24"/>
        </w:rPr>
        <w:t xml:space="preserve">   </w:t>
      </w:r>
    </w:p>
    <w:p w:rsidR="001E1657" w:rsidRPr="001E1657" w:rsidRDefault="001E1657" w:rsidP="001E1657">
      <w:pPr>
        <w:rPr>
          <w:sz w:val="24"/>
          <w:szCs w:val="24"/>
        </w:rPr>
      </w:pPr>
      <w:r w:rsidRPr="001E1657">
        <w:rPr>
          <w:rFonts w:hint="eastAsia"/>
          <w:sz w:val="24"/>
          <w:szCs w:val="24"/>
        </w:rPr>
        <w:t>居民消费者价格指数</w:t>
      </w:r>
      <w:r w:rsidRPr="001E1657">
        <w:rPr>
          <w:rFonts w:hint="eastAsia"/>
          <w:sz w:val="24"/>
          <w:szCs w:val="24"/>
        </w:rPr>
        <w:t xml:space="preserve">(CPI)  </w:t>
      </w:r>
    </w:p>
    <w:p w:rsidR="008321A0" w:rsidRDefault="001E1657" w:rsidP="001E1657">
      <w:pPr>
        <w:rPr>
          <w:sz w:val="24"/>
          <w:szCs w:val="24"/>
        </w:rPr>
      </w:pPr>
      <w:r w:rsidRPr="001E1657">
        <w:rPr>
          <w:rFonts w:hint="eastAsia"/>
          <w:sz w:val="24"/>
          <w:szCs w:val="24"/>
        </w:rPr>
        <w:t>宏观经济景气指数</w:t>
      </w:r>
    </w:p>
    <w:p w:rsidR="001E1657" w:rsidRPr="001E1657" w:rsidRDefault="001E1657" w:rsidP="001E1657">
      <w:pPr>
        <w:rPr>
          <w:sz w:val="24"/>
          <w:szCs w:val="24"/>
        </w:rPr>
      </w:pPr>
      <w:r w:rsidRPr="001E1657">
        <w:rPr>
          <w:rFonts w:hint="eastAsia"/>
          <w:sz w:val="24"/>
          <w:szCs w:val="24"/>
        </w:rPr>
        <w:t>(</w:t>
      </w:r>
      <w:r w:rsidRPr="001E1657">
        <w:rPr>
          <w:rFonts w:hint="eastAsia"/>
          <w:sz w:val="24"/>
          <w:szCs w:val="24"/>
        </w:rPr>
        <w:t>宏观预警指数、</w:t>
      </w:r>
      <w:r w:rsidRPr="001E1657">
        <w:rPr>
          <w:rFonts w:hint="eastAsia"/>
          <w:sz w:val="24"/>
          <w:szCs w:val="24"/>
        </w:rPr>
        <w:t xml:space="preserve"> </w:t>
      </w:r>
      <w:r w:rsidRPr="001E1657">
        <w:rPr>
          <w:rFonts w:hint="eastAsia"/>
          <w:sz w:val="24"/>
          <w:szCs w:val="24"/>
        </w:rPr>
        <w:t>宏观一致指数</w:t>
      </w:r>
      <w:r w:rsidRPr="001E1657">
        <w:rPr>
          <w:rFonts w:hint="eastAsia"/>
          <w:sz w:val="24"/>
          <w:szCs w:val="24"/>
        </w:rPr>
        <w:t xml:space="preserve"> </w:t>
      </w:r>
      <w:r w:rsidRPr="001E1657">
        <w:rPr>
          <w:rFonts w:hint="eastAsia"/>
          <w:sz w:val="24"/>
          <w:szCs w:val="24"/>
        </w:rPr>
        <w:t>、</w:t>
      </w:r>
      <w:r w:rsidRPr="001E1657">
        <w:rPr>
          <w:rFonts w:hint="eastAsia"/>
          <w:sz w:val="24"/>
          <w:szCs w:val="24"/>
        </w:rPr>
        <w:t xml:space="preserve"> </w:t>
      </w:r>
      <w:r w:rsidRPr="001E1657">
        <w:rPr>
          <w:rFonts w:hint="eastAsia"/>
          <w:sz w:val="24"/>
          <w:szCs w:val="24"/>
        </w:rPr>
        <w:t>宏观先行指数、宏观滞后指数</w:t>
      </w:r>
      <w:r w:rsidRPr="001E1657">
        <w:rPr>
          <w:rFonts w:hint="eastAsia"/>
          <w:sz w:val="24"/>
          <w:szCs w:val="24"/>
        </w:rPr>
        <w:t>)</w:t>
      </w:r>
    </w:p>
    <w:p w:rsidR="001E1657" w:rsidRDefault="001E1657" w:rsidP="001E1657">
      <w:pPr>
        <w:rPr>
          <w:sz w:val="24"/>
          <w:szCs w:val="24"/>
        </w:rPr>
      </w:pPr>
    </w:p>
    <w:p w:rsidR="00C9059F" w:rsidRPr="008E6834" w:rsidRDefault="00C9059F" w:rsidP="008E6834">
      <w:pPr>
        <w:pStyle w:val="3"/>
      </w:pPr>
      <w:r w:rsidRPr="008E6834">
        <w:rPr>
          <w:rFonts w:hint="eastAsia"/>
          <w:sz w:val="24"/>
          <w:szCs w:val="24"/>
        </w:rPr>
        <w:t>M1</w:t>
      </w:r>
      <w:r w:rsidRPr="008E6834">
        <w:rPr>
          <w:rFonts w:hint="eastAsia"/>
          <w:sz w:val="24"/>
          <w:szCs w:val="24"/>
        </w:rPr>
        <w:t>、</w:t>
      </w:r>
      <w:r w:rsidRPr="008E6834">
        <w:rPr>
          <w:rFonts w:hint="eastAsia"/>
          <w:sz w:val="24"/>
          <w:szCs w:val="24"/>
        </w:rPr>
        <w:t>M2</w:t>
      </w:r>
      <w:r w:rsidRPr="008E6834">
        <w:rPr>
          <w:rFonts w:hint="eastAsia"/>
          <w:sz w:val="24"/>
          <w:szCs w:val="24"/>
        </w:rPr>
        <w:t>数据</w:t>
      </w:r>
      <w:bookmarkStart w:id="0" w:name="_GoBack"/>
      <w:bookmarkEnd w:id="0"/>
    </w:p>
    <w:p w:rsidR="00A86EAB" w:rsidRDefault="00A86EAB" w:rsidP="00A86EAB">
      <w:pPr>
        <w:pStyle w:val="ac"/>
        <w:ind w:left="360" w:firstLineChars="0" w:firstLine="0"/>
        <w:rPr>
          <w:sz w:val="24"/>
          <w:szCs w:val="24"/>
        </w:rPr>
      </w:pPr>
    </w:p>
    <w:p w:rsidR="00747201" w:rsidRPr="00B72354" w:rsidRDefault="00747201" w:rsidP="00747201">
      <w:pPr>
        <w:ind w:firstLineChars="200" w:firstLine="420"/>
        <w:rPr>
          <w:rFonts w:hint="eastAsia"/>
        </w:rPr>
      </w:pPr>
      <w:r>
        <w:rPr>
          <w:rFonts w:hint="eastAsia"/>
        </w:rPr>
        <w:t>网站查询：</w:t>
      </w:r>
    </w:p>
    <w:p w:rsidR="00747201" w:rsidRDefault="00A86EAB" w:rsidP="00747201">
      <w:pPr>
        <w:pStyle w:val="ac"/>
        <w:ind w:left="360" w:firstLineChars="0" w:firstLine="0"/>
        <w:rPr>
          <w:sz w:val="24"/>
          <w:szCs w:val="24"/>
        </w:rPr>
      </w:pPr>
      <w:hyperlink r:id="rId7" w:history="1">
        <w:r w:rsidRPr="00857CB9">
          <w:rPr>
            <w:rStyle w:val="aa"/>
            <w:sz w:val="24"/>
            <w:szCs w:val="24"/>
          </w:rPr>
          <w:t>http://www.pbc.gov.cn/rmyh/index.html</w:t>
        </w:r>
      </w:hyperlink>
      <w:r w:rsidR="00747201">
        <w:rPr>
          <w:sz w:val="24"/>
          <w:szCs w:val="24"/>
        </w:rPr>
        <w:t xml:space="preserve">  </w:t>
      </w:r>
      <w:r w:rsidR="00747201">
        <w:rPr>
          <w:rFonts w:hint="eastAsia"/>
          <w:sz w:val="24"/>
          <w:szCs w:val="24"/>
        </w:rPr>
        <w:t>中国人民银行</w:t>
      </w:r>
    </w:p>
    <w:p w:rsidR="00A86EAB" w:rsidRPr="00747201" w:rsidRDefault="00A86EAB" w:rsidP="00A86EAB">
      <w:pPr>
        <w:pStyle w:val="ac"/>
        <w:ind w:left="360" w:firstLineChars="0" w:firstLine="0"/>
        <w:rPr>
          <w:sz w:val="24"/>
          <w:szCs w:val="24"/>
        </w:rPr>
      </w:pPr>
    </w:p>
    <w:p w:rsidR="00A86EAB" w:rsidRPr="00A86EAB" w:rsidRDefault="00A86EAB" w:rsidP="00A86EAB">
      <w:pPr>
        <w:pStyle w:val="ac"/>
        <w:ind w:left="360" w:firstLineChars="0" w:firstLine="0"/>
        <w:rPr>
          <w:rFonts w:hint="eastAsia"/>
          <w:sz w:val="24"/>
          <w:szCs w:val="24"/>
        </w:rPr>
      </w:pPr>
    </w:p>
    <w:p w:rsidR="00C9059F" w:rsidRDefault="00C9059F">
      <w:pPr>
        <w:rPr>
          <w:sz w:val="24"/>
          <w:szCs w:val="24"/>
        </w:rPr>
      </w:pPr>
      <w:r>
        <w:rPr>
          <w:noProof/>
          <w:sz w:val="24"/>
          <w:szCs w:val="24"/>
        </w:rPr>
        <w:drawing>
          <wp:inline distT="0" distB="0" distL="0" distR="0">
            <wp:extent cx="3076575" cy="187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7353" cy="1879682"/>
                    </a:xfrm>
                    <a:prstGeom prst="rect">
                      <a:avLst/>
                    </a:prstGeom>
                    <a:noFill/>
                    <a:ln w="9525">
                      <a:noFill/>
                      <a:miter lim="800000"/>
                      <a:headEnd/>
                      <a:tailEnd/>
                    </a:ln>
                  </pic:spPr>
                </pic:pic>
              </a:graphicData>
            </a:graphic>
          </wp:inline>
        </w:drawing>
      </w:r>
    </w:p>
    <w:p w:rsidR="0083139E" w:rsidRDefault="0083139E">
      <w:pPr>
        <w:rPr>
          <w:sz w:val="24"/>
          <w:szCs w:val="24"/>
        </w:rPr>
      </w:pPr>
    </w:p>
    <w:p w:rsidR="0083139E" w:rsidRDefault="0083139E">
      <w:pPr>
        <w:rPr>
          <w:rFonts w:hint="eastAsia"/>
          <w:sz w:val="24"/>
          <w:szCs w:val="24"/>
        </w:rPr>
      </w:pPr>
    </w:p>
    <w:p w:rsidR="00C9059F" w:rsidRDefault="00C9059F">
      <w:pPr>
        <w:rPr>
          <w:sz w:val="24"/>
          <w:szCs w:val="24"/>
        </w:rPr>
      </w:pPr>
      <w:r>
        <w:rPr>
          <w:rFonts w:hint="eastAsia"/>
          <w:sz w:val="24"/>
          <w:szCs w:val="24"/>
        </w:rPr>
        <w:t>2.</w:t>
      </w:r>
      <w:r w:rsidRPr="00C9059F">
        <w:rPr>
          <w:rFonts w:hint="eastAsia"/>
          <w:sz w:val="24"/>
          <w:szCs w:val="24"/>
        </w:rPr>
        <w:t xml:space="preserve"> </w:t>
      </w:r>
      <w:r>
        <w:rPr>
          <w:rFonts w:hint="eastAsia"/>
          <w:sz w:val="24"/>
          <w:szCs w:val="24"/>
        </w:rPr>
        <w:t>四大景气指数：预警指数，一致指数，先行指数和滞后指数</w:t>
      </w:r>
    </w:p>
    <w:p w:rsidR="00C9059F" w:rsidRDefault="00C9059F">
      <w:pPr>
        <w:rPr>
          <w:sz w:val="24"/>
          <w:szCs w:val="24"/>
        </w:rPr>
      </w:pPr>
      <w:r>
        <w:rPr>
          <w:noProof/>
          <w:sz w:val="24"/>
          <w:szCs w:val="24"/>
        </w:rPr>
        <w:drawing>
          <wp:inline distT="0" distB="0" distL="0" distR="0">
            <wp:extent cx="3280290" cy="1209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88446" cy="1212683"/>
                    </a:xfrm>
                    <a:prstGeom prst="rect">
                      <a:avLst/>
                    </a:prstGeom>
                    <a:noFill/>
                    <a:ln w="9525">
                      <a:noFill/>
                      <a:miter lim="800000"/>
                      <a:headEnd/>
                      <a:tailEnd/>
                    </a:ln>
                  </pic:spPr>
                </pic:pic>
              </a:graphicData>
            </a:graphic>
          </wp:inline>
        </w:drawing>
      </w:r>
    </w:p>
    <w:p w:rsidR="00C9059F" w:rsidRDefault="00C9059F" w:rsidP="00D01D97">
      <w:pPr>
        <w:pStyle w:val="3"/>
      </w:pPr>
      <w:r>
        <w:rPr>
          <w:rFonts w:hint="eastAsia"/>
        </w:rPr>
        <w:t>CPI</w:t>
      </w:r>
      <w:r>
        <w:rPr>
          <w:rFonts w:hint="eastAsia"/>
        </w:rPr>
        <w:t>数据</w:t>
      </w:r>
    </w:p>
    <w:p w:rsidR="00B72354" w:rsidRPr="00B72354" w:rsidRDefault="00AC5E16" w:rsidP="00B72354">
      <w:pPr>
        <w:rPr>
          <w:rFonts w:hint="eastAsia"/>
        </w:rPr>
      </w:pPr>
      <w:r>
        <w:rPr>
          <w:rFonts w:hint="eastAsia"/>
        </w:rPr>
        <w:t>网站</w:t>
      </w:r>
      <w:r w:rsidR="00B72354">
        <w:rPr>
          <w:rFonts w:hint="eastAsia"/>
        </w:rPr>
        <w:t>查询：</w:t>
      </w:r>
    </w:p>
    <w:p w:rsidR="00DF53C9" w:rsidRPr="00DF53C9" w:rsidRDefault="00DF53C9" w:rsidP="00DF53C9">
      <w:pPr>
        <w:rPr>
          <w:rFonts w:hint="eastAsia"/>
        </w:rPr>
      </w:pPr>
      <w:hyperlink r:id="rId10" w:history="1">
        <w:r w:rsidRPr="00857CB9">
          <w:rPr>
            <w:rStyle w:val="aa"/>
          </w:rPr>
          <w:t>http://www.stats.gov.cn/tjsj/</w:t>
        </w:r>
      </w:hyperlink>
      <w:r>
        <w:t xml:space="preserve"> </w:t>
      </w:r>
      <w:r>
        <w:rPr>
          <w:rFonts w:hint="eastAsia"/>
        </w:rPr>
        <w:t>国家统计局</w:t>
      </w:r>
    </w:p>
    <w:p w:rsidR="00C9059F" w:rsidRDefault="002C4115">
      <w:pPr>
        <w:rPr>
          <w:sz w:val="24"/>
          <w:szCs w:val="24"/>
        </w:rPr>
      </w:pPr>
      <w:r>
        <w:rPr>
          <w:noProof/>
          <w:sz w:val="24"/>
          <w:szCs w:val="24"/>
        </w:rPr>
        <w:lastRenderedPageBreak/>
        <w:drawing>
          <wp:inline distT="0" distB="0" distL="0" distR="0">
            <wp:extent cx="7162800" cy="638063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I.png"/>
                    <pic:cNvPicPr/>
                  </pic:nvPicPr>
                  <pic:blipFill>
                    <a:blip r:embed="rId11">
                      <a:extLst>
                        <a:ext uri="{28A0092B-C50C-407E-A947-70E740481C1C}">
                          <a14:useLocalDpi xmlns:a14="http://schemas.microsoft.com/office/drawing/2010/main" val="0"/>
                        </a:ext>
                      </a:extLst>
                    </a:blip>
                    <a:stretch>
                      <a:fillRect/>
                    </a:stretch>
                  </pic:blipFill>
                  <pic:spPr>
                    <a:xfrm>
                      <a:off x="0" y="0"/>
                      <a:ext cx="7181060" cy="6396901"/>
                    </a:xfrm>
                    <a:prstGeom prst="rect">
                      <a:avLst/>
                    </a:prstGeom>
                  </pic:spPr>
                </pic:pic>
              </a:graphicData>
            </a:graphic>
          </wp:inline>
        </w:drawing>
      </w:r>
    </w:p>
    <w:p w:rsidR="00314325" w:rsidRDefault="00314325" w:rsidP="002C4115">
      <w:pPr>
        <w:rPr>
          <w:sz w:val="24"/>
          <w:szCs w:val="24"/>
        </w:rPr>
      </w:pPr>
    </w:p>
    <w:p w:rsidR="00876A97" w:rsidRPr="00876A97" w:rsidRDefault="00876A97" w:rsidP="00775E00">
      <w:pPr>
        <w:pStyle w:val="3"/>
      </w:pPr>
      <w:r w:rsidRPr="00876A97">
        <w:t>上海银行间同业拆放利率</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上海银行间同业拆放利率（</w:t>
      </w:r>
      <w:r w:rsidRPr="00876A97">
        <w:rPr>
          <w:rFonts w:ascii="Arial" w:eastAsia="宋体" w:hAnsi="Arial" w:cs="Arial"/>
          <w:color w:val="333333"/>
          <w:kern w:val="0"/>
          <w:szCs w:val="21"/>
        </w:rPr>
        <w:t>Shanghai Interbank Offered Rate</w:t>
      </w:r>
      <w:r w:rsidRPr="00876A97">
        <w:rPr>
          <w:rFonts w:ascii="Arial" w:eastAsia="宋体" w:hAnsi="Arial" w:cs="Arial"/>
          <w:color w:val="333333"/>
          <w:kern w:val="0"/>
          <w:szCs w:val="21"/>
        </w:rPr>
        <w:t>，简称</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），以位于上海的全国银行间同业拆借中心为技术平台计算、发布并命名，是由</w:t>
      </w:r>
      <w:hyperlink r:id="rId12" w:tooltip="信用等级" w:history="1">
        <w:r w:rsidRPr="00876A97">
          <w:rPr>
            <w:rFonts w:ascii="Arial" w:eastAsia="宋体" w:hAnsi="Arial" w:cs="Arial"/>
            <w:color w:val="173ABD"/>
            <w:kern w:val="0"/>
            <w:szCs w:val="21"/>
            <w:u w:val="single"/>
          </w:rPr>
          <w:t>信用等级</w:t>
        </w:r>
      </w:hyperlink>
      <w:r w:rsidRPr="00876A97">
        <w:rPr>
          <w:rFonts w:ascii="Arial" w:eastAsia="宋体" w:hAnsi="Arial" w:cs="Arial"/>
          <w:color w:val="333333"/>
          <w:kern w:val="0"/>
          <w:szCs w:val="21"/>
        </w:rPr>
        <w:t>较高的银行组成报价团自主报出的人民币同业拆出利率计算确定的算术平均利率，是</w:t>
      </w:r>
      <w:hyperlink r:id="rId13" w:tooltip="单利" w:history="1">
        <w:r w:rsidRPr="00876A97">
          <w:rPr>
            <w:rFonts w:ascii="Arial" w:eastAsia="宋体" w:hAnsi="Arial" w:cs="Arial"/>
            <w:color w:val="173ABD"/>
            <w:kern w:val="0"/>
            <w:szCs w:val="21"/>
            <w:u w:val="single"/>
          </w:rPr>
          <w:t>单利</w:t>
        </w:r>
      </w:hyperlink>
      <w:r w:rsidRPr="00876A97">
        <w:rPr>
          <w:rFonts w:ascii="Arial" w:eastAsia="宋体" w:hAnsi="Arial" w:cs="Arial"/>
          <w:color w:val="333333"/>
          <w:kern w:val="0"/>
          <w:szCs w:val="21"/>
        </w:rPr>
        <w:t>、无担保、批发性</w:t>
      </w:r>
      <w:hyperlink r:id="rId14" w:tooltip="利率" w:history="1">
        <w:r w:rsidRPr="00876A97">
          <w:rPr>
            <w:rFonts w:ascii="Arial" w:eastAsia="宋体" w:hAnsi="Arial" w:cs="Arial"/>
            <w:color w:val="173ABD"/>
            <w:kern w:val="0"/>
            <w:szCs w:val="21"/>
            <w:u w:val="single"/>
          </w:rPr>
          <w:t>利率</w:t>
        </w:r>
      </w:hyperlink>
      <w:r w:rsidRPr="00876A97">
        <w:rPr>
          <w:rFonts w:ascii="Arial" w:eastAsia="宋体" w:hAnsi="Arial" w:cs="Arial"/>
          <w:color w:val="333333"/>
          <w:kern w:val="0"/>
          <w:szCs w:val="21"/>
        </w:rPr>
        <w:t>。</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目前，对社会公布的</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品种包括隔夜、</w:t>
      </w:r>
      <w:r w:rsidRPr="00876A97">
        <w:rPr>
          <w:rFonts w:ascii="Arial" w:eastAsia="宋体" w:hAnsi="Arial" w:cs="Arial"/>
          <w:color w:val="333333"/>
          <w:kern w:val="0"/>
          <w:szCs w:val="21"/>
        </w:rPr>
        <w:t>1</w:t>
      </w:r>
      <w:r w:rsidRPr="00876A97">
        <w:rPr>
          <w:rFonts w:ascii="Arial" w:eastAsia="宋体" w:hAnsi="Arial" w:cs="Arial"/>
          <w:color w:val="333333"/>
          <w:kern w:val="0"/>
          <w:szCs w:val="21"/>
        </w:rPr>
        <w:t>周、</w:t>
      </w:r>
      <w:r w:rsidRPr="00876A97">
        <w:rPr>
          <w:rFonts w:ascii="Arial" w:eastAsia="宋体" w:hAnsi="Arial" w:cs="Arial"/>
          <w:color w:val="333333"/>
          <w:kern w:val="0"/>
          <w:szCs w:val="21"/>
        </w:rPr>
        <w:t>2</w:t>
      </w:r>
      <w:r w:rsidRPr="00876A97">
        <w:rPr>
          <w:rFonts w:ascii="Arial" w:eastAsia="宋体" w:hAnsi="Arial" w:cs="Arial"/>
          <w:color w:val="333333"/>
          <w:kern w:val="0"/>
          <w:szCs w:val="21"/>
        </w:rPr>
        <w:t>周、</w:t>
      </w:r>
      <w:r w:rsidRPr="00876A97">
        <w:rPr>
          <w:rFonts w:ascii="Arial" w:eastAsia="宋体" w:hAnsi="Arial" w:cs="Arial"/>
          <w:color w:val="333333"/>
          <w:kern w:val="0"/>
          <w:szCs w:val="21"/>
        </w:rPr>
        <w:t>1</w:t>
      </w:r>
      <w:r w:rsidRPr="00876A97">
        <w:rPr>
          <w:rFonts w:ascii="Arial" w:eastAsia="宋体" w:hAnsi="Arial" w:cs="Arial"/>
          <w:color w:val="333333"/>
          <w:kern w:val="0"/>
          <w:szCs w:val="21"/>
        </w:rPr>
        <w:t>个月、</w:t>
      </w:r>
      <w:r w:rsidRPr="00876A97">
        <w:rPr>
          <w:rFonts w:ascii="Arial" w:eastAsia="宋体" w:hAnsi="Arial" w:cs="Arial"/>
          <w:color w:val="333333"/>
          <w:kern w:val="0"/>
          <w:szCs w:val="21"/>
        </w:rPr>
        <w:t>3</w:t>
      </w:r>
      <w:r w:rsidRPr="00876A97">
        <w:rPr>
          <w:rFonts w:ascii="Arial" w:eastAsia="宋体" w:hAnsi="Arial" w:cs="Arial"/>
          <w:color w:val="333333"/>
          <w:kern w:val="0"/>
          <w:szCs w:val="21"/>
        </w:rPr>
        <w:t>个月、</w:t>
      </w:r>
      <w:r w:rsidRPr="00876A97">
        <w:rPr>
          <w:rFonts w:ascii="Arial" w:eastAsia="宋体" w:hAnsi="Arial" w:cs="Arial"/>
          <w:color w:val="333333"/>
          <w:kern w:val="0"/>
          <w:szCs w:val="21"/>
        </w:rPr>
        <w:t>6</w:t>
      </w:r>
      <w:r w:rsidRPr="00876A97">
        <w:rPr>
          <w:rFonts w:ascii="Arial" w:eastAsia="宋体" w:hAnsi="Arial" w:cs="Arial"/>
          <w:color w:val="333333"/>
          <w:kern w:val="0"/>
          <w:szCs w:val="21"/>
        </w:rPr>
        <w:t>个月、</w:t>
      </w:r>
      <w:r w:rsidRPr="00876A97">
        <w:rPr>
          <w:rFonts w:ascii="Arial" w:eastAsia="宋体" w:hAnsi="Arial" w:cs="Arial"/>
          <w:color w:val="333333"/>
          <w:kern w:val="0"/>
          <w:szCs w:val="21"/>
        </w:rPr>
        <w:t>9</w:t>
      </w:r>
      <w:r w:rsidRPr="00876A97">
        <w:rPr>
          <w:rFonts w:ascii="Arial" w:eastAsia="宋体" w:hAnsi="Arial" w:cs="Arial"/>
          <w:color w:val="333333"/>
          <w:kern w:val="0"/>
          <w:szCs w:val="21"/>
        </w:rPr>
        <w:t>个月及</w:t>
      </w:r>
      <w:r w:rsidRPr="00876A97">
        <w:rPr>
          <w:rFonts w:ascii="Arial" w:eastAsia="宋体" w:hAnsi="Arial" w:cs="Arial"/>
          <w:color w:val="333333"/>
          <w:kern w:val="0"/>
          <w:szCs w:val="21"/>
        </w:rPr>
        <w:t>1</w:t>
      </w:r>
      <w:r w:rsidRPr="00876A97">
        <w:rPr>
          <w:rFonts w:ascii="Arial" w:eastAsia="宋体" w:hAnsi="Arial" w:cs="Arial"/>
          <w:color w:val="333333"/>
          <w:kern w:val="0"/>
          <w:szCs w:val="21"/>
        </w:rPr>
        <w:t>年。</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报价</w:t>
      </w:r>
      <w:hyperlink r:id="rId15" w:tooltip="银行团" w:history="1">
        <w:r w:rsidRPr="00876A97">
          <w:rPr>
            <w:rFonts w:ascii="Arial" w:eastAsia="宋体" w:hAnsi="Arial" w:cs="Arial"/>
            <w:color w:val="173ABD"/>
            <w:kern w:val="0"/>
            <w:szCs w:val="21"/>
            <w:u w:val="single"/>
          </w:rPr>
          <w:t>银行团</w:t>
        </w:r>
      </w:hyperlink>
      <w:r w:rsidRPr="00876A97">
        <w:rPr>
          <w:rFonts w:ascii="Arial" w:eastAsia="宋体" w:hAnsi="Arial" w:cs="Arial"/>
          <w:color w:val="333333"/>
          <w:kern w:val="0"/>
          <w:szCs w:val="21"/>
        </w:rPr>
        <w:t>现由</w:t>
      </w:r>
      <w:r w:rsidRPr="00876A97">
        <w:rPr>
          <w:rFonts w:ascii="Arial" w:eastAsia="宋体" w:hAnsi="Arial" w:cs="Arial"/>
          <w:color w:val="333333"/>
          <w:kern w:val="0"/>
          <w:szCs w:val="21"/>
        </w:rPr>
        <w:t>16</w:t>
      </w:r>
      <w:r w:rsidRPr="00876A97">
        <w:rPr>
          <w:rFonts w:ascii="Arial" w:eastAsia="宋体" w:hAnsi="Arial" w:cs="Arial"/>
          <w:color w:val="333333"/>
          <w:kern w:val="0"/>
          <w:szCs w:val="21"/>
        </w:rPr>
        <w:t>家商业银行组成。报价银行是公开市场</w:t>
      </w:r>
      <w:hyperlink r:id="rId16" w:tooltip="一级交易商" w:history="1">
        <w:r w:rsidRPr="00876A97">
          <w:rPr>
            <w:rFonts w:ascii="Arial" w:eastAsia="宋体" w:hAnsi="Arial" w:cs="Arial"/>
            <w:color w:val="173ABD"/>
            <w:kern w:val="0"/>
            <w:szCs w:val="21"/>
            <w:u w:val="single"/>
          </w:rPr>
          <w:t>一级交易商</w:t>
        </w:r>
      </w:hyperlink>
      <w:r w:rsidRPr="00876A97">
        <w:rPr>
          <w:rFonts w:ascii="Arial" w:eastAsia="宋体" w:hAnsi="Arial" w:cs="Arial"/>
          <w:color w:val="333333"/>
          <w:kern w:val="0"/>
          <w:szCs w:val="21"/>
        </w:rPr>
        <w:t>或外汇市场做市商，在中国货币市场上人民币交易相对活跃、</w:t>
      </w:r>
      <w:hyperlink r:id="rId17" w:tooltip="信息披露" w:history="1">
        <w:r w:rsidRPr="00876A97">
          <w:rPr>
            <w:rFonts w:ascii="Arial" w:eastAsia="宋体" w:hAnsi="Arial" w:cs="Arial"/>
            <w:color w:val="173ABD"/>
            <w:kern w:val="0"/>
            <w:szCs w:val="21"/>
            <w:u w:val="single"/>
          </w:rPr>
          <w:t>信息披露</w:t>
        </w:r>
      </w:hyperlink>
      <w:r w:rsidRPr="00876A97">
        <w:rPr>
          <w:rFonts w:ascii="Arial" w:eastAsia="宋体" w:hAnsi="Arial" w:cs="Arial"/>
          <w:color w:val="333333"/>
          <w:kern w:val="0"/>
          <w:szCs w:val="21"/>
        </w:rPr>
        <w:t>比较充分的银行。中国人民银行成立</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工作小组，依据《上海银行间同业拆放利率（</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）实施准则》确定和调整报价</w:t>
      </w:r>
      <w:hyperlink r:id="rId18" w:tooltip="银行团" w:history="1">
        <w:r w:rsidRPr="00876A97">
          <w:rPr>
            <w:rFonts w:ascii="Arial" w:eastAsia="宋体" w:hAnsi="Arial" w:cs="Arial"/>
            <w:color w:val="173ABD"/>
            <w:kern w:val="0"/>
            <w:szCs w:val="21"/>
            <w:u w:val="single"/>
          </w:rPr>
          <w:t>银行团</w:t>
        </w:r>
      </w:hyperlink>
      <w:r w:rsidRPr="00876A97">
        <w:rPr>
          <w:rFonts w:ascii="Arial" w:eastAsia="宋体" w:hAnsi="Arial" w:cs="Arial"/>
          <w:color w:val="333333"/>
          <w:kern w:val="0"/>
          <w:szCs w:val="21"/>
        </w:rPr>
        <w:t>成员、监督和管理</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运行、规范报价行与指定发布人行为。</w:t>
      </w:r>
    </w:p>
    <w:p w:rsidR="00876A97" w:rsidRDefault="00876A97" w:rsidP="004E06D7">
      <w:pPr>
        <w:widowControl/>
        <w:shd w:val="clear" w:color="auto" w:fill="FFFFFF"/>
        <w:spacing w:before="240" w:after="240"/>
        <w:ind w:firstLine="420"/>
        <w:jc w:val="left"/>
        <w:rPr>
          <w:rFonts w:ascii="Arial" w:eastAsia="宋体" w:hAnsi="Arial" w:cs="Arial"/>
          <w:color w:val="333333"/>
          <w:kern w:val="0"/>
          <w:szCs w:val="21"/>
        </w:rPr>
      </w:pPr>
      <w:r w:rsidRPr="00876A97">
        <w:rPr>
          <w:rFonts w:ascii="Arial" w:eastAsia="宋体" w:hAnsi="Arial" w:cs="Arial"/>
          <w:color w:val="333333"/>
          <w:kern w:val="0"/>
          <w:szCs w:val="21"/>
        </w:rPr>
        <w:t>全国银行间同业拆借中心受权</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的报价计算和信息发布。每个交易日根据各报价行的报价，剔除最高、最低各</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家报价，对其余报价进行算术平均计算后，得出每一期限品种的</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，并于</w:t>
      </w:r>
      <w:r w:rsidRPr="00876A97">
        <w:rPr>
          <w:rFonts w:ascii="Arial" w:eastAsia="宋体" w:hAnsi="Arial" w:cs="Arial"/>
          <w:color w:val="333333"/>
          <w:kern w:val="0"/>
          <w:szCs w:val="21"/>
        </w:rPr>
        <w:t>11:30</w:t>
      </w:r>
      <w:r w:rsidRPr="00876A97">
        <w:rPr>
          <w:rFonts w:ascii="Arial" w:eastAsia="宋体" w:hAnsi="Arial" w:cs="Arial"/>
          <w:color w:val="333333"/>
          <w:kern w:val="0"/>
          <w:szCs w:val="21"/>
        </w:rPr>
        <w:t>对外发布。</w:t>
      </w:r>
    </w:p>
    <w:p w:rsidR="004E06D7" w:rsidRPr="00876A97" w:rsidRDefault="004E06D7" w:rsidP="004E06D7">
      <w:pPr>
        <w:widowControl/>
        <w:shd w:val="clear" w:color="auto" w:fill="FFFFFF"/>
        <w:spacing w:before="240" w:after="240"/>
        <w:ind w:firstLine="420"/>
        <w:jc w:val="left"/>
        <w:rPr>
          <w:rFonts w:ascii="Arial" w:eastAsia="宋体" w:hAnsi="Arial" w:cs="Arial" w:hint="eastAsia"/>
          <w:color w:val="333333"/>
          <w:kern w:val="0"/>
          <w:szCs w:val="21"/>
        </w:rPr>
      </w:pPr>
      <w:r>
        <w:rPr>
          <w:rFonts w:ascii="Arial" w:hAnsi="Arial" w:cs="Arial"/>
          <w:b/>
          <w:bCs/>
          <w:color w:val="333333"/>
          <w:szCs w:val="21"/>
          <w:shd w:val="clear" w:color="auto" w:fill="FFFFFF"/>
        </w:rPr>
        <w:t>上海银行间同业拆放利率网站：</w:t>
      </w:r>
      <w:hyperlink r:id="rId19" w:tgtFrame="_blank" w:tooltip="http://www.shibor.org/" w:history="1">
        <w:r>
          <w:rPr>
            <w:rStyle w:val="aa"/>
            <w:rFonts w:ascii="Arial" w:hAnsi="Arial" w:cs="Arial"/>
            <w:color w:val="173ABD"/>
            <w:szCs w:val="21"/>
            <w:shd w:val="clear" w:color="auto" w:fill="FFFFFF"/>
          </w:rPr>
          <w:t>http://www.shibor.org/</w:t>
        </w:r>
      </w:hyperlink>
    </w:p>
    <w:p w:rsidR="00876A97" w:rsidRPr="00876A97" w:rsidRDefault="00876A97" w:rsidP="00775E00">
      <w:pPr>
        <w:pStyle w:val="4"/>
      </w:pPr>
      <w:bookmarkStart w:id="1" w:name=".E4.B8.8A.E6.B5.B7.E9.93.B6.E8.A1.8C.E9."/>
      <w:bookmarkEnd w:id="1"/>
      <w:r w:rsidRPr="00876A97">
        <w:t>上海银行间同业拆放利率（</w:t>
      </w:r>
      <w:r w:rsidRPr="00876A97">
        <w:t>Shibor</w:t>
      </w:r>
      <w:r w:rsidRPr="00876A97">
        <w:t>）技术方案</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基本点</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上海银行间同业拆放利率（</w:t>
      </w:r>
      <w:r w:rsidRPr="00876A97">
        <w:rPr>
          <w:rFonts w:ascii="Arial" w:eastAsia="宋体" w:hAnsi="Arial" w:cs="Arial"/>
          <w:color w:val="333333"/>
          <w:kern w:val="0"/>
          <w:szCs w:val="21"/>
        </w:rPr>
        <w:t>Shanghai Interbank Offered Rate</w:t>
      </w:r>
      <w:r w:rsidRPr="00876A97">
        <w:rPr>
          <w:rFonts w:ascii="Arial" w:eastAsia="宋体" w:hAnsi="Arial" w:cs="Arial"/>
          <w:color w:val="333333"/>
          <w:kern w:val="0"/>
          <w:szCs w:val="21"/>
        </w:rPr>
        <w:t>），简称</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w:t>
      </w:r>
      <w:r w:rsidRPr="00876A97">
        <w:rPr>
          <w:rFonts w:ascii="Arial" w:eastAsia="宋体" w:hAnsi="Arial" w:cs="Arial"/>
          <w:color w:val="333333"/>
          <w:kern w:val="0"/>
          <w:szCs w:val="21"/>
        </w:rPr>
        <w:t>Panel Banks</w:t>
      </w:r>
      <w:r w:rsidRPr="00876A97">
        <w:rPr>
          <w:rFonts w:ascii="Arial" w:eastAsia="宋体" w:hAnsi="Arial" w:cs="Arial"/>
          <w:color w:val="333333"/>
          <w:kern w:val="0"/>
          <w:szCs w:val="21"/>
        </w:rPr>
        <w:t>）是公开市场一级交易商或外汇市场做市商，在中国货币市场上人民币交易相对活跃、信息披露比较充分的银行。</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lastRenderedPageBreak/>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期限品种包括</w:t>
      </w:r>
      <w:r w:rsidRPr="00876A97">
        <w:rPr>
          <w:rFonts w:ascii="Arial" w:eastAsia="宋体" w:hAnsi="Arial" w:cs="Arial"/>
          <w:color w:val="333333"/>
          <w:kern w:val="0"/>
          <w:szCs w:val="21"/>
        </w:rPr>
        <w:t>O/N</w:t>
      </w:r>
      <w:r w:rsidRPr="00876A97">
        <w:rPr>
          <w:rFonts w:ascii="Arial" w:eastAsia="宋体" w:hAnsi="Arial" w:cs="Arial"/>
          <w:color w:val="333333"/>
          <w:kern w:val="0"/>
          <w:szCs w:val="21"/>
        </w:rPr>
        <w:t>、</w:t>
      </w:r>
      <w:r w:rsidRPr="00876A97">
        <w:rPr>
          <w:rFonts w:ascii="Arial" w:eastAsia="宋体" w:hAnsi="Arial" w:cs="Arial"/>
          <w:color w:val="333333"/>
          <w:kern w:val="0"/>
          <w:szCs w:val="21"/>
        </w:rPr>
        <w:t>1W</w:t>
      </w:r>
      <w:r w:rsidRPr="00876A97">
        <w:rPr>
          <w:rFonts w:ascii="Arial" w:eastAsia="宋体" w:hAnsi="Arial" w:cs="Arial"/>
          <w:color w:val="333333"/>
          <w:kern w:val="0"/>
          <w:szCs w:val="21"/>
        </w:rPr>
        <w:t>、</w:t>
      </w:r>
      <w:r w:rsidRPr="00876A97">
        <w:rPr>
          <w:rFonts w:ascii="Arial" w:eastAsia="宋体" w:hAnsi="Arial" w:cs="Arial"/>
          <w:color w:val="333333"/>
          <w:kern w:val="0"/>
          <w:szCs w:val="21"/>
        </w:rPr>
        <w:t>2W</w:t>
      </w:r>
      <w:r w:rsidRPr="00876A97">
        <w:rPr>
          <w:rFonts w:ascii="Arial" w:eastAsia="宋体" w:hAnsi="Arial" w:cs="Arial"/>
          <w:color w:val="333333"/>
          <w:kern w:val="0"/>
          <w:szCs w:val="21"/>
        </w:rPr>
        <w:t>、</w:t>
      </w:r>
      <w:r w:rsidRPr="00876A97">
        <w:rPr>
          <w:rFonts w:ascii="Arial" w:eastAsia="宋体" w:hAnsi="Arial" w:cs="Arial"/>
          <w:color w:val="333333"/>
          <w:kern w:val="0"/>
          <w:szCs w:val="21"/>
        </w:rPr>
        <w:t>1M</w:t>
      </w:r>
      <w:r w:rsidRPr="00876A97">
        <w:rPr>
          <w:rFonts w:ascii="Arial" w:eastAsia="宋体" w:hAnsi="Arial" w:cs="Arial"/>
          <w:color w:val="333333"/>
          <w:kern w:val="0"/>
          <w:szCs w:val="21"/>
        </w:rPr>
        <w:t>、</w:t>
      </w:r>
      <w:r w:rsidRPr="00876A97">
        <w:rPr>
          <w:rFonts w:ascii="Arial" w:eastAsia="宋体" w:hAnsi="Arial" w:cs="Arial"/>
          <w:color w:val="333333"/>
          <w:kern w:val="0"/>
          <w:szCs w:val="21"/>
        </w:rPr>
        <w:t>3M</w:t>
      </w:r>
      <w:r w:rsidRPr="00876A97">
        <w:rPr>
          <w:rFonts w:ascii="Arial" w:eastAsia="宋体" w:hAnsi="Arial" w:cs="Arial"/>
          <w:color w:val="333333"/>
          <w:kern w:val="0"/>
          <w:szCs w:val="21"/>
        </w:rPr>
        <w:t>、</w:t>
      </w:r>
      <w:r w:rsidRPr="00876A97">
        <w:rPr>
          <w:rFonts w:ascii="Arial" w:eastAsia="宋体" w:hAnsi="Arial" w:cs="Arial"/>
          <w:color w:val="333333"/>
          <w:kern w:val="0"/>
          <w:szCs w:val="21"/>
        </w:rPr>
        <w:t>6M</w:t>
      </w:r>
      <w:r w:rsidRPr="00876A97">
        <w:rPr>
          <w:rFonts w:ascii="Arial" w:eastAsia="宋体" w:hAnsi="Arial" w:cs="Arial"/>
          <w:color w:val="333333"/>
          <w:kern w:val="0"/>
          <w:szCs w:val="21"/>
        </w:rPr>
        <w:t>、</w:t>
      </w:r>
      <w:r w:rsidRPr="00876A97">
        <w:rPr>
          <w:rFonts w:ascii="Arial" w:eastAsia="宋体" w:hAnsi="Arial" w:cs="Arial"/>
          <w:color w:val="333333"/>
          <w:kern w:val="0"/>
          <w:szCs w:val="21"/>
        </w:rPr>
        <w:t>9M</w:t>
      </w:r>
      <w:r w:rsidRPr="00876A97">
        <w:rPr>
          <w:rFonts w:ascii="Arial" w:eastAsia="宋体" w:hAnsi="Arial" w:cs="Arial"/>
          <w:color w:val="333333"/>
          <w:kern w:val="0"/>
          <w:szCs w:val="21"/>
        </w:rPr>
        <w:t>、</w:t>
      </w:r>
      <w:r w:rsidRPr="00876A97">
        <w:rPr>
          <w:rFonts w:ascii="Arial" w:eastAsia="宋体" w:hAnsi="Arial" w:cs="Arial"/>
          <w:color w:val="333333"/>
          <w:kern w:val="0"/>
          <w:szCs w:val="21"/>
        </w:rPr>
        <w:t>1Y</w:t>
      </w:r>
      <w:r w:rsidRPr="00876A97">
        <w:rPr>
          <w:rFonts w:ascii="Arial" w:eastAsia="宋体" w:hAnsi="Arial" w:cs="Arial"/>
          <w:color w:val="333333"/>
          <w:kern w:val="0"/>
          <w:szCs w:val="21"/>
        </w:rPr>
        <w:t>。</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报　价</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报价银行通过</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报价平台进行报价，报价时间不得晚于每个交易日的上午</w:t>
      </w:r>
      <w:r w:rsidRPr="00876A97">
        <w:rPr>
          <w:rFonts w:ascii="Arial" w:eastAsia="宋体" w:hAnsi="Arial" w:cs="Arial"/>
          <w:color w:val="333333"/>
          <w:kern w:val="0"/>
          <w:szCs w:val="21"/>
        </w:rPr>
        <w:t>11</w:t>
      </w:r>
      <w:r w:rsidRPr="00876A97">
        <w:rPr>
          <w:rFonts w:ascii="Arial" w:eastAsia="宋体" w:hAnsi="Arial" w:cs="Arial"/>
          <w:color w:val="333333"/>
          <w:kern w:val="0"/>
          <w:szCs w:val="21"/>
        </w:rPr>
        <w:t>：</w:t>
      </w:r>
      <w:r w:rsidRPr="00876A97">
        <w:rPr>
          <w:rFonts w:ascii="Arial" w:eastAsia="宋体" w:hAnsi="Arial" w:cs="Arial"/>
          <w:color w:val="333333"/>
          <w:kern w:val="0"/>
          <w:szCs w:val="21"/>
        </w:rPr>
        <w:t>20</w:t>
      </w:r>
      <w:r w:rsidRPr="00876A97">
        <w:rPr>
          <w:rFonts w:ascii="Arial" w:eastAsia="宋体" w:hAnsi="Arial" w:cs="Arial"/>
          <w:color w:val="333333"/>
          <w:kern w:val="0"/>
          <w:szCs w:val="21"/>
        </w:rPr>
        <w:t>（北京时间）。</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报价银行以年利率（％，</w:t>
      </w:r>
      <w:r w:rsidRPr="00876A97">
        <w:rPr>
          <w:rFonts w:ascii="Arial" w:eastAsia="宋体" w:hAnsi="Arial" w:cs="Arial"/>
          <w:color w:val="333333"/>
          <w:kern w:val="0"/>
          <w:szCs w:val="21"/>
        </w:rPr>
        <w:t>Act/360</w:t>
      </w:r>
      <w:r w:rsidRPr="00876A97">
        <w:rPr>
          <w:rFonts w:ascii="Arial" w:eastAsia="宋体" w:hAnsi="Arial" w:cs="Arial"/>
          <w:color w:val="333333"/>
          <w:kern w:val="0"/>
          <w:szCs w:val="21"/>
        </w:rPr>
        <w:t>，</w:t>
      </w:r>
      <w:r w:rsidRPr="00876A97">
        <w:rPr>
          <w:rFonts w:ascii="Arial" w:eastAsia="宋体" w:hAnsi="Arial" w:cs="Arial"/>
          <w:color w:val="333333"/>
          <w:kern w:val="0"/>
          <w:szCs w:val="21"/>
        </w:rPr>
        <w:t>T+0</w:t>
      </w:r>
      <w:r w:rsidRPr="00876A97">
        <w:rPr>
          <w:rFonts w:ascii="Arial" w:eastAsia="宋体" w:hAnsi="Arial" w:cs="Arial"/>
          <w:color w:val="333333"/>
          <w:kern w:val="0"/>
          <w:szCs w:val="21"/>
        </w:rPr>
        <w:t>）对各期限品种报价，保留</w:t>
      </w:r>
      <w:r w:rsidRPr="00876A97">
        <w:rPr>
          <w:rFonts w:ascii="Arial" w:eastAsia="宋体" w:hAnsi="Arial" w:cs="Arial"/>
          <w:color w:val="333333"/>
          <w:kern w:val="0"/>
          <w:szCs w:val="21"/>
        </w:rPr>
        <w:t>4</w:t>
      </w:r>
      <w:r w:rsidRPr="00876A97">
        <w:rPr>
          <w:rFonts w:ascii="Arial" w:eastAsia="宋体" w:hAnsi="Arial" w:cs="Arial"/>
          <w:color w:val="333333"/>
          <w:kern w:val="0"/>
          <w:szCs w:val="21"/>
        </w:rPr>
        <w:t>位小数。</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报价银行通过专线网进行报价，每家报价银行分配一个专属的报价页面。</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计　算</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每个</w:t>
      </w:r>
      <w:hyperlink r:id="rId20" w:tooltip="交易日" w:history="1">
        <w:r w:rsidRPr="00876A97">
          <w:rPr>
            <w:rFonts w:ascii="Arial" w:eastAsia="宋体" w:hAnsi="Arial" w:cs="Arial"/>
            <w:color w:val="173ABD"/>
            <w:kern w:val="0"/>
            <w:szCs w:val="21"/>
            <w:u w:val="single"/>
          </w:rPr>
          <w:t>交易日</w:t>
        </w:r>
      </w:hyperlink>
      <w:r w:rsidRPr="00876A97">
        <w:rPr>
          <w:rFonts w:ascii="Arial" w:eastAsia="宋体" w:hAnsi="Arial" w:cs="Arial"/>
          <w:color w:val="333333"/>
          <w:kern w:val="0"/>
          <w:szCs w:val="21"/>
        </w:rPr>
        <w:t>根据各报价银行的报价，剔除最高、最低各</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家报卖价（</w:t>
      </w:r>
      <w:r w:rsidRPr="00876A97">
        <w:rPr>
          <w:rFonts w:ascii="Arial" w:eastAsia="宋体" w:hAnsi="Arial" w:cs="Arial"/>
          <w:color w:val="333333"/>
          <w:kern w:val="0"/>
          <w:szCs w:val="21"/>
        </w:rPr>
        <w:t>Ask</w:t>
      </w:r>
      <w:r w:rsidRPr="00876A97">
        <w:rPr>
          <w:rFonts w:ascii="Arial" w:eastAsia="宋体" w:hAnsi="Arial" w:cs="Arial"/>
          <w:color w:val="333333"/>
          <w:kern w:val="0"/>
          <w:szCs w:val="21"/>
        </w:rPr>
        <w:t>）。如果相同的最高（或最低）家数超过</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家，系统随机剔除其中</w:t>
      </w:r>
      <w:r w:rsidRPr="00876A97">
        <w:rPr>
          <w:rFonts w:ascii="Arial" w:eastAsia="宋体" w:hAnsi="Arial" w:cs="Arial"/>
          <w:color w:val="333333"/>
          <w:kern w:val="0"/>
          <w:szCs w:val="21"/>
        </w:rPr>
        <w:t>2</w:t>
      </w:r>
      <w:r w:rsidRPr="00876A97">
        <w:rPr>
          <w:rFonts w:ascii="Arial" w:eastAsia="宋体" w:hAnsi="Arial" w:cs="Arial"/>
          <w:color w:val="333333"/>
          <w:kern w:val="0"/>
          <w:szCs w:val="21"/>
        </w:rPr>
        <w:t>家。</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·11</w:t>
      </w:r>
      <w:r w:rsidRPr="00876A97">
        <w:rPr>
          <w:rFonts w:ascii="Arial" w:eastAsia="宋体" w:hAnsi="Arial" w:cs="Arial"/>
          <w:color w:val="333333"/>
          <w:kern w:val="0"/>
          <w:szCs w:val="21"/>
        </w:rPr>
        <w:t>：</w:t>
      </w:r>
      <w:r w:rsidRPr="00876A97">
        <w:rPr>
          <w:rFonts w:ascii="Arial" w:eastAsia="宋体" w:hAnsi="Arial" w:cs="Arial"/>
          <w:color w:val="333333"/>
          <w:kern w:val="0"/>
          <w:szCs w:val="21"/>
        </w:rPr>
        <w:t>20</w:t>
      </w:r>
      <w:r w:rsidRPr="00876A97">
        <w:rPr>
          <w:rFonts w:ascii="Arial" w:eastAsia="宋体" w:hAnsi="Arial" w:cs="Arial"/>
          <w:color w:val="333333"/>
          <w:kern w:val="0"/>
          <w:szCs w:val="21"/>
        </w:rPr>
        <w:t>起系统自动对其余报价进行算术平均，计算得出每一期限品种的</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w:t>
      </w:r>
    </w:p>
    <w:p w:rsidR="00876A97" w:rsidRPr="00876A97" w:rsidRDefault="00876A97" w:rsidP="00876A97">
      <w:pPr>
        <w:widowControl/>
        <w:shd w:val="clear" w:color="auto" w:fill="FFFFFF"/>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b/>
          <w:bCs/>
          <w:color w:val="333333"/>
          <w:kern w:val="0"/>
          <w:szCs w:val="21"/>
        </w:rPr>
        <w:t>发　布</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全国银行间同业拆借中心</w:t>
      </w:r>
      <w:r w:rsidRPr="00876A97">
        <w:rPr>
          <w:rFonts w:ascii="Arial" w:eastAsia="宋体" w:hAnsi="Arial" w:cs="Arial"/>
          <w:color w:val="333333"/>
          <w:kern w:val="0"/>
          <w:szCs w:val="21"/>
        </w:rPr>
        <w:t>11</w:t>
      </w:r>
      <w:r w:rsidRPr="00876A97">
        <w:rPr>
          <w:rFonts w:ascii="Arial" w:eastAsia="宋体" w:hAnsi="Arial" w:cs="Arial"/>
          <w:color w:val="333333"/>
          <w:kern w:val="0"/>
          <w:szCs w:val="21"/>
        </w:rPr>
        <w:t>：</w:t>
      </w:r>
      <w:r w:rsidRPr="00876A97">
        <w:rPr>
          <w:rFonts w:ascii="Arial" w:eastAsia="宋体" w:hAnsi="Arial" w:cs="Arial"/>
          <w:color w:val="333333"/>
          <w:kern w:val="0"/>
          <w:szCs w:val="21"/>
        </w:rPr>
        <w:t>30</w:t>
      </w:r>
      <w:r w:rsidRPr="00876A97">
        <w:rPr>
          <w:rFonts w:ascii="Arial" w:eastAsia="宋体" w:hAnsi="Arial" w:cs="Arial"/>
          <w:color w:val="333333"/>
          <w:kern w:val="0"/>
          <w:szCs w:val="21"/>
        </w:rPr>
        <w:t>起，通过网站对外发布当日</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w:t>
      </w:r>
    </w:p>
    <w:p w:rsidR="00876A97" w:rsidRPr="00876A97" w:rsidRDefault="00876A97" w:rsidP="00876A97">
      <w:pPr>
        <w:widowControl/>
        <w:shd w:val="clear" w:color="auto" w:fill="FFFFFF"/>
        <w:spacing w:before="240" w:after="240"/>
        <w:jc w:val="left"/>
        <w:rPr>
          <w:rFonts w:ascii="Arial" w:eastAsia="宋体" w:hAnsi="Arial" w:cs="Arial"/>
          <w:color w:val="333333"/>
          <w:kern w:val="0"/>
          <w:szCs w:val="21"/>
        </w:rPr>
      </w:pPr>
      <w:r w:rsidRPr="00876A97">
        <w:rPr>
          <w:rFonts w:ascii="Arial" w:eastAsia="宋体" w:hAnsi="Arial" w:cs="Arial"/>
          <w:color w:val="333333"/>
          <w:kern w:val="0"/>
          <w:szCs w:val="21"/>
        </w:rPr>
        <w:t xml:space="preserve">　　</w:t>
      </w:r>
      <w:r w:rsidRPr="00876A97">
        <w:rPr>
          <w:rFonts w:ascii="Arial" w:eastAsia="宋体" w:hAnsi="Arial" w:cs="Arial"/>
          <w:color w:val="333333"/>
          <w:kern w:val="0"/>
          <w:szCs w:val="21"/>
        </w:rPr>
        <w:t>·</w:t>
      </w:r>
      <w:r w:rsidRPr="00876A97">
        <w:rPr>
          <w:rFonts w:ascii="Arial" w:eastAsia="宋体" w:hAnsi="Arial" w:cs="Arial"/>
          <w:color w:val="333333"/>
          <w:kern w:val="0"/>
          <w:szCs w:val="21"/>
        </w:rPr>
        <w:t>各报价银行当日的报价数据与</w:t>
      </w:r>
      <w:r w:rsidRPr="00876A97">
        <w:rPr>
          <w:rFonts w:ascii="Arial" w:eastAsia="宋体" w:hAnsi="Arial" w:cs="Arial"/>
          <w:color w:val="333333"/>
          <w:kern w:val="0"/>
          <w:szCs w:val="21"/>
        </w:rPr>
        <w:t>Shibor</w:t>
      </w:r>
      <w:r w:rsidRPr="00876A97">
        <w:rPr>
          <w:rFonts w:ascii="Arial" w:eastAsia="宋体" w:hAnsi="Arial" w:cs="Arial"/>
          <w:color w:val="333333"/>
          <w:kern w:val="0"/>
          <w:szCs w:val="21"/>
        </w:rPr>
        <w:t>一并对外公布。</w:t>
      </w:r>
    </w:p>
    <w:p w:rsidR="002C4115" w:rsidRPr="00876A97" w:rsidRDefault="002C4115">
      <w:pPr>
        <w:rPr>
          <w:sz w:val="24"/>
          <w:szCs w:val="24"/>
        </w:rPr>
      </w:pPr>
    </w:p>
    <w:p w:rsidR="002C4115" w:rsidRPr="00C9059F" w:rsidRDefault="002C4115">
      <w:pPr>
        <w:rPr>
          <w:sz w:val="24"/>
          <w:szCs w:val="24"/>
        </w:rPr>
      </w:pPr>
      <w:r>
        <w:rPr>
          <w:rFonts w:hint="eastAsia"/>
          <w:noProof/>
          <w:sz w:val="24"/>
          <w:szCs w:val="24"/>
        </w:rPr>
        <w:lastRenderedPageBreak/>
        <w:drawing>
          <wp:inline distT="0" distB="0" distL="0" distR="0">
            <wp:extent cx="7229475" cy="64217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BOR.png"/>
                    <pic:cNvPicPr/>
                  </pic:nvPicPr>
                  <pic:blipFill>
                    <a:blip r:embed="rId21">
                      <a:extLst>
                        <a:ext uri="{28A0092B-C50C-407E-A947-70E740481C1C}">
                          <a14:useLocalDpi xmlns:a14="http://schemas.microsoft.com/office/drawing/2010/main" val="0"/>
                        </a:ext>
                      </a:extLst>
                    </a:blip>
                    <a:stretch>
                      <a:fillRect/>
                    </a:stretch>
                  </pic:blipFill>
                  <pic:spPr>
                    <a:xfrm>
                      <a:off x="0" y="0"/>
                      <a:ext cx="7247782" cy="6438015"/>
                    </a:xfrm>
                    <a:prstGeom prst="rect">
                      <a:avLst/>
                    </a:prstGeom>
                  </pic:spPr>
                </pic:pic>
              </a:graphicData>
            </a:graphic>
          </wp:inline>
        </w:drawing>
      </w:r>
    </w:p>
    <w:sectPr w:rsidR="002C4115" w:rsidRPr="00C9059F" w:rsidSect="004E68B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39D" w:rsidRDefault="0071539D" w:rsidP="00C9059F">
      <w:r>
        <w:separator/>
      </w:r>
    </w:p>
  </w:endnote>
  <w:endnote w:type="continuationSeparator" w:id="0">
    <w:p w:rsidR="0071539D" w:rsidRDefault="0071539D" w:rsidP="00C9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39D" w:rsidRDefault="0071539D" w:rsidP="00C9059F">
      <w:r>
        <w:separator/>
      </w:r>
    </w:p>
  </w:footnote>
  <w:footnote w:type="continuationSeparator" w:id="0">
    <w:p w:rsidR="0071539D" w:rsidRDefault="0071539D" w:rsidP="00C90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C3849"/>
    <w:multiLevelType w:val="hybridMultilevel"/>
    <w:tmpl w:val="07E2B1EC"/>
    <w:lvl w:ilvl="0" w:tplc="D8584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9F"/>
    <w:rsid w:val="00120098"/>
    <w:rsid w:val="001D69FD"/>
    <w:rsid w:val="001E1657"/>
    <w:rsid w:val="00216A98"/>
    <w:rsid w:val="002C4115"/>
    <w:rsid w:val="00314325"/>
    <w:rsid w:val="004E06D7"/>
    <w:rsid w:val="004E68B4"/>
    <w:rsid w:val="005233E0"/>
    <w:rsid w:val="00537BE5"/>
    <w:rsid w:val="006B7A50"/>
    <w:rsid w:val="0071539D"/>
    <w:rsid w:val="00747201"/>
    <w:rsid w:val="00775E00"/>
    <w:rsid w:val="00785D52"/>
    <w:rsid w:val="007F4603"/>
    <w:rsid w:val="0083139E"/>
    <w:rsid w:val="00831C1A"/>
    <w:rsid w:val="008321A0"/>
    <w:rsid w:val="00876A97"/>
    <w:rsid w:val="008B04E7"/>
    <w:rsid w:val="008E6834"/>
    <w:rsid w:val="009A6E48"/>
    <w:rsid w:val="00A86EAB"/>
    <w:rsid w:val="00AC5E16"/>
    <w:rsid w:val="00B72354"/>
    <w:rsid w:val="00C9059F"/>
    <w:rsid w:val="00D01D97"/>
    <w:rsid w:val="00D25ADE"/>
    <w:rsid w:val="00DD5733"/>
    <w:rsid w:val="00DF53C9"/>
    <w:rsid w:val="00E20263"/>
    <w:rsid w:val="00F40DCF"/>
    <w:rsid w:val="00F60341"/>
    <w:rsid w:val="00FE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19978"/>
  <w15:docId w15:val="{55A1F780-92EF-4BCC-8E78-1B2E663D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76A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75E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5E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5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059F"/>
    <w:rPr>
      <w:sz w:val="18"/>
      <w:szCs w:val="18"/>
    </w:rPr>
  </w:style>
  <w:style w:type="paragraph" w:styleId="a5">
    <w:name w:val="footer"/>
    <w:basedOn w:val="a"/>
    <w:link w:val="a6"/>
    <w:uiPriority w:val="99"/>
    <w:unhideWhenUsed/>
    <w:rsid w:val="00C9059F"/>
    <w:pPr>
      <w:tabs>
        <w:tab w:val="center" w:pos="4153"/>
        <w:tab w:val="right" w:pos="8306"/>
      </w:tabs>
      <w:snapToGrid w:val="0"/>
      <w:jc w:val="left"/>
    </w:pPr>
    <w:rPr>
      <w:sz w:val="18"/>
      <w:szCs w:val="18"/>
    </w:rPr>
  </w:style>
  <w:style w:type="character" w:customStyle="1" w:styleId="a6">
    <w:name w:val="页脚 字符"/>
    <w:basedOn w:val="a0"/>
    <w:link w:val="a5"/>
    <w:uiPriority w:val="99"/>
    <w:rsid w:val="00C9059F"/>
    <w:rPr>
      <w:sz w:val="18"/>
      <w:szCs w:val="18"/>
    </w:rPr>
  </w:style>
  <w:style w:type="paragraph" w:styleId="a7">
    <w:name w:val="Balloon Text"/>
    <w:basedOn w:val="a"/>
    <w:link w:val="a8"/>
    <w:uiPriority w:val="99"/>
    <w:semiHidden/>
    <w:unhideWhenUsed/>
    <w:rsid w:val="00C9059F"/>
    <w:rPr>
      <w:sz w:val="18"/>
      <w:szCs w:val="18"/>
    </w:rPr>
  </w:style>
  <w:style w:type="character" w:customStyle="1" w:styleId="a8">
    <w:name w:val="批注框文本 字符"/>
    <w:basedOn w:val="a0"/>
    <w:link w:val="a7"/>
    <w:uiPriority w:val="99"/>
    <w:semiHidden/>
    <w:rsid w:val="00C9059F"/>
    <w:rPr>
      <w:sz w:val="18"/>
      <w:szCs w:val="18"/>
    </w:rPr>
  </w:style>
  <w:style w:type="character" w:customStyle="1" w:styleId="20">
    <w:name w:val="标题 2 字符"/>
    <w:basedOn w:val="a0"/>
    <w:link w:val="2"/>
    <w:uiPriority w:val="9"/>
    <w:rsid w:val="00876A97"/>
    <w:rPr>
      <w:rFonts w:ascii="宋体" w:eastAsia="宋体" w:hAnsi="宋体" w:cs="宋体"/>
      <w:b/>
      <w:bCs/>
      <w:kern w:val="0"/>
      <w:sz w:val="36"/>
      <w:szCs w:val="36"/>
    </w:rPr>
  </w:style>
  <w:style w:type="paragraph" w:styleId="a9">
    <w:name w:val="Normal (Web)"/>
    <w:basedOn w:val="a"/>
    <w:uiPriority w:val="99"/>
    <w:semiHidden/>
    <w:unhideWhenUsed/>
    <w:rsid w:val="00876A97"/>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76A97"/>
    <w:rPr>
      <w:color w:val="0000FF"/>
      <w:u w:val="single"/>
    </w:rPr>
  </w:style>
  <w:style w:type="character" w:customStyle="1" w:styleId="30">
    <w:name w:val="标题 3 字符"/>
    <w:basedOn w:val="a0"/>
    <w:link w:val="3"/>
    <w:uiPriority w:val="9"/>
    <w:rsid w:val="00775E00"/>
    <w:rPr>
      <w:b/>
      <w:bCs/>
      <w:sz w:val="32"/>
      <w:szCs w:val="32"/>
    </w:rPr>
  </w:style>
  <w:style w:type="character" w:customStyle="1" w:styleId="40">
    <w:name w:val="标题 4 字符"/>
    <w:basedOn w:val="a0"/>
    <w:link w:val="4"/>
    <w:uiPriority w:val="9"/>
    <w:rsid w:val="00775E00"/>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DF53C9"/>
    <w:rPr>
      <w:color w:val="808080"/>
      <w:shd w:val="clear" w:color="auto" w:fill="E6E6E6"/>
    </w:rPr>
  </w:style>
  <w:style w:type="paragraph" w:styleId="ac">
    <w:name w:val="List Paragraph"/>
    <w:basedOn w:val="a"/>
    <w:uiPriority w:val="34"/>
    <w:qFormat/>
    <w:rsid w:val="00A86E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82869">
      <w:bodyDiv w:val="1"/>
      <w:marLeft w:val="0"/>
      <w:marRight w:val="0"/>
      <w:marTop w:val="0"/>
      <w:marBottom w:val="0"/>
      <w:divBdr>
        <w:top w:val="none" w:sz="0" w:space="0" w:color="auto"/>
        <w:left w:val="none" w:sz="0" w:space="0" w:color="auto"/>
        <w:bottom w:val="none" w:sz="0" w:space="0" w:color="auto"/>
        <w:right w:val="none" w:sz="0" w:space="0" w:color="auto"/>
      </w:divBdr>
      <w:divsChild>
        <w:div w:id="780762477">
          <w:marLeft w:val="75"/>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mbalib.com/wiki/%E5%8D%95%E5%88%A9" TargetMode="External"/><Relationship Id="rId18" Type="http://schemas.openxmlformats.org/officeDocument/2006/relationships/hyperlink" Target="http://wiki.mbalib.com/wiki/%E9%93%B6%E8%A1%8C%E5%9B%A2"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pbc.gov.cn/rmyh/index.html" TargetMode="External"/><Relationship Id="rId12" Type="http://schemas.openxmlformats.org/officeDocument/2006/relationships/hyperlink" Target="http://wiki.mbalib.com/wiki/%E4%BF%A1%E7%94%A8%E7%AD%89%E7%BA%A7" TargetMode="External"/><Relationship Id="rId17" Type="http://schemas.openxmlformats.org/officeDocument/2006/relationships/hyperlink" Target="http://wiki.mbalib.com/wiki/%E4%BF%A1%E6%81%AF%E6%8A%AB%E9%9C%B2" TargetMode="External"/><Relationship Id="rId2" Type="http://schemas.openxmlformats.org/officeDocument/2006/relationships/styles" Target="styles.xml"/><Relationship Id="rId16" Type="http://schemas.openxmlformats.org/officeDocument/2006/relationships/hyperlink" Target="http://wiki.mbalib.com/wiki/%E4%B8%80%E7%BA%A7%E4%BA%A4%E6%98%93%E5%95%86" TargetMode="External"/><Relationship Id="rId20" Type="http://schemas.openxmlformats.org/officeDocument/2006/relationships/hyperlink" Target="http://wiki.mbalib.com/wiki/%E4%BA%A4%E6%98%93%E6%97%A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iki.mbalib.com/wiki/%E9%93%B6%E8%A1%8C%E5%9B%A2" TargetMode="External"/><Relationship Id="rId23" Type="http://schemas.openxmlformats.org/officeDocument/2006/relationships/theme" Target="theme/theme1.xml"/><Relationship Id="rId10" Type="http://schemas.openxmlformats.org/officeDocument/2006/relationships/hyperlink" Target="http://www.stats.gov.cn/tjsj/" TargetMode="External"/><Relationship Id="rId19" Type="http://schemas.openxmlformats.org/officeDocument/2006/relationships/hyperlink" Target="http://www.shibor.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iki.mbalib.com/wiki/%E5%88%A9%E7%8E%87"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320</Words>
  <Characters>1828</Characters>
  <Application>Microsoft Office Word</Application>
  <DocSecurity>0</DocSecurity>
  <Lines>15</Lines>
  <Paragraphs>4</Paragraphs>
  <ScaleCrop>false</ScaleCrop>
  <Company>ylmfeng.com</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Forest10</cp:lastModifiedBy>
  <cp:revision>82</cp:revision>
  <dcterms:created xsi:type="dcterms:W3CDTF">2017-12-07T08:34:00Z</dcterms:created>
  <dcterms:modified xsi:type="dcterms:W3CDTF">2018-01-09T08:28:00Z</dcterms:modified>
</cp:coreProperties>
</file>