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6830E" w14:textId="7CFC1182" w:rsidR="00271854" w:rsidRDefault="00271854" w:rsidP="00271854">
      <w:pPr>
        <w:pStyle w:val="5"/>
      </w:pPr>
      <w:r w:rsidRPr="00271854">
        <w:t>尾盘拉升</w:t>
      </w:r>
    </w:p>
    <w:p w14:paraId="6D389F96" w14:textId="760E51AD" w:rsidR="00E532B1" w:rsidRPr="00FF1C6B" w:rsidRDefault="00591020" w:rsidP="00591020">
      <w:pPr>
        <w:rPr>
          <w:rFonts w:ascii="宋体" w:eastAsia="宋体" w:hAnsi="宋体" w:cs="宋体"/>
          <w:kern w:val="0"/>
          <w:sz w:val="24"/>
          <w:szCs w:val="24"/>
        </w:rPr>
      </w:pPr>
      <w:r w:rsidRPr="00FF1C6B">
        <w:rPr>
          <w:rFonts w:ascii="宋体" w:eastAsia="宋体" w:hAnsi="宋体" w:cs="宋体"/>
          <w:kern w:val="0"/>
          <w:sz w:val="24"/>
          <w:szCs w:val="24"/>
        </w:rPr>
        <w:t>尾盘拉升指的是股票在即将收盘时股价出现大单拉升，突然上涨的局面。尾盘是股市一天即将结束的标志，尾盘不仅是当日</w:t>
      </w:r>
      <w:hyperlink r:id="rId4" w:tgtFrame="_blank" w:history="1">
        <w:r w:rsidRPr="00FF1C6B">
          <w:rPr>
            <w:rFonts w:ascii="宋体" w:eastAsia="宋体" w:hAnsi="宋体" w:cs="宋体"/>
            <w:kern w:val="0"/>
            <w:sz w:val="24"/>
            <w:szCs w:val="24"/>
          </w:rPr>
          <w:t>多空双方</w:t>
        </w:r>
      </w:hyperlink>
      <w:r w:rsidRPr="00FF1C6B">
        <w:rPr>
          <w:rFonts w:ascii="宋体" w:eastAsia="宋体" w:hAnsi="宋体" w:cs="宋体"/>
          <w:kern w:val="0"/>
          <w:sz w:val="24"/>
          <w:szCs w:val="24"/>
        </w:rPr>
        <w:t>交战的总结，还是决定次日开盘的关键因素。主力拉升</w:t>
      </w:r>
      <w:hyperlink r:id="rId5" w:tgtFrame="_blank" w:history="1">
        <w:r w:rsidRPr="00FF1C6B">
          <w:rPr>
            <w:rFonts w:ascii="宋体" w:eastAsia="宋体" w:hAnsi="宋体" w:cs="宋体"/>
            <w:kern w:val="0"/>
            <w:sz w:val="24"/>
            <w:szCs w:val="24"/>
          </w:rPr>
          <w:t>吸筹</w:t>
        </w:r>
      </w:hyperlink>
      <w:r w:rsidRPr="00FF1C6B">
        <w:rPr>
          <w:rFonts w:ascii="宋体" w:eastAsia="宋体" w:hAnsi="宋体" w:cs="宋体"/>
          <w:kern w:val="0"/>
          <w:sz w:val="24"/>
          <w:szCs w:val="24"/>
        </w:rPr>
        <w:t>或放量</w:t>
      </w:r>
      <w:hyperlink r:id="rId6" w:tgtFrame="_blank" w:history="1">
        <w:r w:rsidRPr="00FF1C6B">
          <w:rPr>
            <w:rFonts w:ascii="宋体" w:eastAsia="宋体" w:hAnsi="宋体" w:cs="宋体"/>
            <w:kern w:val="0"/>
            <w:sz w:val="24"/>
            <w:szCs w:val="24"/>
          </w:rPr>
          <w:t>震仓</w:t>
        </w:r>
      </w:hyperlink>
      <w:r w:rsidRPr="00FF1C6B">
        <w:rPr>
          <w:rFonts w:ascii="宋体" w:eastAsia="宋体" w:hAnsi="宋体" w:cs="宋体"/>
          <w:kern w:val="0"/>
          <w:sz w:val="24"/>
          <w:szCs w:val="24"/>
        </w:rPr>
        <w:t>往往是在尾盘，市场波动最大时间段就是在临收市半小时左右。此时股价的异动，是主力取巧操作的典型手法，目的是为第二天的操作</w:t>
      </w:r>
      <w:proofErr w:type="gramStart"/>
      <w:r w:rsidRPr="00FF1C6B">
        <w:rPr>
          <w:rFonts w:ascii="宋体" w:eastAsia="宋体" w:hAnsi="宋体" w:cs="宋体"/>
          <w:kern w:val="0"/>
          <w:sz w:val="24"/>
          <w:szCs w:val="24"/>
        </w:rPr>
        <w:t>作准备</w:t>
      </w:r>
      <w:proofErr w:type="gramEnd"/>
      <w:r w:rsidRPr="00FF1C6B">
        <w:rPr>
          <w:rFonts w:ascii="宋体" w:eastAsia="宋体" w:hAnsi="宋体" w:cs="宋体"/>
          <w:kern w:val="0"/>
          <w:sz w:val="24"/>
          <w:szCs w:val="24"/>
        </w:rPr>
        <w:t>。</w:t>
      </w:r>
    </w:p>
    <w:p w14:paraId="7558412E" w14:textId="31EC5534" w:rsidR="00FC592A" w:rsidRDefault="00FC592A" w:rsidP="006A7177">
      <w:pPr>
        <w:pStyle w:val="2"/>
      </w:pPr>
      <w:bookmarkStart w:id="0" w:name="para1"/>
      <w:r>
        <w:t xml:space="preserve">分析 </w:t>
      </w:r>
      <w:bookmarkEnd w:id="0"/>
    </w:p>
    <w:p w14:paraId="55C97F37" w14:textId="728F2778" w:rsidR="00FC592A" w:rsidRDefault="00FC592A" w:rsidP="00FC592A">
      <w:pPr>
        <w:pStyle w:val="a4"/>
      </w:pPr>
      <w:r>
        <w:rPr>
          <w:rStyle w:val="textimg"/>
        </w:rPr>
        <w:t>尾盘拉升</w:t>
      </w:r>
      <w:r>
        <w:t>如果在大市和个股都处于低位时，部分主力机构入场吸筹拉升，尾盘拉升的目的是收集筹码。股市</w:t>
      </w:r>
      <w:hyperlink r:id="rId7" w:tgtFrame="_blank" w:history="1">
        <w:r>
          <w:rPr>
            <w:rStyle w:val="a3"/>
          </w:rPr>
          <w:t>资金流向指标</w:t>
        </w:r>
      </w:hyperlink>
      <w:r>
        <w:t>可有效判断主力在尾市逆市拉高股价，</w:t>
      </w:r>
      <w:proofErr w:type="gramStart"/>
      <w:r>
        <w:t>给产生</w:t>
      </w:r>
      <w:proofErr w:type="gramEnd"/>
      <w:r>
        <w:t>获利了结或止损离场者一个高价退出的机会，这样很容易收集到 筹码。这一收集筹码招数往往会在 主力入</w:t>
      </w:r>
      <w:proofErr w:type="gramStart"/>
      <w:r>
        <w:t>庄整个</w:t>
      </w:r>
      <w:proofErr w:type="gramEnd"/>
      <w:r>
        <w:t xml:space="preserve">收集筹码过程中断续出现多次。 </w:t>
      </w:r>
      <w:r w:rsidRPr="008C29D8">
        <w:rPr>
          <w:color w:val="FF0000"/>
        </w:rPr>
        <w:t>个股尾盘拉升幅度一般情况下不会超过5% 涨幅。因为此时的机构不希望暴露自己入庄的行踪</w:t>
      </w:r>
      <w:r>
        <w:t>。</w:t>
      </w:r>
      <w:r w:rsidRPr="008C29D8">
        <w:rPr>
          <w:color w:val="0070C0"/>
        </w:rPr>
        <w:t>当然在遇到上市公司马上就要公布利好消息等已不允许主力慢慢收集筹码的情况下</w:t>
      </w:r>
      <w:r>
        <w:t>，主力有时会一口气拉出巨大 涨幅甚至 涨停的方式收集筹码。</w:t>
      </w:r>
    </w:p>
    <w:p w14:paraId="2B8217BA" w14:textId="3DB3B325" w:rsidR="006A7177" w:rsidRDefault="006A7177" w:rsidP="00FC592A">
      <w:pPr>
        <w:pStyle w:val="a4"/>
      </w:pPr>
      <w:r>
        <w:rPr>
          <w:noProof/>
        </w:rPr>
        <w:drawing>
          <wp:inline distT="0" distB="0" distL="0" distR="0" wp14:anchorId="38EE51EA" wp14:editId="79EE154A">
            <wp:extent cx="4095750" cy="2695575"/>
            <wp:effectExtent l="0" t="0" r="0" b="9525"/>
            <wp:docPr id="2" name="图片 2" descr="http://pic.baike.soso.com/ugc/baikepic2/11574/20170604212658-119130588.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baike.soso.com/ugc/baikepic2/11574/20170604212658-119130588.jpg/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695575"/>
                    </a:xfrm>
                    <a:prstGeom prst="rect">
                      <a:avLst/>
                    </a:prstGeom>
                    <a:noFill/>
                    <a:ln>
                      <a:noFill/>
                    </a:ln>
                  </pic:spPr>
                </pic:pic>
              </a:graphicData>
            </a:graphic>
          </wp:inline>
        </w:drawing>
      </w:r>
    </w:p>
    <w:p w14:paraId="2E224469" w14:textId="50C38EE8" w:rsidR="00FC592A" w:rsidRDefault="00FC592A" w:rsidP="00FC592A">
      <w:pPr>
        <w:pStyle w:val="a4"/>
      </w:pPr>
      <w:r>
        <w:t>一般主力不选择在盘中拉升，如把股价早早拉起，则需要在盘中</w:t>
      </w:r>
      <w:hyperlink r:id="rId9" w:tgtFrame="_blank" w:history="1">
        <w:r>
          <w:rPr>
            <w:rStyle w:val="a3"/>
          </w:rPr>
          <w:t>护盘</w:t>
        </w:r>
      </w:hyperlink>
      <w:r>
        <w:t>接筹。特别在遇到大盘下午走坏时市场抛筹会特别大，要想把 股价维持在一定高位就要大量护盘资金，没有雄厚的资金是杠不住的，盘中拉升会前功尽弃。采用尾盘偷袭方式拉高，甚至拉升持续至收盘，这样可以避免或者缩短拉高后股价横盘的时间，并减少接盘操作。尾盘偷袭方式既达到拉高股价的目的又可以节省上</w:t>
      </w:r>
      <w:proofErr w:type="gramStart"/>
      <w:r>
        <w:t>拉成本</w:t>
      </w:r>
      <w:proofErr w:type="gramEnd"/>
      <w:r w:rsidR="00B55544">
        <w:rPr>
          <w:rFonts w:hint="eastAsia"/>
        </w:rPr>
        <w:t>,</w:t>
      </w:r>
      <w:r>
        <w:t>是一种较好的操盘技巧。</w:t>
      </w:r>
    </w:p>
    <w:p w14:paraId="73A74B68" w14:textId="6641DE2D" w:rsidR="00FC592A" w:rsidRDefault="00FC592A" w:rsidP="00FC592A">
      <w:pPr>
        <w:pStyle w:val="a4"/>
      </w:pPr>
      <w:r w:rsidRPr="00EA7565">
        <w:rPr>
          <w:color w:val="FF0000"/>
        </w:rPr>
        <w:lastRenderedPageBreak/>
        <w:t>观察尾盘半小时的走势至关重要</w:t>
      </w:r>
      <w:r>
        <w:t xml:space="preserve">。最后半小时走势平稳，第二天开盘 平开概率大。尾市出现 </w:t>
      </w:r>
      <w:hyperlink r:id="rId10" w:tgtFrame="_blank" w:history="1">
        <w:r>
          <w:rPr>
            <w:rStyle w:val="a3"/>
          </w:rPr>
          <w:t>急速拉升</w:t>
        </w:r>
      </w:hyperlink>
      <w:r>
        <w:t>，且 量能放大明显，</w:t>
      </w:r>
      <w:r w:rsidRPr="00CC708D">
        <w:rPr>
          <w:color w:val="FF0000"/>
        </w:rPr>
        <w:t>如果是第一天上涨</w:t>
      </w:r>
      <w:r>
        <w:t>，就有过夜价值。</w:t>
      </w:r>
      <w:r w:rsidRPr="00CC708D">
        <w:rPr>
          <w:color w:val="FF0000"/>
        </w:rPr>
        <w:t>如果已是连续多日上涨</w:t>
      </w:r>
      <w:r>
        <w:t>，尾市的急速拉升有</w:t>
      </w:r>
      <w:hyperlink r:id="rId11" w:tgtFrame="_blank" w:history="1">
        <w:proofErr w:type="gramStart"/>
        <w:r>
          <w:rPr>
            <w:rStyle w:val="a3"/>
          </w:rPr>
          <w:t>诱</w:t>
        </w:r>
        <w:proofErr w:type="gramEnd"/>
        <w:r>
          <w:rPr>
            <w:rStyle w:val="a3"/>
          </w:rPr>
          <w:t>多</w:t>
        </w:r>
      </w:hyperlink>
      <w:r>
        <w:t>嫌疑，要谨慎，不可轻易参与过夜。反之，尾市出现</w:t>
      </w:r>
      <w:proofErr w:type="gramStart"/>
      <w:r>
        <w:t>极</w:t>
      </w:r>
      <w:proofErr w:type="gramEnd"/>
      <w:r>
        <w:t>速下跌，也要具体分析下跌的原因，如果之前上涨幅度太多，当然不能碰，如果是非理性的下跌，下跌的又是龙头，第二天则 高开的机会大，那就要敢于在最后一分钟买进。</w:t>
      </w:r>
    </w:p>
    <w:p w14:paraId="159ADC2E" w14:textId="77777777" w:rsidR="00FC592A" w:rsidRPr="00FC592A" w:rsidRDefault="00FC592A" w:rsidP="00591020">
      <w:pPr>
        <w:rPr>
          <w:rFonts w:ascii="微软雅黑" w:eastAsia="微软雅黑" w:hAnsi="微软雅黑"/>
        </w:rPr>
      </w:pPr>
    </w:p>
    <w:p w14:paraId="4A1705B0" w14:textId="77777777" w:rsidR="0082139E" w:rsidRDefault="0082139E" w:rsidP="0082139E">
      <w:pPr>
        <w:pStyle w:val="2"/>
      </w:pPr>
      <w:bookmarkStart w:id="1" w:name="para2"/>
      <w:r>
        <w:t xml:space="preserve">实战应用 </w:t>
      </w:r>
      <w:bookmarkEnd w:id="1"/>
    </w:p>
    <w:p w14:paraId="2FBB7071" w14:textId="77777777" w:rsidR="0082139E" w:rsidRDefault="0082139E" w:rsidP="0082139E">
      <w:pPr>
        <w:pStyle w:val="a4"/>
      </w:pPr>
      <w:proofErr w:type="gramStart"/>
      <w:r>
        <w:t>盘尾拉升</w:t>
      </w:r>
      <w:proofErr w:type="gramEnd"/>
      <w:r>
        <w:t xml:space="preserve"> 是实战中经常遇到的问题，研究其意义及应对的办法，可以更好地把握买卖时机，提高收益率，减少损失率。</w:t>
      </w:r>
    </w:p>
    <w:p w14:paraId="44D56D0D" w14:textId="314B0CB5" w:rsidR="0082139E" w:rsidRDefault="0082139E" w:rsidP="0082139E">
      <w:pPr>
        <w:pStyle w:val="a4"/>
      </w:pPr>
      <w:r>
        <w:t>（一）、在大盘的不同状态下</w:t>
      </w:r>
    </w:p>
    <w:p w14:paraId="4AC568EF" w14:textId="77777777" w:rsidR="0082139E" w:rsidRDefault="0082139E" w:rsidP="0082139E">
      <w:pPr>
        <w:pStyle w:val="a4"/>
      </w:pPr>
      <w:r>
        <w:t xml:space="preserve">在 大盘弱势时， </w:t>
      </w:r>
      <w:proofErr w:type="gramStart"/>
      <w:r>
        <w:t>个股盘尾拉升</w:t>
      </w:r>
      <w:proofErr w:type="gramEnd"/>
      <w:r>
        <w:t xml:space="preserve">基本可以肯定为 </w:t>
      </w:r>
      <w:hyperlink r:id="rId12" w:tgtFrame="_blank" w:history="1">
        <w:r>
          <w:rPr>
            <w:rStyle w:val="a3"/>
          </w:rPr>
          <w:t>吸筹</w:t>
        </w:r>
      </w:hyperlink>
      <w:r>
        <w:t>打压，或者 拉高 股价寻找 出货机会，次日下跌的概率极大。因此应对的办法是及时逢高卖出，越拉越卖，千万不要犹豫，不要错过 减仓的好机会。</w:t>
      </w:r>
    </w:p>
    <w:p w14:paraId="1257712B" w14:textId="77777777" w:rsidR="0082139E" w:rsidRDefault="0082139E" w:rsidP="0082139E">
      <w:pPr>
        <w:pStyle w:val="a4"/>
      </w:pPr>
      <w:r>
        <w:t>在大盘强势时，参考以下条件：</w:t>
      </w:r>
    </w:p>
    <w:p w14:paraId="3F9D3804" w14:textId="2733505A" w:rsidR="0082139E" w:rsidRDefault="0082139E" w:rsidP="0082139E">
      <w:pPr>
        <w:pStyle w:val="a4"/>
      </w:pPr>
      <w:r>
        <w:t>（二）、在个股的不同位置</w:t>
      </w:r>
    </w:p>
    <w:p w14:paraId="0D7AD08A" w14:textId="77777777" w:rsidR="0082139E" w:rsidRDefault="0082139E" w:rsidP="0082139E">
      <w:pPr>
        <w:pStyle w:val="a4"/>
      </w:pPr>
      <w:r>
        <w:t>在 个股的 低位出现尾市急拉现象，一般说明 主力掌握的 筹码不足， 拉高是为了 吸筹，以备打压 股价之用。次日甚至此后数日，下跌概率极大。因此应对的办法是逢高卖出，以后加强观察。</w:t>
      </w:r>
    </w:p>
    <w:p w14:paraId="3B9F04DE" w14:textId="77777777" w:rsidR="0082139E" w:rsidRDefault="0082139E" w:rsidP="0082139E">
      <w:pPr>
        <w:pStyle w:val="a4"/>
      </w:pPr>
      <w:r>
        <w:t>在 个股的中位出现尾市急拉现象，一般说明处于拉升中继，如果全天股价均在高处，则次日上涨的概率较大；但如果全日股价处于 盘整状态，而尾市急拉，说明 洗盘即将开始，尾市拉升，是为了加大洗盘空间但同时又不愿深跌，以免廉价 筹码被散户抢去。因此应对的办法是：既可以出局，也可以观察待变。</w:t>
      </w:r>
    </w:p>
    <w:p w14:paraId="5E8A7E1B" w14:textId="77777777" w:rsidR="0082139E" w:rsidRDefault="0082139E" w:rsidP="0082139E">
      <w:pPr>
        <w:pStyle w:val="a4"/>
      </w:pPr>
      <w:r>
        <w:t>在 个股的高位出现尾市急拉，一般是为了加大 出货空间，逢高及时卖出是明智的选择。</w:t>
      </w:r>
    </w:p>
    <w:p w14:paraId="0214BA43" w14:textId="77777777" w:rsidR="0082139E" w:rsidRDefault="0082139E" w:rsidP="0082139E">
      <w:pPr>
        <w:pStyle w:val="a4"/>
      </w:pPr>
      <w:r>
        <w:t>对 主力严重 控盘股票的尾市拉升，一般可以不理会、不参与，因为 庄家可以随意定义 股价，既然可以拉升，也完全可以打压。</w:t>
      </w:r>
    </w:p>
    <w:p w14:paraId="703A57C1" w14:textId="769E42F1" w:rsidR="0082139E" w:rsidRDefault="0082139E" w:rsidP="0082139E">
      <w:pPr>
        <w:pStyle w:val="a4"/>
      </w:pPr>
      <w:r>
        <w:t>（三）、在</w:t>
      </w:r>
      <w:hyperlink r:id="rId13" w:tgtFrame="_blank" w:history="1">
        <w:r>
          <w:rPr>
            <w:rStyle w:val="a3"/>
          </w:rPr>
          <w:t>流通盘</w:t>
        </w:r>
      </w:hyperlink>
      <w:r>
        <w:t>不一的 个股中</w:t>
      </w:r>
    </w:p>
    <w:p w14:paraId="094588E5" w14:textId="76441FF4" w:rsidR="0082139E" w:rsidRDefault="0082139E" w:rsidP="0082139E">
      <w:pPr>
        <w:pStyle w:val="a4"/>
        <w:rPr>
          <w:color w:val="FF0000"/>
        </w:rPr>
      </w:pPr>
      <w:r>
        <w:t xml:space="preserve">在 </w:t>
      </w:r>
      <w:hyperlink r:id="rId14" w:tgtFrame="_blank" w:history="1">
        <w:r>
          <w:rPr>
            <w:rStyle w:val="a3"/>
          </w:rPr>
          <w:t>大盘股</w:t>
        </w:r>
      </w:hyperlink>
      <w:r>
        <w:t xml:space="preserve">的炒作中，尾市拉升出现的概率一般要大于 </w:t>
      </w:r>
      <w:hyperlink r:id="rId15" w:tgtFrame="_blank" w:history="1">
        <w:r>
          <w:rPr>
            <w:rStyle w:val="a3"/>
          </w:rPr>
          <w:t>小盘股</w:t>
        </w:r>
      </w:hyperlink>
      <w:r>
        <w:t xml:space="preserve">。因为在 大盘股的炒作中， 主力必须努力解决不 控盘问题。由于2001年以来 </w:t>
      </w:r>
      <w:hyperlink r:id="rId16" w:tgtFrame="_blank" w:history="1">
        <w:r>
          <w:rPr>
            <w:rStyle w:val="a3"/>
          </w:rPr>
          <w:t>庄股</w:t>
        </w:r>
      </w:hyperlink>
      <w:r>
        <w:t>的惨败，高 控盘的炒作模式已被市场根本否定。 庄股的大跳水，给新的市场 主力敲响</w:t>
      </w:r>
      <w:r>
        <w:lastRenderedPageBreak/>
        <w:t>了警钟。在 行情中，我们看到一种新的操作手法：</w:t>
      </w:r>
      <w:proofErr w:type="gramStart"/>
      <w:r>
        <w:t>不</w:t>
      </w:r>
      <w:proofErr w:type="gramEnd"/>
      <w:r>
        <w:t>控盘操作正在被市场广泛应用。</w:t>
      </w:r>
      <w:r w:rsidRPr="005E6AEA">
        <w:rPr>
          <w:color w:val="FF0000"/>
        </w:rPr>
        <w:t>如何做到既</w:t>
      </w:r>
      <w:proofErr w:type="gramStart"/>
      <w:r w:rsidRPr="005E6AEA">
        <w:rPr>
          <w:color w:val="FF0000"/>
        </w:rPr>
        <w:t>不</w:t>
      </w:r>
      <w:proofErr w:type="gramEnd"/>
      <w:r w:rsidRPr="005E6AEA">
        <w:rPr>
          <w:color w:val="FF0000"/>
        </w:rPr>
        <w:t>控盘又能推高股价？</w:t>
      </w:r>
      <w:r>
        <w:t>一是充分利用大盘气势和板块效应，二是多次使用尾市拉升的手法。因为尾盘的时间短，抛压小，拉升时 成交量不大， 主力买入的筹码有限。</w:t>
      </w:r>
      <w:r w:rsidRPr="00B4425D">
        <w:rPr>
          <w:color w:val="FF0000"/>
        </w:rPr>
        <w:t>第二天，如果大盘不是太坏的话，一般 股价都能在高位撑住</w:t>
      </w:r>
      <w:r>
        <w:t>。在大盘股的炒作中， 比如民生银行、</w:t>
      </w:r>
      <w:hyperlink r:id="rId17" w:tgtFrame="_blank" w:history="1">
        <w:r>
          <w:rPr>
            <w:rStyle w:val="a3"/>
          </w:rPr>
          <w:t>马钢股份</w:t>
        </w:r>
      </w:hyperlink>
      <w:r>
        <w:t>等，我们看到尾盘拉升频频出现。而</w:t>
      </w:r>
      <w:proofErr w:type="gramStart"/>
      <w:r>
        <w:t>出现盘尾拉升</w:t>
      </w:r>
      <w:proofErr w:type="gramEnd"/>
      <w:r>
        <w:t>走势后，并不意味着 股价会下跌，相反继续上涨的概率较大。因此，此时应对的办法是：</w:t>
      </w:r>
      <w:r w:rsidRPr="00B4425D">
        <w:rPr>
          <w:color w:val="FF0000"/>
        </w:rPr>
        <w:t>只要股价不在高位，说明处于拉升中途，仍可继续持股。</w:t>
      </w:r>
    </w:p>
    <w:p w14:paraId="2E8AD3FF" w14:textId="1EF396F6" w:rsidR="00406113" w:rsidRDefault="00406113" w:rsidP="0082139E">
      <w:pPr>
        <w:pStyle w:val="a4"/>
        <w:rPr>
          <w:color w:val="FF0000"/>
        </w:rPr>
      </w:pPr>
    </w:p>
    <w:p w14:paraId="01F30D20" w14:textId="644B291D" w:rsidR="00406113" w:rsidRDefault="00406113" w:rsidP="0082139E">
      <w:pPr>
        <w:pStyle w:val="a4"/>
        <w:rPr>
          <w:color w:val="FF0000"/>
        </w:rPr>
      </w:pPr>
    </w:p>
    <w:p w14:paraId="327528FC" w14:textId="56584C8F" w:rsidR="00406113" w:rsidRDefault="00406113" w:rsidP="0082139E">
      <w:pPr>
        <w:pStyle w:val="a4"/>
        <w:rPr>
          <w:color w:val="FF0000"/>
        </w:rPr>
      </w:pPr>
      <w:r>
        <w:rPr>
          <w:rFonts w:hint="eastAsia"/>
          <w:color w:val="FF0000"/>
        </w:rPr>
        <w:t>案例:</w:t>
      </w:r>
    </w:p>
    <w:p w14:paraId="147DE630" w14:textId="035EF1C6" w:rsidR="00406113" w:rsidRPr="00406113" w:rsidRDefault="00406113" w:rsidP="0082139E">
      <w:pPr>
        <w:pStyle w:val="a4"/>
        <w:rPr>
          <w:rFonts w:hint="eastAsia"/>
          <w:color w:val="FF0000"/>
        </w:rPr>
      </w:pPr>
      <w:r>
        <w:rPr>
          <w:rFonts w:hint="eastAsia"/>
          <w:color w:val="FF0000"/>
        </w:rPr>
        <w:t>2</w:t>
      </w:r>
      <w:r>
        <w:rPr>
          <w:color w:val="FF0000"/>
        </w:rPr>
        <w:t xml:space="preserve">017-11-21 </w:t>
      </w:r>
      <w:r>
        <w:rPr>
          <w:rFonts w:hint="eastAsia"/>
          <w:color w:val="FF0000"/>
        </w:rPr>
        <w:t>印记传媒0</w:t>
      </w:r>
      <w:r>
        <w:rPr>
          <w:color w:val="FF0000"/>
        </w:rPr>
        <w:t>02143 (</w:t>
      </w:r>
      <w:r>
        <w:rPr>
          <w:rFonts w:hint="eastAsia"/>
          <w:color w:val="FF0000"/>
        </w:rPr>
        <w:t>尾盘拉升</w:t>
      </w:r>
      <w:r w:rsidR="009A542D">
        <w:rPr>
          <w:rFonts w:hint="eastAsia"/>
          <w:color w:val="FF0000"/>
        </w:rPr>
        <w:t>,成交量放大</w:t>
      </w:r>
      <w:bookmarkStart w:id="2" w:name="_GoBack"/>
      <w:bookmarkEnd w:id="2"/>
      <w:r>
        <w:rPr>
          <w:color w:val="FF0000"/>
        </w:rPr>
        <w:t>)</w:t>
      </w:r>
    </w:p>
    <w:p w14:paraId="32D26E81" w14:textId="77777777" w:rsidR="00680788" w:rsidRPr="0082139E" w:rsidRDefault="00680788"/>
    <w:sectPr w:rsidR="00680788" w:rsidRPr="008213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66"/>
    <w:rsid w:val="000D1AFD"/>
    <w:rsid w:val="00271854"/>
    <w:rsid w:val="00406113"/>
    <w:rsid w:val="00480946"/>
    <w:rsid w:val="005876BA"/>
    <w:rsid w:val="00591020"/>
    <w:rsid w:val="005A2EA1"/>
    <w:rsid w:val="005B1061"/>
    <w:rsid w:val="005E6AEA"/>
    <w:rsid w:val="00680788"/>
    <w:rsid w:val="006A7177"/>
    <w:rsid w:val="007C2739"/>
    <w:rsid w:val="0082139E"/>
    <w:rsid w:val="00830864"/>
    <w:rsid w:val="008A05F1"/>
    <w:rsid w:val="008C29D8"/>
    <w:rsid w:val="00994328"/>
    <w:rsid w:val="009A542D"/>
    <w:rsid w:val="00B4425D"/>
    <w:rsid w:val="00B55544"/>
    <w:rsid w:val="00C443A8"/>
    <w:rsid w:val="00CC708D"/>
    <w:rsid w:val="00E50D66"/>
    <w:rsid w:val="00E532B1"/>
    <w:rsid w:val="00EA7565"/>
    <w:rsid w:val="00ED29D6"/>
    <w:rsid w:val="00EF10F7"/>
    <w:rsid w:val="00FC592A"/>
    <w:rsid w:val="00FF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5CFB"/>
  <w15:chartTrackingRefBased/>
  <w15:docId w15:val="{1F342644-52D9-4DF2-95D4-25B950DC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718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718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8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718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85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1854"/>
    <w:rPr>
      <w:rFonts w:ascii="宋体" w:eastAsia="宋体" w:hAnsi="宋体" w:cs="宋体"/>
      <w:b/>
      <w:bCs/>
      <w:kern w:val="36"/>
      <w:sz w:val="48"/>
      <w:szCs w:val="48"/>
    </w:rPr>
  </w:style>
  <w:style w:type="character" w:styleId="a3">
    <w:name w:val="Hyperlink"/>
    <w:basedOn w:val="a0"/>
    <w:uiPriority w:val="99"/>
    <w:semiHidden/>
    <w:unhideWhenUsed/>
    <w:rsid w:val="00271854"/>
    <w:rPr>
      <w:color w:val="0000FF"/>
      <w:u w:val="single"/>
    </w:rPr>
  </w:style>
  <w:style w:type="character" w:customStyle="1" w:styleId="20">
    <w:name w:val="标题 2 字符"/>
    <w:basedOn w:val="a0"/>
    <w:link w:val="2"/>
    <w:uiPriority w:val="9"/>
    <w:rsid w:val="002718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1854"/>
    <w:rPr>
      <w:b/>
      <w:bCs/>
      <w:sz w:val="32"/>
      <w:szCs w:val="32"/>
    </w:rPr>
  </w:style>
  <w:style w:type="character" w:customStyle="1" w:styleId="40">
    <w:name w:val="标题 4 字符"/>
    <w:basedOn w:val="a0"/>
    <w:link w:val="4"/>
    <w:uiPriority w:val="9"/>
    <w:rsid w:val="0027185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854"/>
    <w:rPr>
      <w:b/>
      <w:bCs/>
      <w:sz w:val="28"/>
      <w:szCs w:val="28"/>
    </w:rPr>
  </w:style>
  <w:style w:type="paragraph" w:styleId="a4">
    <w:name w:val="Normal (Web)"/>
    <w:basedOn w:val="a"/>
    <w:uiPriority w:val="99"/>
    <w:semiHidden/>
    <w:unhideWhenUsed/>
    <w:rsid w:val="0082139E"/>
    <w:pPr>
      <w:widowControl/>
      <w:spacing w:before="100" w:beforeAutospacing="1" w:after="100" w:afterAutospacing="1"/>
      <w:jc w:val="left"/>
    </w:pPr>
    <w:rPr>
      <w:rFonts w:ascii="宋体" w:eastAsia="宋体" w:hAnsi="宋体" w:cs="宋体"/>
      <w:kern w:val="0"/>
      <w:sz w:val="24"/>
      <w:szCs w:val="24"/>
    </w:rPr>
  </w:style>
  <w:style w:type="character" w:customStyle="1" w:styleId="textimg">
    <w:name w:val="text_img"/>
    <w:basedOn w:val="a0"/>
    <w:rsid w:val="00FC592A"/>
  </w:style>
  <w:style w:type="character" w:styleId="a5">
    <w:name w:val="FollowedHyperlink"/>
    <w:basedOn w:val="a0"/>
    <w:uiPriority w:val="99"/>
    <w:semiHidden/>
    <w:unhideWhenUsed/>
    <w:rsid w:val="005876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9096">
      <w:bodyDiv w:val="1"/>
      <w:marLeft w:val="0"/>
      <w:marRight w:val="0"/>
      <w:marTop w:val="0"/>
      <w:marBottom w:val="0"/>
      <w:divBdr>
        <w:top w:val="none" w:sz="0" w:space="0" w:color="auto"/>
        <w:left w:val="none" w:sz="0" w:space="0" w:color="auto"/>
        <w:bottom w:val="none" w:sz="0" w:space="0" w:color="auto"/>
        <w:right w:val="none" w:sz="0" w:space="0" w:color="auto"/>
      </w:divBdr>
      <w:divsChild>
        <w:div w:id="1818259113">
          <w:marLeft w:val="0"/>
          <w:marRight w:val="0"/>
          <w:marTop w:val="0"/>
          <w:marBottom w:val="0"/>
          <w:divBdr>
            <w:top w:val="none" w:sz="0" w:space="0" w:color="auto"/>
            <w:left w:val="none" w:sz="0" w:space="0" w:color="auto"/>
            <w:bottom w:val="none" w:sz="0" w:space="0" w:color="auto"/>
            <w:right w:val="none" w:sz="0" w:space="0" w:color="auto"/>
          </w:divBdr>
          <w:divsChild>
            <w:div w:id="15901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7702">
      <w:bodyDiv w:val="1"/>
      <w:marLeft w:val="0"/>
      <w:marRight w:val="0"/>
      <w:marTop w:val="0"/>
      <w:marBottom w:val="0"/>
      <w:divBdr>
        <w:top w:val="none" w:sz="0" w:space="0" w:color="auto"/>
        <w:left w:val="none" w:sz="0" w:space="0" w:color="auto"/>
        <w:bottom w:val="none" w:sz="0" w:space="0" w:color="auto"/>
        <w:right w:val="none" w:sz="0" w:space="0" w:color="auto"/>
      </w:divBdr>
      <w:divsChild>
        <w:div w:id="1831674535">
          <w:marLeft w:val="0"/>
          <w:marRight w:val="0"/>
          <w:marTop w:val="0"/>
          <w:marBottom w:val="0"/>
          <w:divBdr>
            <w:top w:val="none" w:sz="0" w:space="0" w:color="auto"/>
            <w:left w:val="none" w:sz="0" w:space="0" w:color="auto"/>
            <w:bottom w:val="none" w:sz="0" w:space="0" w:color="auto"/>
            <w:right w:val="none" w:sz="0" w:space="0" w:color="auto"/>
          </w:divBdr>
        </w:div>
        <w:div w:id="1190948060">
          <w:marLeft w:val="0"/>
          <w:marRight w:val="0"/>
          <w:marTop w:val="0"/>
          <w:marBottom w:val="0"/>
          <w:divBdr>
            <w:top w:val="none" w:sz="0" w:space="0" w:color="auto"/>
            <w:left w:val="none" w:sz="0" w:space="0" w:color="auto"/>
            <w:bottom w:val="none" w:sz="0" w:space="0" w:color="auto"/>
            <w:right w:val="none" w:sz="0" w:space="0" w:color="auto"/>
          </w:divBdr>
          <w:divsChild>
            <w:div w:id="1712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012">
      <w:bodyDiv w:val="1"/>
      <w:marLeft w:val="0"/>
      <w:marRight w:val="0"/>
      <w:marTop w:val="0"/>
      <w:marBottom w:val="0"/>
      <w:divBdr>
        <w:top w:val="none" w:sz="0" w:space="0" w:color="auto"/>
        <w:left w:val="none" w:sz="0" w:space="0" w:color="auto"/>
        <w:bottom w:val="none" w:sz="0" w:space="0" w:color="auto"/>
        <w:right w:val="none" w:sz="0" w:space="0" w:color="auto"/>
      </w:divBdr>
      <w:divsChild>
        <w:div w:id="727874661">
          <w:marLeft w:val="0"/>
          <w:marRight w:val="0"/>
          <w:marTop w:val="0"/>
          <w:marBottom w:val="0"/>
          <w:divBdr>
            <w:top w:val="none" w:sz="0" w:space="0" w:color="auto"/>
            <w:left w:val="none" w:sz="0" w:space="0" w:color="auto"/>
            <w:bottom w:val="none" w:sz="0" w:space="0" w:color="auto"/>
            <w:right w:val="none" w:sz="0" w:space="0" w:color="auto"/>
          </w:divBdr>
        </w:div>
        <w:div w:id="891234510">
          <w:marLeft w:val="0"/>
          <w:marRight w:val="0"/>
          <w:marTop w:val="0"/>
          <w:marBottom w:val="0"/>
          <w:divBdr>
            <w:top w:val="none" w:sz="0" w:space="0" w:color="auto"/>
            <w:left w:val="none" w:sz="0" w:space="0" w:color="auto"/>
            <w:bottom w:val="none" w:sz="0" w:space="0" w:color="auto"/>
            <w:right w:val="none" w:sz="0" w:space="0" w:color="auto"/>
          </w:divBdr>
          <w:divsChild>
            <w:div w:id="18431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sogou.com/lemma/ShowInnerLink.htm?lemmaId=59660105&amp;ss_c=ssc.citiao.link"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sogou.com/lemma/ShowInnerLink.htm?lemmaId=10379908&amp;ss_c=ssc.citiao.link" TargetMode="External"/><Relationship Id="rId12" Type="http://schemas.openxmlformats.org/officeDocument/2006/relationships/hyperlink" Target="http://baike.sogou.com/lemma/ShowInnerLink.htm?lemmaId=366003&amp;ss_c=ssc.citiao.link" TargetMode="External"/><Relationship Id="rId17" Type="http://schemas.openxmlformats.org/officeDocument/2006/relationships/hyperlink" Target="http://baike.sogou.com/lemma/ShowInnerLink.htm?lemmaId=64860686&amp;ss_c=ssc.citiao.link" TargetMode="External"/><Relationship Id="rId2" Type="http://schemas.openxmlformats.org/officeDocument/2006/relationships/settings" Target="settings.xml"/><Relationship Id="rId16" Type="http://schemas.openxmlformats.org/officeDocument/2006/relationships/hyperlink" Target="http://baike.sogou.com/lemma/ShowInnerLink.htm?lemmaId=6739043&amp;ss_c=ssc.citiao.link" TargetMode="External"/><Relationship Id="rId1" Type="http://schemas.openxmlformats.org/officeDocument/2006/relationships/styles" Target="styles.xml"/><Relationship Id="rId6" Type="http://schemas.openxmlformats.org/officeDocument/2006/relationships/hyperlink" Target="http://baike.sogou.com/lemma/ShowInnerLink.htm?lemmaId=365871&amp;ss_c=ssc.citiao.link" TargetMode="External"/><Relationship Id="rId11" Type="http://schemas.openxmlformats.org/officeDocument/2006/relationships/hyperlink" Target="http://baike.sogou.com/lemma/ShowInnerLink.htm?lemmaId=7555694&amp;ss_c=ssc.citiao.link" TargetMode="External"/><Relationship Id="rId5" Type="http://schemas.openxmlformats.org/officeDocument/2006/relationships/hyperlink" Target="http://baike.sogou.com/lemma/ShowInnerLink.htm?lemmaId=366003&amp;ss_c=ssc.citiao.link" TargetMode="External"/><Relationship Id="rId15" Type="http://schemas.openxmlformats.org/officeDocument/2006/relationships/hyperlink" Target="http://baike.sogou.com/lemma/ShowInnerLink.htm?lemmaId=219600&amp;ss_c=ssc.citiao.link" TargetMode="External"/><Relationship Id="rId10" Type="http://schemas.openxmlformats.org/officeDocument/2006/relationships/hyperlink" Target="http://baike.sogou.com/lemma/ShowInnerLink.htm?lemmaId=67303478&amp;ss_c=ssc.citiao.link" TargetMode="External"/><Relationship Id="rId19" Type="http://schemas.openxmlformats.org/officeDocument/2006/relationships/theme" Target="theme/theme1.xml"/><Relationship Id="rId4" Type="http://schemas.openxmlformats.org/officeDocument/2006/relationships/hyperlink" Target="http://baike.sogou.com/lemma/ShowInnerLink.htm?lemmaId=8489694&amp;ss_c=ssc.citiao.link" TargetMode="External"/><Relationship Id="rId9" Type="http://schemas.openxmlformats.org/officeDocument/2006/relationships/hyperlink" Target="http://baike.sogou.com/lemma/ShowInnerLink.htm?lemmaId=7680415&amp;ss_c=ssc.citiao.link" TargetMode="External"/><Relationship Id="rId14" Type="http://schemas.openxmlformats.org/officeDocument/2006/relationships/hyperlink" Target="http://baike.sogou.com/lemma/ShowInnerLink.htm?lemmaId=7572182&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66</cp:revision>
  <dcterms:created xsi:type="dcterms:W3CDTF">2017-11-21T02:13:00Z</dcterms:created>
  <dcterms:modified xsi:type="dcterms:W3CDTF">2017-11-21T02:49:00Z</dcterms:modified>
</cp:coreProperties>
</file>