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DDE7" w14:textId="31FB6FAF" w:rsidR="000340C8" w:rsidRDefault="000340C8" w:rsidP="000340C8">
      <w:pPr>
        <w:pStyle w:val="1"/>
      </w:pPr>
      <w:r>
        <w:t>资金流向</w:t>
      </w:r>
    </w:p>
    <w:p w14:paraId="15F862E5" w14:textId="3C12C6A3" w:rsidR="007C237D" w:rsidRDefault="007C237D" w:rsidP="00F57C48">
      <w:pPr>
        <w:pStyle w:val="2"/>
        <w:rPr>
          <w:rFonts w:hint="eastAsia"/>
        </w:rPr>
      </w:pPr>
      <w:r>
        <w:rPr>
          <w:rFonts w:hint="eastAsia"/>
        </w:rPr>
        <w:t>和讯资金流向查询</w:t>
      </w:r>
    </w:p>
    <w:p w14:paraId="2812830E" w14:textId="6920D545" w:rsidR="000340C8" w:rsidRPr="007C237D" w:rsidRDefault="007C237D" w:rsidP="007C237D">
      <w:pPr>
        <w:rPr>
          <w:sz w:val="24"/>
        </w:rPr>
      </w:pPr>
      <w:hyperlink r:id="rId6" w:history="1">
        <w:r w:rsidRPr="007C237D">
          <w:rPr>
            <w:rStyle w:val="a3"/>
            <w:sz w:val="24"/>
          </w:rPr>
          <w:t>http://vol.stock.hexun.com/</w:t>
        </w:r>
      </w:hyperlink>
    </w:p>
    <w:p w14:paraId="3F2681BE" w14:textId="77777777" w:rsidR="007C237D" w:rsidRPr="007C237D" w:rsidRDefault="007C237D" w:rsidP="007C237D">
      <w:pPr>
        <w:rPr>
          <w:rFonts w:hint="eastAsia"/>
        </w:rPr>
      </w:pPr>
    </w:p>
    <w:p w14:paraId="6BEE6B46" w14:textId="0570FEC8" w:rsidR="000340C8" w:rsidRDefault="000340C8" w:rsidP="000340C8">
      <w:pPr>
        <w:widowControl/>
        <w:jc w:val="left"/>
      </w:pPr>
      <w:r>
        <w:t>资金流向(money flow)在国际上是一个成熟的技术指标。其计算方法很简单，举例说明：在9:50这一分钟里，某一</w:t>
      </w:r>
      <w:hyperlink r:id="rId7" w:tgtFrame="_blank" w:history="1">
        <w:r>
          <w:rPr>
            <w:rStyle w:val="a3"/>
          </w:rPr>
          <w:t>板块指数</w:t>
        </w:r>
      </w:hyperlink>
      <w:r>
        <w:t>较前一分钟是上涨的，则将9:50这一分钟的</w:t>
      </w:r>
      <w:hyperlink r:id="rId8" w:tgtFrame="_blank" w:history="1">
        <w:r>
          <w:rPr>
            <w:rStyle w:val="a3"/>
          </w:rPr>
          <w:t>成交额</w:t>
        </w:r>
      </w:hyperlink>
      <w:r>
        <w:t>计作</w:t>
      </w:r>
      <w:hyperlink r:id="rId9" w:tgtFrame="_blank" w:history="1">
        <w:r>
          <w:rPr>
            <w:rStyle w:val="a3"/>
          </w:rPr>
          <w:t>资金</w:t>
        </w:r>
      </w:hyperlink>
      <w:r>
        <w:t>流入，反之则计作</w:t>
      </w:r>
      <w:hyperlink r:id="rId10" w:tgtFrame="_blank" w:history="1">
        <w:r>
          <w:rPr>
            <w:rStyle w:val="a3"/>
          </w:rPr>
          <w:t>资金流出</w:t>
        </w:r>
      </w:hyperlink>
      <w:r>
        <w:t>，若指数与前一分钟相比没有发生变化，则不计入。</w:t>
      </w:r>
    </w:p>
    <w:p w14:paraId="3496513E" w14:textId="77777777" w:rsidR="000340C8" w:rsidRDefault="000340C8" w:rsidP="000340C8">
      <w:r>
        <w:t>每分钟计算一次，每天加总统计一次，流入资金与流出资金的差额就是该板块当天的</w:t>
      </w:r>
      <w:hyperlink r:id="rId11" w:tgtFrame="_blank" w:history="1">
        <w:r>
          <w:rPr>
            <w:rStyle w:val="a3"/>
          </w:rPr>
          <w:t>资金净流入</w:t>
        </w:r>
      </w:hyperlink>
      <w:r>
        <w:t>。</w:t>
      </w:r>
    </w:p>
    <w:p w14:paraId="54E06A42" w14:textId="05B79842" w:rsidR="00263A32" w:rsidRDefault="00263A32">
      <w:bookmarkStart w:id="0" w:name="_GoBack"/>
      <w:bookmarkEnd w:id="0"/>
    </w:p>
    <w:p w14:paraId="6F58E28E" w14:textId="3FF865D6" w:rsidR="000340C8" w:rsidRDefault="000340C8"/>
    <w:p w14:paraId="3F510CF8" w14:textId="77777777" w:rsidR="000340C8" w:rsidRDefault="000340C8" w:rsidP="000340C8">
      <w:pPr>
        <w:pStyle w:val="2"/>
      </w:pPr>
      <w:r>
        <w:t>简介</w:t>
      </w:r>
    </w:p>
    <w:p w14:paraId="6A3D9AA1" w14:textId="77777777" w:rsidR="000340C8" w:rsidRDefault="000340C8" w:rsidP="000340C8">
      <w:r>
        <w:t>资金流向就是</w:t>
      </w:r>
      <w:hyperlink r:id="rId12" w:tgtFrame="_blank" w:history="1">
        <w:r>
          <w:rPr>
            <w:rStyle w:val="a3"/>
          </w:rPr>
          <w:t>股市</w:t>
        </w:r>
      </w:hyperlink>
      <w:r>
        <w:t>中的资金主动选择的方向。从量的角度去分析资金的流向，即观察成交量和成交金额，成交量和成交金额在实际操作中是有方向性的，买入或卖出。</w:t>
      </w:r>
      <w:r>
        <w:rPr>
          <w:vertAlign w:val="superscript"/>
        </w:rPr>
        <w:t>[1]</w:t>
      </w:r>
      <w:bookmarkStart w:id="1" w:name="ref_[1]_1418445"/>
      <w:r>
        <w:t> </w:t>
      </w:r>
      <w:bookmarkEnd w:id="1"/>
      <w:r>
        <w:t xml:space="preserve"> </w:t>
      </w:r>
    </w:p>
    <w:p w14:paraId="58621157" w14:textId="77777777" w:rsidR="000340C8" w:rsidRDefault="000340C8" w:rsidP="000340C8">
      <w:r>
        <w:t>资金流向的判断无论对于分析股市大盘走势还是对于</w:t>
      </w:r>
      <w:hyperlink r:id="rId13" w:tgtFrame="_blank" w:history="1">
        <w:r>
          <w:rPr>
            <w:rStyle w:val="a3"/>
          </w:rPr>
          <w:t>个股</w:t>
        </w:r>
      </w:hyperlink>
      <w:r>
        <w:t>操作上，都起着至关重要的作用，而资金流向的判断过程却比较复杂，不容易掌握，通常说的“热点”其实就是资金集中流向的个股，而“</w:t>
      </w:r>
      <w:hyperlink r:id="rId14" w:tgtFrame="_blank" w:history="1">
        <w:r>
          <w:rPr>
            <w:rStyle w:val="a3"/>
          </w:rPr>
          <w:t>板块轮动</w:t>
        </w:r>
      </w:hyperlink>
      <w:r>
        <w:t>”其实就是资金流向轮动而产生的盘面效果。</w:t>
      </w:r>
    </w:p>
    <w:p w14:paraId="4540244D" w14:textId="77777777" w:rsidR="000340C8" w:rsidRDefault="000340C8" w:rsidP="000340C8">
      <w:r>
        <w:t>根据中国沪深交易所提供的成交数据，将主动性买盘视为资金流入，在任何一个股票软件的分笔成交数据中，用红色来表示。主动性买盘代表有场外资金愿意以比当时成交价更高的价格来买入股票。将主动性卖盘视为资金流出，用绿色来表示。主动性卖盘代表有场内资金愿意以比当时成交价更低的价格来卖出股票。部分交易指令的价格正好同时匹配时，这部分成交量没有买卖标识，可视为中性盘。中性盘在总成交量中仅占很小的比例。将一只股票每日的主动性买盘以及中性盘之和，视为资金流入，将主动性卖盘的汇总之和视为此股票当日的资金流出。</w:t>
      </w:r>
    </w:p>
    <w:p w14:paraId="37678D26" w14:textId="48BD74D0" w:rsidR="000340C8" w:rsidRDefault="000340C8"/>
    <w:p w14:paraId="5F0819D4" w14:textId="77777777" w:rsidR="000340C8" w:rsidRDefault="000340C8" w:rsidP="000340C8">
      <w:pPr>
        <w:pStyle w:val="2"/>
      </w:pPr>
      <w:r>
        <w:t>说明</w:t>
      </w:r>
    </w:p>
    <w:p w14:paraId="5C539FF1" w14:textId="6D151718" w:rsidR="000340C8" w:rsidRDefault="000340C8" w:rsidP="000340C8"/>
    <w:p w14:paraId="0F2BB513" w14:textId="77777777" w:rsidR="000340C8" w:rsidRDefault="000340C8" w:rsidP="000340C8">
      <w:r>
        <w:t>需要特别说明的是，有些投资者从字面上错误理解了资金流向的意义，他们认为资金流向就是资金的进场或离场。其实不然，资金流向是反映市场</w:t>
      </w:r>
      <w:hyperlink r:id="rId15" w:tgtFrame="_blank" w:history="1">
        <w:r>
          <w:rPr>
            <w:rStyle w:val="a3"/>
          </w:rPr>
          <w:t>多空</w:t>
        </w:r>
      </w:hyperlink>
      <w:r>
        <w:t>买卖意愿、</w:t>
      </w:r>
      <w:hyperlink r:id="rId16" w:tgtFrame="_blank" w:history="1">
        <w:r>
          <w:rPr>
            <w:rStyle w:val="a3"/>
          </w:rPr>
          <w:t>主力</w:t>
        </w:r>
      </w:hyperlink>
      <w:r>
        <w:t>散户买卖意愿的数据指标体系。资金流向分析属于行为金融学和技术指标双重领域的范畴，通过分析多空买卖意愿和主力散户博弈行为来分析预测</w:t>
      </w:r>
      <w:hyperlink r:id="rId17" w:tgtFrame="_blank" w:history="1">
        <w:r>
          <w:rPr>
            <w:rStyle w:val="a3"/>
          </w:rPr>
          <w:t>股价</w:t>
        </w:r>
      </w:hyperlink>
      <w:r>
        <w:t>行为，对</w:t>
      </w:r>
      <w:hyperlink r:id="rId18" w:tgtFrame="_blank" w:history="1">
        <w:r>
          <w:rPr>
            <w:rStyle w:val="a3"/>
          </w:rPr>
          <w:t>短线操作</w:t>
        </w:r>
      </w:hyperlink>
      <w:r>
        <w:t>有较高的参考意义。</w:t>
      </w:r>
    </w:p>
    <w:p w14:paraId="27373D69" w14:textId="5D23EF46" w:rsidR="000340C8" w:rsidRDefault="000340C8"/>
    <w:p w14:paraId="59EB5834" w14:textId="77777777" w:rsidR="000340C8" w:rsidRDefault="000340C8" w:rsidP="000340C8">
      <w:pPr>
        <w:pStyle w:val="2"/>
      </w:pPr>
      <w:r>
        <w:lastRenderedPageBreak/>
        <w:t>两种算法</w:t>
      </w:r>
    </w:p>
    <w:p w14:paraId="082750EA" w14:textId="77777777" w:rsidR="000340C8" w:rsidRDefault="000340C8" w:rsidP="000340C8">
      <w:pPr>
        <w:pStyle w:val="3"/>
      </w:pPr>
      <w:bookmarkStart w:id="2" w:name="3_1"/>
      <w:bookmarkStart w:id="3" w:name="sub1418445_3_1"/>
      <w:bookmarkStart w:id="4" w:name="从价格角度出发"/>
      <w:bookmarkStart w:id="5" w:name="3-1"/>
      <w:bookmarkEnd w:id="2"/>
      <w:bookmarkEnd w:id="3"/>
      <w:bookmarkEnd w:id="4"/>
      <w:bookmarkEnd w:id="5"/>
      <w:r>
        <w:t>从价格角度出发</w:t>
      </w:r>
    </w:p>
    <w:p w14:paraId="6757CFD6" w14:textId="77777777" w:rsidR="000340C8" w:rsidRDefault="000340C8" w:rsidP="000340C8">
      <w:r>
        <w:t>通过价格变化反推资金流向。</w:t>
      </w:r>
      <w:hyperlink r:id="rId19" w:tgtFrame="_blank" w:history="1">
        <w:r>
          <w:rPr>
            <w:rStyle w:val="a3"/>
          </w:rPr>
          <w:t>股价</w:t>
        </w:r>
      </w:hyperlink>
      <w:r>
        <w:t>处于上升状态时产生的</w:t>
      </w:r>
      <w:hyperlink r:id="rId20" w:tgtFrame="_blank" w:history="1">
        <w:r>
          <w:rPr>
            <w:rStyle w:val="a3"/>
          </w:rPr>
          <w:t>成交额</w:t>
        </w:r>
      </w:hyperlink>
      <w:r>
        <w:t>是推动股价上涨的力量，这部分成交额被定义为资金流入；股价处于下跌状态时产生的的成交额是推动股价下跌的力量，这部分成交额被定义为</w:t>
      </w:r>
      <w:hyperlink r:id="rId21" w:tgtFrame="_blank" w:history="1">
        <w:r>
          <w:rPr>
            <w:rStyle w:val="a3"/>
          </w:rPr>
          <w:t>资金流出</w:t>
        </w:r>
      </w:hyperlink>
      <w:r>
        <w:t>；当天两者的差额即是当天两种力量相抵之后剩下的推动股价上升的净力，定义为当天的</w:t>
      </w:r>
      <w:hyperlink r:id="rId22" w:tgtFrame="_blank" w:history="1">
        <w:r>
          <w:rPr>
            <w:rStyle w:val="a3"/>
          </w:rPr>
          <w:t>资金净流入</w:t>
        </w:r>
      </w:hyperlink>
      <w:r>
        <w:t>。</w:t>
      </w:r>
    </w:p>
    <w:p w14:paraId="2ECD32BD" w14:textId="77777777" w:rsidR="000340C8" w:rsidRDefault="000340C8" w:rsidP="000340C8">
      <w:pPr>
        <w:pStyle w:val="3"/>
      </w:pPr>
      <w:bookmarkStart w:id="6" w:name="3_2"/>
      <w:bookmarkStart w:id="7" w:name="sub1418445_3_2"/>
      <w:bookmarkStart w:id="8" w:name="从外盘内盘角度出发"/>
      <w:bookmarkStart w:id="9" w:name="3-2"/>
      <w:bookmarkEnd w:id="6"/>
      <w:bookmarkEnd w:id="7"/>
      <w:bookmarkEnd w:id="8"/>
      <w:bookmarkEnd w:id="9"/>
      <w:r>
        <w:t>从外盘内盘角度出发</w:t>
      </w:r>
    </w:p>
    <w:p w14:paraId="11204904" w14:textId="77777777" w:rsidR="000340C8" w:rsidRDefault="000340C8" w:rsidP="000340C8">
      <w:r>
        <w:t>考察成交单的方向和大小来定义资金流向。根据沪深交易所提供的成交数据，如果单笔成交的成交价在现价之上，即主动性买盘，表明买方的意愿更强烈，该笔成交定义为资金流入；如果单笔成交的成交价在现价之下，即主动性卖盘，表明卖方的意愿更强烈，该笔成交定义为资金流出。另外一方面，根据单笔成交量的大小将主力资金和散户资金加以区分，就可以很好的将机构资金的动向展示给投资者</w:t>
      </w:r>
    </w:p>
    <w:p w14:paraId="469F3E80" w14:textId="77777777" w:rsidR="000340C8" w:rsidRPr="000340C8" w:rsidRDefault="000340C8">
      <w:pPr>
        <w:rPr>
          <w:rFonts w:hint="eastAsia"/>
        </w:rPr>
      </w:pPr>
    </w:p>
    <w:sectPr w:rsidR="000340C8" w:rsidRPr="00034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5C61" w14:textId="77777777" w:rsidR="00457691" w:rsidRDefault="00457691" w:rsidP="00B95C50">
      <w:r>
        <w:separator/>
      </w:r>
    </w:p>
  </w:endnote>
  <w:endnote w:type="continuationSeparator" w:id="0">
    <w:p w14:paraId="0B3133B4" w14:textId="77777777" w:rsidR="00457691" w:rsidRDefault="00457691" w:rsidP="00B9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128E7" w14:textId="77777777" w:rsidR="00457691" w:rsidRDefault="00457691" w:rsidP="00B95C50">
      <w:r>
        <w:separator/>
      </w:r>
    </w:p>
  </w:footnote>
  <w:footnote w:type="continuationSeparator" w:id="0">
    <w:p w14:paraId="6CDBD2E6" w14:textId="77777777" w:rsidR="00457691" w:rsidRDefault="00457691" w:rsidP="00B95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58"/>
    <w:rsid w:val="000340C8"/>
    <w:rsid w:val="000B2F1C"/>
    <w:rsid w:val="001D441A"/>
    <w:rsid w:val="00263A32"/>
    <w:rsid w:val="002944DE"/>
    <w:rsid w:val="00357A54"/>
    <w:rsid w:val="00390D56"/>
    <w:rsid w:val="003B4946"/>
    <w:rsid w:val="00457691"/>
    <w:rsid w:val="00475741"/>
    <w:rsid w:val="00484BE4"/>
    <w:rsid w:val="00627ADA"/>
    <w:rsid w:val="00767FF0"/>
    <w:rsid w:val="007C237D"/>
    <w:rsid w:val="0091249A"/>
    <w:rsid w:val="0096718B"/>
    <w:rsid w:val="00B40508"/>
    <w:rsid w:val="00B95C50"/>
    <w:rsid w:val="00E32B58"/>
    <w:rsid w:val="00EA1767"/>
    <w:rsid w:val="00F227FF"/>
    <w:rsid w:val="00F37C03"/>
    <w:rsid w:val="00F5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CFD6"/>
  <w15:chartTrackingRefBased/>
  <w15:docId w15:val="{A5117C82-A48B-4089-86A3-98A79D89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3A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63A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4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A32"/>
    <w:rPr>
      <w:rFonts w:ascii="宋体" w:eastAsia="宋体" w:hAnsi="宋体" w:cs="宋体"/>
      <w:b/>
      <w:bCs/>
      <w:kern w:val="36"/>
      <w:sz w:val="48"/>
      <w:szCs w:val="48"/>
    </w:rPr>
  </w:style>
  <w:style w:type="character" w:customStyle="1" w:styleId="20">
    <w:name w:val="标题 2 字符"/>
    <w:basedOn w:val="a0"/>
    <w:link w:val="2"/>
    <w:uiPriority w:val="9"/>
    <w:rsid w:val="00263A32"/>
    <w:rPr>
      <w:rFonts w:asciiTheme="majorHAnsi" w:eastAsiaTheme="majorEastAsia" w:hAnsiTheme="majorHAnsi" w:cstheme="majorBidi"/>
      <w:b/>
      <w:bCs/>
      <w:sz w:val="32"/>
      <w:szCs w:val="32"/>
    </w:rPr>
  </w:style>
  <w:style w:type="character" w:styleId="a3">
    <w:name w:val="Hyperlink"/>
    <w:basedOn w:val="a0"/>
    <w:uiPriority w:val="99"/>
    <w:unhideWhenUsed/>
    <w:rsid w:val="00263A32"/>
    <w:rPr>
      <w:color w:val="0000FF"/>
      <w:u w:val="single"/>
    </w:rPr>
  </w:style>
  <w:style w:type="paragraph" w:styleId="a4">
    <w:name w:val="Normal (Web)"/>
    <w:basedOn w:val="a"/>
    <w:uiPriority w:val="99"/>
    <w:unhideWhenUsed/>
    <w:rsid w:val="00263A3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95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5C50"/>
    <w:rPr>
      <w:sz w:val="18"/>
      <w:szCs w:val="18"/>
    </w:rPr>
  </w:style>
  <w:style w:type="paragraph" w:styleId="a7">
    <w:name w:val="footer"/>
    <w:basedOn w:val="a"/>
    <w:link w:val="a8"/>
    <w:uiPriority w:val="99"/>
    <w:unhideWhenUsed/>
    <w:rsid w:val="00B95C50"/>
    <w:pPr>
      <w:tabs>
        <w:tab w:val="center" w:pos="4153"/>
        <w:tab w:val="right" w:pos="8306"/>
      </w:tabs>
      <w:snapToGrid w:val="0"/>
      <w:jc w:val="left"/>
    </w:pPr>
    <w:rPr>
      <w:sz w:val="18"/>
      <w:szCs w:val="18"/>
    </w:rPr>
  </w:style>
  <w:style w:type="character" w:customStyle="1" w:styleId="a8">
    <w:name w:val="页脚 字符"/>
    <w:basedOn w:val="a0"/>
    <w:link w:val="a7"/>
    <w:uiPriority w:val="99"/>
    <w:rsid w:val="00B95C50"/>
    <w:rPr>
      <w:sz w:val="18"/>
      <w:szCs w:val="18"/>
    </w:rPr>
  </w:style>
  <w:style w:type="character" w:customStyle="1" w:styleId="30">
    <w:name w:val="标题 3 字符"/>
    <w:basedOn w:val="a0"/>
    <w:link w:val="3"/>
    <w:uiPriority w:val="9"/>
    <w:semiHidden/>
    <w:rsid w:val="000340C8"/>
    <w:rPr>
      <w:b/>
      <w:bCs/>
      <w:sz w:val="32"/>
      <w:szCs w:val="32"/>
    </w:rPr>
  </w:style>
  <w:style w:type="character" w:styleId="a9">
    <w:name w:val="Unresolved Mention"/>
    <w:basedOn w:val="a0"/>
    <w:uiPriority w:val="99"/>
    <w:semiHidden/>
    <w:unhideWhenUsed/>
    <w:rsid w:val="000340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57851">
      <w:bodyDiv w:val="1"/>
      <w:marLeft w:val="0"/>
      <w:marRight w:val="0"/>
      <w:marTop w:val="0"/>
      <w:marBottom w:val="0"/>
      <w:divBdr>
        <w:top w:val="none" w:sz="0" w:space="0" w:color="auto"/>
        <w:left w:val="none" w:sz="0" w:space="0" w:color="auto"/>
        <w:bottom w:val="none" w:sz="0" w:space="0" w:color="auto"/>
        <w:right w:val="none" w:sz="0" w:space="0" w:color="auto"/>
      </w:divBdr>
    </w:div>
    <w:div w:id="566259268">
      <w:bodyDiv w:val="1"/>
      <w:marLeft w:val="0"/>
      <w:marRight w:val="0"/>
      <w:marTop w:val="0"/>
      <w:marBottom w:val="0"/>
      <w:divBdr>
        <w:top w:val="none" w:sz="0" w:space="0" w:color="auto"/>
        <w:left w:val="none" w:sz="0" w:space="0" w:color="auto"/>
        <w:bottom w:val="none" w:sz="0" w:space="0" w:color="auto"/>
        <w:right w:val="none" w:sz="0" w:space="0" w:color="auto"/>
      </w:divBdr>
      <w:divsChild>
        <w:div w:id="1308825380">
          <w:marLeft w:val="0"/>
          <w:marRight w:val="0"/>
          <w:marTop w:val="0"/>
          <w:marBottom w:val="0"/>
          <w:divBdr>
            <w:top w:val="none" w:sz="0" w:space="0" w:color="auto"/>
            <w:left w:val="none" w:sz="0" w:space="0" w:color="auto"/>
            <w:bottom w:val="none" w:sz="0" w:space="0" w:color="auto"/>
            <w:right w:val="none" w:sz="0" w:space="0" w:color="auto"/>
          </w:divBdr>
        </w:div>
        <w:div w:id="590700415">
          <w:marLeft w:val="0"/>
          <w:marRight w:val="0"/>
          <w:marTop w:val="0"/>
          <w:marBottom w:val="0"/>
          <w:divBdr>
            <w:top w:val="none" w:sz="0" w:space="0" w:color="auto"/>
            <w:left w:val="none" w:sz="0" w:space="0" w:color="auto"/>
            <w:bottom w:val="none" w:sz="0" w:space="0" w:color="auto"/>
            <w:right w:val="none" w:sz="0" w:space="0" w:color="auto"/>
          </w:divBdr>
          <w:divsChild>
            <w:div w:id="1427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469">
      <w:bodyDiv w:val="1"/>
      <w:marLeft w:val="0"/>
      <w:marRight w:val="0"/>
      <w:marTop w:val="0"/>
      <w:marBottom w:val="0"/>
      <w:divBdr>
        <w:top w:val="none" w:sz="0" w:space="0" w:color="auto"/>
        <w:left w:val="none" w:sz="0" w:space="0" w:color="auto"/>
        <w:bottom w:val="none" w:sz="0" w:space="0" w:color="auto"/>
        <w:right w:val="none" w:sz="0" w:space="0" w:color="auto"/>
      </w:divBdr>
      <w:divsChild>
        <w:div w:id="135031593">
          <w:marLeft w:val="0"/>
          <w:marRight w:val="0"/>
          <w:marTop w:val="0"/>
          <w:marBottom w:val="0"/>
          <w:divBdr>
            <w:top w:val="none" w:sz="0" w:space="0" w:color="auto"/>
            <w:left w:val="none" w:sz="0" w:space="0" w:color="auto"/>
            <w:bottom w:val="none" w:sz="0" w:space="0" w:color="auto"/>
            <w:right w:val="none" w:sz="0" w:space="0" w:color="auto"/>
          </w:divBdr>
          <w:divsChild>
            <w:div w:id="203566072">
              <w:marLeft w:val="0"/>
              <w:marRight w:val="0"/>
              <w:marTop w:val="0"/>
              <w:marBottom w:val="0"/>
              <w:divBdr>
                <w:top w:val="none" w:sz="0" w:space="0" w:color="auto"/>
                <w:left w:val="none" w:sz="0" w:space="0" w:color="auto"/>
                <w:bottom w:val="none" w:sz="0" w:space="0" w:color="auto"/>
                <w:right w:val="none" w:sz="0" w:space="0" w:color="auto"/>
              </w:divBdr>
            </w:div>
            <w:div w:id="13501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703">
      <w:bodyDiv w:val="1"/>
      <w:marLeft w:val="0"/>
      <w:marRight w:val="0"/>
      <w:marTop w:val="0"/>
      <w:marBottom w:val="0"/>
      <w:divBdr>
        <w:top w:val="none" w:sz="0" w:space="0" w:color="auto"/>
        <w:left w:val="none" w:sz="0" w:space="0" w:color="auto"/>
        <w:bottom w:val="none" w:sz="0" w:space="0" w:color="auto"/>
        <w:right w:val="none" w:sz="0" w:space="0" w:color="auto"/>
      </w:divBdr>
      <w:divsChild>
        <w:div w:id="1089276830">
          <w:marLeft w:val="0"/>
          <w:marRight w:val="0"/>
          <w:marTop w:val="0"/>
          <w:marBottom w:val="0"/>
          <w:divBdr>
            <w:top w:val="none" w:sz="0" w:space="0" w:color="auto"/>
            <w:left w:val="none" w:sz="0" w:space="0" w:color="auto"/>
            <w:bottom w:val="none" w:sz="0" w:space="0" w:color="auto"/>
            <w:right w:val="none" w:sz="0" w:space="0" w:color="auto"/>
          </w:divBdr>
        </w:div>
        <w:div w:id="1061244641">
          <w:marLeft w:val="0"/>
          <w:marRight w:val="0"/>
          <w:marTop w:val="0"/>
          <w:marBottom w:val="0"/>
          <w:divBdr>
            <w:top w:val="none" w:sz="0" w:space="0" w:color="auto"/>
            <w:left w:val="none" w:sz="0" w:space="0" w:color="auto"/>
            <w:bottom w:val="none" w:sz="0" w:space="0" w:color="auto"/>
            <w:right w:val="none" w:sz="0" w:space="0" w:color="auto"/>
          </w:divBdr>
        </w:div>
        <w:div w:id="530846302">
          <w:marLeft w:val="0"/>
          <w:marRight w:val="0"/>
          <w:marTop w:val="0"/>
          <w:marBottom w:val="0"/>
          <w:divBdr>
            <w:top w:val="none" w:sz="0" w:space="0" w:color="auto"/>
            <w:left w:val="none" w:sz="0" w:space="0" w:color="auto"/>
            <w:bottom w:val="none" w:sz="0" w:space="0" w:color="auto"/>
            <w:right w:val="none" w:sz="0" w:space="0" w:color="auto"/>
          </w:divBdr>
        </w:div>
        <w:div w:id="1022779370">
          <w:marLeft w:val="0"/>
          <w:marRight w:val="0"/>
          <w:marTop w:val="0"/>
          <w:marBottom w:val="0"/>
          <w:divBdr>
            <w:top w:val="none" w:sz="0" w:space="0" w:color="auto"/>
            <w:left w:val="none" w:sz="0" w:space="0" w:color="auto"/>
            <w:bottom w:val="none" w:sz="0" w:space="0" w:color="auto"/>
            <w:right w:val="none" w:sz="0" w:space="0" w:color="auto"/>
          </w:divBdr>
        </w:div>
      </w:divsChild>
    </w:div>
    <w:div w:id="1049454406">
      <w:bodyDiv w:val="1"/>
      <w:marLeft w:val="0"/>
      <w:marRight w:val="0"/>
      <w:marTop w:val="0"/>
      <w:marBottom w:val="0"/>
      <w:divBdr>
        <w:top w:val="none" w:sz="0" w:space="0" w:color="auto"/>
        <w:left w:val="none" w:sz="0" w:space="0" w:color="auto"/>
        <w:bottom w:val="none" w:sz="0" w:space="0" w:color="auto"/>
        <w:right w:val="none" w:sz="0" w:space="0" w:color="auto"/>
      </w:divBdr>
      <w:divsChild>
        <w:div w:id="387270694">
          <w:marLeft w:val="0"/>
          <w:marRight w:val="0"/>
          <w:marTop w:val="0"/>
          <w:marBottom w:val="0"/>
          <w:divBdr>
            <w:top w:val="none" w:sz="0" w:space="0" w:color="auto"/>
            <w:left w:val="none" w:sz="0" w:space="0" w:color="auto"/>
            <w:bottom w:val="none" w:sz="0" w:space="0" w:color="auto"/>
            <w:right w:val="none" w:sz="0" w:space="0" w:color="auto"/>
          </w:divBdr>
        </w:div>
        <w:div w:id="320235869">
          <w:marLeft w:val="0"/>
          <w:marRight w:val="0"/>
          <w:marTop w:val="0"/>
          <w:marBottom w:val="0"/>
          <w:divBdr>
            <w:top w:val="none" w:sz="0" w:space="0" w:color="auto"/>
            <w:left w:val="none" w:sz="0" w:space="0" w:color="auto"/>
            <w:bottom w:val="none" w:sz="0" w:space="0" w:color="auto"/>
            <w:right w:val="none" w:sz="0" w:space="0" w:color="auto"/>
          </w:divBdr>
          <w:divsChild>
            <w:div w:id="20718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093">
      <w:bodyDiv w:val="1"/>
      <w:marLeft w:val="0"/>
      <w:marRight w:val="0"/>
      <w:marTop w:val="0"/>
      <w:marBottom w:val="0"/>
      <w:divBdr>
        <w:top w:val="none" w:sz="0" w:space="0" w:color="auto"/>
        <w:left w:val="none" w:sz="0" w:space="0" w:color="auto"/>
        <w:bottom w:val="none" w:sz="0" w:space="0" w:color="auto"/>
        <w:right w:val="none" w:sz="0" w:space="0" w:color="auto"/>
      </w:divBdr>
      <w:divsChild>
        <w:div w:id="975255163">
          <w:marLeft w:val="0"/>
          <w:marRight w:val="0"/>
          <w:marTop w:val="0"/>
          <w:marBottom w:val="0"/>
          <w:divBdr>
            <w:top w:val="none" w:sz="0" w:space="0" w:color="auto"/>
            <w:left w:val="none" w:sz="0" w:space="0" w:color="auto"/>
            <w:bottom w:val="none" w:sz="0" w:space="0" w:color="auto"/>
            <w:right w:val="none" w:sz="0" w:space="0" w:color="auto"/>
          </w:divBdr>
        </w:div>
        <w:div w:id="1045569813">
          <w:marLeft w:val="0"/>
          <w:marRight w:val="0"/>
          <w:marTop w:val="0"/>
          <w:marBottom w:val="0"/>
          <w:divBdr>
            <w:top w:val="none" w:sz="0" w:space="0" w:color="auto"/>
            <w:left w:val="none" w:sz="0" w:space="0" w:color="auto"/>
            <w:bottom w:val="none" w:sz="0" w:space="0" w:color="auto"/>
            <w:right w:val="none" w:sz="0" w:space="0" w:color="auto"/>
          </w:divBdr>
          <w:divsChild>
            <w:div w:id="5051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364">
      <w:bodyDiv w:val="1"/>
      <w:marLeft w:val="0"/>
      <w:marRight w:val="0"/>
      <w:marTop w:val="0"/>
      <w:marBottom w:val="0"/>
      <w:divBdr>
        <w:top w:val="none" w:sz="0" w:space="0" w:color="auto"/>
        <w:left w:val="none" w:sz="0" w:space="0" w:color="auto"/>
        <w:bottom w:val="none" w:sz="0" w:space="0" w:color="auto"/>
        <w:right w:val="none" w:sz="0" w:space="0" w:color="auto"/>
      </w:divBdr>
      <w:divsChild>
        <w:div w:id="1032192511">
          <w:marLeft w:val="0"/>
          <w:marRight w:val="0"/>
          <w:marTop w:val="0"/>
          <w:marBottom w:val="0"/>
          <w:divBdr>
            <w:top w:val="none" w:sz="0" w:space="0" w:color="auto"/>
            <w:left w:val="none" w:sz="0" w:space="0" w:color="auto"/>
            <w:bottom w:val="none" w:sz="0" w:space="0" w:color="auto"/>
            <w:right w:val="none" w:sz="0" w:space="0" w:color="auto"/>
          </w:divBdr>
        </w:div>
        <w:div w:id="598372359">
          <w:marLeft w:val="0"/>
          <w:marRight w:val="0"/>
          <w:marTop w:val="0"/>
          <w:marBottom w:val="0"/>
          <w:divBdr>
            <w:top w:val="none" w:sz="0" w:space="0" w:color="auto"/>
            <w:left w:val="none" w:sz="0" w:space="0" w:color="auto"/>
            <w:bottom w:val="none" w:sz="0" w:space="0" w:color="auto"/>
            <w:right w:val="none" w:sz="0" w:space="0" w:color="auto"/>
          </w:divBdr>
        </w:div>
        <w:div w:id="1866671815">
          <w:marLeft w:val="0"/>
          <w:marRight w:val="0"/>
          <w:marTop w:val="0"/>
          <w:marBottom w:val="0"/>
          <w:divBdr>
            <w:top w:val="none" w:sz="0" w:space="0" w:color="auto"/>
            <w:left w:val="none" w:sz="0" w:space="0" w:color="auto"/>
            <w:bottom w:val="none" w:sz="0" w:space="0" w:color="auto"/>
            <w:right w:val="none" w:sz="0" w:space="0" w:color="auto"/>
          </w:divBdr>
        </w:div>
        <w:div w:id="976647028">
          <w:marLeft w:val="0"/>
          <w:marRight w:val="0"/>
          <w:marTop w:val="0"/>
          <w:marBottom w:val="0"/>
          <w:divBdr>
            <w:top w:val="none" w:sz="0" w:space="0" w:color="auto"/>
            <w:left w:val="none" w:sz="0" w:space="0" w:color="auto"/>
            <w:bottom w:val="none" w:sz="0" w:space="0" w:color="auto"/>
            <w:right w:val="none" w:sz="0" w:space="0" w:color="auto"/>
          </w:divBdr>
        </w:div>
        <w:div w:id="1334912188">
          <w:marLeft w:val="0"/>
          <w:marRight w:val="0"/>
          <w:marTop w:val="0"/>
          <w:marBottom w:val="0"/>
          <w:divBdr>
            <w:top w:val="none" w:sz="0" w:space="0" w:color="auto"/>
            <w:left w:val="none" w:sz="0" w:space="0" w:color="auto"/>
            <w:bottom w:val="none" w:sz="0" w:space="0" w:color="auto"/>
            <w:right w:val="none" w:sz="0" w:space="0" w:color="auto"/>
          </w:divBdr>
        </w:div>
      </w:divsChild>
    </w:div>
    <w:div w:id="1786847323">
      <w:bodyDiv w:val="1"/>
      <w:marLeft w:val="0"/>
      <w:marRight w:val="0"/>
      <w:marTop w:val="0"/>
      <w:marBottom w:val="0"/>
      <w:divBdr>
        <w:top w:val="none" w:sz="0" w:space="0" w:color="auto"/>
        <w:left w:val="none" w:sz="0" w:space="0" w:color="auto"/>
        <w:bottom w:val="none" w:sz="0" w:space="0" w:color="auto"/>
        <w:right w:val="none" w:sz="0" w:space="0" w:color="auto"/>
      </w:divBdr>
    </w:div>
    <w:div w:id="1860193018">
      <w:bodyDiv w:val="1"/>
      <w:marLeft w:val="0"/>
      <w:marRight w:val="0"/>
      <w:marTop w:val="0"/>
      <w:marBottom w:val="0"/>
      <w:divBdr>
        <w:top w:val="none" w:sz="0" w:space="0" w:color="auto"/>
        <w:left w:val="none" w:sz="0" w:space="0" w:color="auto"/>
        <w:bottom w:val="none" w:sz="0" w:space="0" w:color="auto"/>
        <w:right w:val="none" w:sz="0" w:space="0" w:color="auto"/>
      </w:divBdr>
      <w:divsChild>
        <w:div w:id="432240076">
          <w:marLeft w:val="0"/>
          <w:marRight w:val="0"/>
          <w:marTop w:val="0"/>
          <w:marBottom w:val="0"/>
          <w:divBdr>
            <w:top w:val="none" w:sz="0" w:space="0" w:color="auto"/>
            <w:left w:val="none" w:sz="0" w:space="0" w:color="auto"/>
            <w:bottom w:val="none" w:sz="0" w:space="0" w:color="auto"/>
            <w:right w:val="none" w:sz="0" w:space="0" w:color="auto"/>
          </w:divBdr>
        </w:div>
        <w:div w:id="2067482255">
          <w:marLeft w:val="0"/>
          <w:marRight w:val="0"/>
          <w:marTop w:val="0"/>
          <w:marBottom w:val="0"/>
          <w:divBdr>
            <w:top w:val="none" w:sz="0" w:space="0" w:color="auto"/>
            <w:left w:val="none" w:sz="0" w:space="0" w:color="auto"/>
            <w:bottom w:val="none" w:sz="0" w:space="0" w:color="auto"/>
            <w:right w:val="none" w:sz="0" w:space="0" w:color="auto"/>
          </w:divBdr>
          <w:divsChild>
            <w:div w:id="10023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8%90%E4%BA%A4%E9%A2%9D" TargetMode="External"/><Relationship Id="rId13" Type="http://schemas.openxmlformats.org/officeDocument/2006/relationships/hyperlink" Target="https://baike.baidu.com/item/%E4%B8%AA%E8%82%A1" TargetMode="External"/><Relationship Id="rId18" Type="http://schemas.openxmlformats.org/officeDocument/2006/relationships/hyperlink" Target="https://baike.baidu.com/item/%E7%9F%AD%E7%BA%BF%E6%93%8D%E4%BD%9C" TargetMode="External"/><Relationship Id="rId3" Type="http://schemas.openxmlformats.org/officeDocument/2006/relationships/webSettings" Target="webSettings.xml"/><Relationship Id="rId21" Type="http://schemas.openxmlformats.org/officeDocument/2006/relationships/hyperlink" Target="https://baike.baidu.com/item/%E8%B5%84%E9%87%91%E6%B5%81%E5%87%BA" TargetMode="External"/><Relationship Id="rId7" Type="http://schemas.openxmlformats.org/officeDocument/2006/relationships/hyperlink" Target="https://baike.baidu.com/item/%E6%9D%BF%E5%9D%97%E6%8C%87%E6%95%B0" TargetMode="External"/><Relationship Id="rId12" Type="http://schemas.openxmlformats.org/officeDocument/2006/relationships/hyperlink" Target="https://baike.baidu.com/item/%E8%82%A1%E5%B8%82" TargetMode="External"/><Relationship Id="rId17" Type="http://schemas.openxmlformats.org/officeDocument/2006/relationships/hyperlink" Target="https://baike.baidu.com/item/%E8%82%A1%E4%BB%B7" TargetMode="External"/><Relationship Id="rId2" Type="http://schemas.openxmlformats.org/officeDocument/2006/relationships/settings" Target="settings.xml"/><Relationship Id="rId16" Type="http://schemas.openxmlformats.org/officeDocument/2006/relationships/hyperlink" Target="https://baike.baidu.com/item/%E4%B8%BB%E5%8A%9B" TargetMode="External"/><Relationship Id="rId20" Type="http://schemas.openxmlformats.org/officeDocument/2006/relationships/hyperlink" Target="https://baike.baidu.com/item/%E6%88%90%E4%BA%A4%E9%A2%9D" TargetMode="External"/><Relationship Id="rId1" Type="http://schemas.openxmlformats.org/officeDocument/2006/relationships/styles" Target="styles.xml"/><Relationship Id="rId6" Type="http://schemas.openxmlformats.org/officeDocument/2006/relationships/hyperlink" Target="http://vol.stock.hexun.com/" TargetMode="External"/><Relationship Id="rId11" Type="http://schemas.openxmlformats.org/officeDocument/2006/relationships/hyperlink" Target="https://baike.baidu.com/item/%E8%B5%84%E9%87%91%E5%87%80%E6%B5%81%E5%85%A5"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baike.baidu.com/item/%E5%A4%9A%E7%A9%BA" TargetMode="External"/><Relationship Id="rId23" Type="http://schemas.openxmlformats.org/officeDocument/2006/relationships/fontTable" Target="fontTable.xml"/><Relationship Id="rId10" Type="http://schemas.openxmlformats.org/officeDocument/2006/relationships/hyperlink" Target="https://baike.baidu.com/item/%E8%B5%84%E9%87%91%E6%B5%81%E5%87%BA" TargetMode="External"/><Relationship Id="rId19" Type="http://schemas.openxmlformats.org/officeDocument/2006/relationships/hyperlink" Target="https://baike.baidu.com/item/%E8%82%A1%E4%BB%B7" TargetMode="External"/><Relationship Id="rId4" Type="http://schemas.openxmlformats.org/officeDocument/2006/relationships/footnotes" Target="footnotes.xml"/><Relationship Id="rId9" Type="http://schemas.openxmlformats.org/officeDocument/2006/relationships/hyperlink" Target="https://baike.baidu.com/item/%E8%B5%84%E9%87%91" TargetMode="External"/><Relationship Id="rId14" Type="http://schemas.openxmlformats.org/officeDocument/2006/relationships/hyperlink" Target="https://baike.baidu.com/item/%E6%9D%BF%E5%9D%97%E8%BD%AE%E5%8A%A8" TargetMode="External"/><Relationship Id="rId22" Type="http://schemas.openxmlformats.org/officeDocument/2006/relationships/hyperlink" Target="https://baike.baidu.com/item/%E8%B5%84%E9%87%91%E5%87%80%E6%B5%81%E5%85%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56</cp:revision>
  <dcterms:created xsi:type="dcterms:W3CDTF">2017-11-21T02:52:00Z</dcterms:created>
  <dcterms:modified xsi:type="dcterms:W3CDTF">2018-01-04T09:02:00Z</dcterms:modified>
</cp:coreProperties>
</file>