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9092" w14:textId="77777777" w:rsidR="00D043B5" w:rsidRPr="00DE1760" w:rsidRDefault="00D043B5" w:rsidP="00D043B5">
      <w:pPr>
        <w:numPr>
          <w:ilvl w:val="0"/>
          <w:numId w:val="1"/>
        </w:numPr>
      </w:pPr>
      <w:r>
        <w:t>Henry: data collection methodology, alternate data set search, inherent biases research</w:t>
      </w:r>
    </w:p>
    <w:p w14:paraId="37B8CEB5" w14:textId="73AC3EF9" w:rsidR="003B56AD" w:rsidRDefault="00B97155"/>
    <w:p w14:paraId="31F8D6A9" w14:textId="324FE324" w:rsidR="000D2079" w:rsidRDefault="000D2079"/>
    <w:p w14:paraId="3DC9BC70" w14:textId="7F4EDECA" w:rsidR="000D2079" w:rsidRDefault="000D2079"/>
    <w:p w14:paraId="76A98DA0" w14:textId="77777777" w:rsidR="000D2079" w:rsidRPr="000D2079" w:rsidRDefault="000D2079" w:rsidP="000D2079">
      <w:pPr>
        <w:spacing w:before="100" w:beforeAutospacing="1" w:after="100" w:afterAutospacing="1"/>
        <w:outlineLvl w:val="2"/>
        <w:rPr>
          <w:rFonts w:ascii="Merriweather" w:hAnsi="Merriweather"/>
          <w:color w:val="000000"/>
          <w:sz w:val="27"/>
          <w:szCs w:val="27"/>
        </w:rPr>
      </w:pPr>
      <w:r w:rsidRPr="000D2079">
        <w:rPr>
          <w:rFonts w:ascii="Merriweather" w:hAnsi="Merriweather"/>
          <w:color w:val="000000"/>
          <w:sz w:val="27"/>
          <w:szCs w:val="27"/>
        </w:rPr>
        <w:t>Social Vulnerability Index</w:t>
      </w:r>
    </w:p>
    <w:p w14:paraId="7C6675A0" w14:textId="2B66F506" w:rsidR="00606865" w:rsidRDefault="00606865" w:rsidP="00606865">
      <w:r>
        <w:t xml:space="preserve">Social vulnerability is a community’s ability to respond to a hazardous event such as a tornado, hurricane, disease or chemical spill. Several factors including poverty, lack of transportation, crowded housing may weaken the community’s ability to prevent human suffering and financial loss. </w:t>
      </w:r>
    </w:p>
    <w:p w14:paraId="0FC5DDE0" w14:textId="1F3DDA13" w:rsidR="000D2079" w:rsidRDefault="000D2079"/>
    <w:p w14:paraId="22E3D2FC" w14:textId="48954EBE" w:rsidR="003A63DB" w:rsidRDefault="003A63DB">
      <w:r>
        <w:t xml:space="preserve">The centers for disease control (CDC) used census data to rank 15 social factors including poverty, crowded housing, lack of transportation and grouped them into four related themes. </w:t>
      </w:r>
    </w:p>
    <w:p w14:paraId="22FAAB56" w14:textId="058BD3B1" w:rsidR="005105CD" w:rsidRDefault="005105CD"/>
    <w:p w14:paraId="6044F1C9" w14:textId="77777777" w:rsidR="005105CD" w:rsidRDefault="005105CD"/>
    <w:p w14:paraId="7F0838D4" w14:textId="797921C9" w:rsidR="000D2079" w:rsidRDefault="000D2079"/>
    <w:p w14:paraId="37121721" w14:textId="76E869D8" w:rsidR="000D2079" w:rsidRDefault="000D2079">
      <w:r>
        <w:t xml:space="preserve">Source: </w:t>
      </w:r>
    </w:p>
    <w:p w14:paraId="4D318B2A" w14:textId="033A2755" w:rsidR="000D2079" w:rsidRDefault="00B97155">
      <w:hyperlink r:id="rId5" w:history="1">
        <w:r w:rsidR="000D2079" w:rsidRPr="001964B8">
          <w:rPr>
            <w:rStyle w:val="Hyperlink"/>
          </w:rPr>
          <w:t>https://www.atsdr.cdc.gov/placeandhealth/svi/index.html</w:t>
        </w:r>
      </w:hyperlink>
    </w:p>
    <w:p w14:paraId="175B7EBA" w14:textId="69039A74" w:rsidR="000D2079" w:rsidRDefault="000D2079"/>
    <w:p w14:paraId="1973AE99" w14:textId="77777777" w:rsidR="000D2079" w:rsidRPr="000D2079" w:rsidRDefault="000D2079" w:rsidP="000D2079">
      <w:r w:rsidRPr="000D2079">
        <w:rPr>
          <w:rFonts w:ascii="Open Sans" w:hAnsi="Open Sans" w:cs="Open Sans"/>
          <w:b/>
          <w:bCs/>
          <w:color w:val="000000"/>
          <w:sz w:val="26"/>
          <w:szCs w:val="26"/>
        </w:rPr>
        <w:t>Agency for Toxic Substances and Disease Registry (ATSDR)</w:t>
      </w:r>
    </w:p>
    <w:p w14:paraId="4A494549" w14:textId="05FDDC62" w:rsidR="000D2079" w:rsidRDefault="000D2079"/>
    <w:p w14:paraId="6CF9682D" w14:textId="77777777" w:rsidR="000D2079" w:rsidRPr="000D2079" w:rsidRDefault="000D2079" w:rsidP="000D2079">
      <w:r w:rsidRPr="000D2079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The </w:t>
      </w:r>
      <w:r w:rsidRPr="000D2079">
        <w:rPr>
          <w:rFonts w:ascii="Open Sans" w:hAnsi="Open Sans" w:cs="Open Sans"/>
          <w:b/>
          <w:bCs/>
          <w:color w:val="000000"/>
          <w:sz w:val="26"/>
          <w:szCs w:val="26"/>
        </w:rPr>
        <w:t>Agency for Toxic Substances and Disease Registry (ATSDR)</w:t>
      </w:r>
      <w:r w:rsidRPr="000D2079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, based in Atlanta, Georgia, is a federal public health agency of the </w:t>
      </w:r>
      <w:r w:rsidRPr="000D2079">
        <w:rPr>
          <w:rFonts w:ascii="Open Sans" w:hAnsi="Open Sans" w:cs="Open Sans"/>
          <w:b/>
          <w:bCs/>
          <w:color w:val="000000"/>
          <w:sz w:val="26"/>
          <w:szCs w:val="26"/>
        </w:rPr>
        <w:t>U.S. Department of Health and Human Services</w:t>
      </w:r>
      <w:r w:rsidRPr="000D2079"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. ATSDR protects communities from harmful health effects related to exposure to natural and man-made hazardous substances. We do this by responding to environmental health emergencies; investigating emerging environmental health threats; conducting research on the health impacts of hazardous waste sites; and building capabilities of and providing actionable guidance to state and local health partners.</w:t>
      </w:r>
    </w:p>
    <w:p w14:paraId="76FC42F0" w14:textId="371E6881" w:rsidR="000D2079" w:rsidRDefault="000D2079"/>
    <w:p w14:paraId="249BF4E8" w14:textId="0E0F2C2B" w:rsidR="000D2079" w:rsidRDefault="000D2079"/>
    <w:p w14:paraId="771E36D3" w14:textId="34A1A3CD" w:rsidR="000D2079" w:rsidRDefault="000D2079">
      <w:r>
        <w:t xml:space="preserve">ATSDR is a federal public health agency of the U.S Department of Health and Human Services. This agency studies the harmful “health effects” caused by natural and man-made hazards. </w:t>
      </w:r>
      <w:r w:rsidR="00606865">
        <w:t xml:space="preserve">This agency defined social vulnerability as a community’s ability to respond to a hazardous event such as a tornado, hurricane, disease or chemical spill. Several factors including poverty, lack of transportation, crowded housing may weaken the </w:t>
      </w:r>
      <w:r w:rsidR="00183923">
        <w:t>community’s</w:t>
      </w:r>
      <w:r w:rsidR="00606865">
        <w:t xml:space="preserve"> ability to prevent human suffering and financial loss. </w:t>
      </w:r>
    </w:p>
    <w:p w14:paraId="447B0B8F" w14:textId="3F775254" w:rsidR="000D2079" w:rsidRDefault="000D2079"/>
    <w:p w14:paraId="5F9E3123" w14:textId="2349D768" w:rsidR="000D2079" w:rsidRDefault="000D2079">
      <w:r>
        <w:t>TEXAS</w:t>
      </w:r>
    </w:p>
    <w:p w14:paraId="62D9817A" w14:textId="4D491736" w:rsidR="000D2079" w:rsidRDefault="000D2079"/>
    <w:p w14:paraId="080C500E" w14:textId="12AD0786" w:rsidR="000D2079" w:rsidRDefault="00B97155">
      <w:hyperlink r:id="rId6" w:history="1">
        <w:r w:rsidR="000D2079" w:rsidRPr="001964B8">
          <w:rPr>
            <w:rStyle w:val="Hyperlink"/>
          </w:rPr>
          <w:t>https://www.dshs.state.tx.us/epitox/</w:t>
        </w:r>
      </w:hyperlink>
    </w:p>
    <w:p w14:paraId="246A2EEE" w14:textId="1306690A" w:rsidR="000D2079" w:rsidRDefault="000D2079"/>
    <w:p w14:paraId="7762FA75" w14:textId="77777777" w:rsidR="000D2079" w:rsidRDefault="000D2079" w:rsidP="000D2079">
      <w:pPr>
        <w:pStyle w:val="Heading1"/>
        <w:spacing w:before="0" w:after="60" w:line="300" w:lineRule="atLeast"/>
        <w:textAlignment w:val="baseline"/>
        <w:rPr>
          <w:rFonts w:ascii="Rockwell" w:eastAsia="Times New Roman" w:hAnsi="Rockwell" w:cs="Times New Roman"/>
          <w:color w:val="003087"/>
          <w:spacing w:val="-8"/>
          <w:sz w:val="48"/>
          <w:szCs w:val="48"/>
          <w:lang w:val="en-US"/>
        </w:rPr>
      </w:pPr>
      <w:r>
        <w:rPr>
          <w:rFonts w:ascii="Rockwell" w:hAnsi="Rockwell"/>
          <w:b/>
          <w:bCs/>
          <w:color w:val="003087"/>
          <w:spacing w:val="-8"/>
        </w:rPr>
        <w:t>Environmental Surveillance and Toxicology Branch</w:t>
      </w:r>
    </w:p>
    <w:p w14:paraId="77F85170" w14:textId="2B2F4847" w:rsidR="000D2079" w:rsidRDefault="000D2079"/>
    <w:p w14:paraId="30967065" w14:textId="77777777" w:rsidR="002C3839" w:rsidRPr="002C3839" w:rsidRDefault="002C3839" w:rsidP="002C3839">
      <w:r w:rsidRPr="002C3839">
        <w:rPr>
          <w:rFonts w:ascii="PT Sans" w:hAnsi="PT Sans"/>
          <w:color w:val="3D3D3E"/>
          <w:shd w:val="clear" w:color="auto" w:fill="FFFFFF"/>
        </w:rPr>
        <w:t>The Environmental Surveillance and Toxicology Branch (ESTB) uses the principles of epidemiology, toxicology, and surveillance to identify populations at risk, to develop evidence-based actions, and to protect and promote the health of the people of Texas. </w:t>
      </w:r>
    </w:p>
    <w:p w14:paraId="4FF48350" w14:textId="16629442" w:rsidR="000D2079" w:rsidRDefault="000D2079"/>
    <w:p w14:paraId="5EDE58FA" w14:textId="5CE2A5DD" w:rsidR="002C3839" w:rsidRDefault="008E3EE1">
      <w:r>
        <w:t>Henry</w:t>
      </w:r>
    </w:p>
    <w:p w14:paraId="0B644BF9" w14:textId="2E919CB9" w:rsidR="008E3EE1" w:rsidRDefault="008E3EE1">
      <w:r>
        <w:t xml:space="preserve">Find out the 15 variables for </w:t>
      </w:r>
      <w:proofErr w:type="spellStart"/>
      <w:r>
        <w:t>svi</w:t>
      </w:r>
      <w:proofErr w:type="spellEnd"/>
    </w:p>
    <w:p w14:paraId="2336262C" w14:textId="6F632BF7" w:rsidR="008E3EE1" w:rsidRDefault="008E3EE1"/>
    <w:p w14:paraId="6772C8FF" w14:textId="77777777" w:rsidR="008E3EE1" w:rsidRDefault="008E3EE1" w:rsidP="008E3EE1">
      <w:r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The CDC/ATSDR SVI uses</w:t>
      </w:r>
      <w:r>
        <w:rPr>
          <w:rStyle w:val="apple-converted-space"/>
          <w:rFonts w:ascii="Open Sans" w:hAnsi="Open Sans" w:cs="Open Sans"/>
          <w:color w:val="000000"/>
          <w:sz w:val="26"/>
          <w:szCs w:val="26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000000"/>
          <w:sz w:val="26"/>
          <w:szCs w:val="26"/>
        </w:rPr>
        <w:t>U.S. Census data</w:t>
      </w:r>
      <w:r>
        <w:rPr>
          <w:rStyle w:val="apple-converted-space"/>
          <w:rFonts w:ascii="Open Sans" w:hAnsi="Open Sans" w:cs="Open Sans"/>
          <w:color w:val="000000"/>
          <w:sz w:val="26"/>
          <w:szCs w:val="26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to determine the social vulnerability of every census tract. Census tracts are subdivisions of counties for which the Census collects statistical data. The CDC/ATSDR SVI ranks each tract on</w:t>
      </w:r>
      <w:r>
        <w:rPr>
          <w:rStyle w:val="apple-converted-space"/>
          <w:rFonts w:ascii="Open Sans" w:hAnsi="Open Sans" w:cs="Open Sans"/>
          <w:color w:val="000000"/>
          <w:sz w:val="26"/>
          <w:szCs w:val="26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000000"/>
          <w:sz w:val="26"/>
          <w:szCs w:val="26"/>
        </w:rPr>
        <w:t>15 social factors</w:t>
      </w:r>
      <w:r>
        <w:rPr>
          <w:rFonts w:ascii="Open Sans" w:hAnsi="Open Sans" w:cs="Open Sans"/>
          <w:color w:val="000000"/>
          <w:sz w:val="26"/>
          <w:szCs w:val="26"/>
          <w:shd w:val="clear" w:color="auto" w:fill="FFFFFF"/>
        </w:rPr>
        <w:t>, including poverty, lack of vehicle access, and crowded housing, and groups them into four related themes. Maps of the four themes are shown in the figure below. Each tract receives a separate ranking for each of the four themes, as well as an overall ranking.</w:t>
      </w:r>
    </w:p>
    <w:p w14:paraId="4A9A9598" w14:textId="3995CFDB" w:rsidR="008E3EE1" w:rsidRDefault="008E3EE1"/>
    <w:p w14:paraId="4353C9A5" w14:textId="006B848E" w:rsidR="008E3EE1" w:rsidRDefault="008E3EE1"/>
    <w:p w14:paraId="37C8E53F" w14:textId="77777777" w:rsidR="008E3EE1" w:rsidRDefault="008E3EE1"/>
    <w:sectPr w:rsidR="008E3EE1" w:rsidSect="00AE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341C"/>
    <w:multiLevelType w:val="multilevel"/>
    <w:tmpl w:val="92403A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B5"/>
    <w:rsid w:val="000D2079"/>
    <w:rsid w:val="00183923"/>
    <w:rsid w:val="002C3839"/>
    <w:rsid w:val="003A63DB"/>
    <w:rsid w:val="005105CD"/>
    <w:rsid w:val="005A07EA"/>
    <w:rsid w:val="00606865"/>
    <w:rsid w:val="008E3EE1"/>
    <w:rsid w:val="00AE61DB"/>
    <w:rsid w:val="00B97155"/>
    <w:rsid w:val="00D043B5"/>
    <w:rsid w:val="00D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F01CE"/>
  <w15:chartTrackingRefBased/>
  <w15:docId w15:val="{9A40A4C0-BF81-E048-B939-82DBB381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E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079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Heading3">
    <w:name w:val="heading 3"/>
    <w:basedOn w:val="Normal"/>
    <w:link w:val="Heading3Char"/>
    <w:uiPriority w:val="9"/>
    <w:qFormat/>
    <w:rsid w:val="000D20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0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2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07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D2079"/>
    <w:rPr>
      <w:b/>
      <w:bCs/>
    </w:rPr>
  </w:style>
  <w:style w:type="character" w:customStyle="1" w:styleId="apple-converted-space">
    <w:name w:val="apple-converted-space"/>
    <w:basedOn w:val="DefaultParagraphFont"/>
    <w:rsid w:val="000D2079"/>
  </w:style>
  <w:style w:type="character" w:customStyle="1" w:styleId="Heading1Char">
    <w:name w:val="Heading 1 Char"/>
    <w:basedOn w:val="DefaultParagraphFont"/>
    <w:link w:val="Heading1"/>
    <w:uiPriority w:val="9"/>
    <w:rsid w:val="000D20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hs.state.tx.us/epitox/" TargetMode="External"/><Relationship Id="rId5" Type="http://schemas.openxmlformats.org/officeDocument/2006/relationships/hyperlink" Target="https://www.atsdr.cdc.gov/placeandhealth/sv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Wycislo</dc:creator>
  <cp:keywords/>
  <dc:description/>
  <cp:lastModifiedBy>Henry Wycislo</cp:lastModifiedBy>
  <cp:revision>6</cp:revision>
  <dcterms:created xsi:type="dcterms:W3CDTF">2021-11-03T01:28:00Z</dcterms:created>
  <dcterms:modified xsi:type="dcterms:W3CDTF">2021-11-06T01:34:00Z</dcterms:modified>
</cp:coreProperties>
</file>